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E5BCF"/>
    <w:p w14:paraId="24AA9218">
      <w:pPr>
        <w:pStyle w:val="12"/>
        <w:keepNext w:val="0"/>
        <w:keepLines w:val="0"/>
        <w:pageBreakBefore w:val="0"/>
        <w:kinsoku/>
        <w:wordWrap/>
        <w:overflowPunct/>
        <w:topLinePunct w:val="0"/>
        <w:autoSpaceDE w:val="0"/>
        <w:autoSpaceDN w:val="0"/>
        <w:bidi w:val="0"/>
        <w:adjustRightInd/>
        <w:spacing w:before="0" w:after="0" w:line="360" w:lineRule="auto"/>
        <w:textAlignment w:val="auto"/>
        <w:outlineLvl w:val="1"/>
        <w:rPr>
          <w:rFonts w:hint="eastAsia" w:ascii="宋体" w:hAnsi="宋体" w:eastAsia="宋体" w:cs="宋体"/>
          <w:b/>
          <w:bCs/>
          <w:sz w:val="22"/>
          <w:szCs w:val="22"/>
        </w:rPr>
      </w:pPr>
      <w:r>
        <w:rPr>
          <w:rFonts w:hint="eastAsia" w:ascii="宋体" w:hAnsi="宋体" w:eastAsia="宋体" w:cs="宋体"/>
          <w:b/>
          <w:bCs/>
          <w:sz w:val="22"/>
          <w:szCs w:val="22"/>
          <w:lang w:val="en-US"/>
        </w:rPr>
        <w:t>一、项目基本情况</w:t>
      </w:r>
    </w:p>
    <w:p w14:paraId="739BBD2D">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pacing w:line="360" w:lineRule="auto"/>
        <w:ind w:left="0" w:leftChars="0" w:firstLine="440" w:firstLineChars="200"/>
        <w:textAlignment w:val="auto"/>
        <w:rPr>
          <w:rFonts w:hint="eastAsia" w:ascii="宋体" w:hAnsi="宋体" w:eastAsia="宋体" w:cs="宋体"/>
          <w:b w:val="0"/>
          <w:bCs w:val="0"/>
          <w:color w:val="222222"/>
          <w:sz w:val="22"/>
          <w:szCs w:val="22"/>
          <w:shd w:val="clear" w:color="auto" w:fill="FFFFFF"/>
        </w:rPr>
      </w:pPr>
      <w:r>
        <w:rPr>
          <w:rFonts w:hint="eastAsia" w:ascii="宋体" w:hAnsi="宋体" w:eastAsia="宋体" w:cs="宋体"/>
          <w:b w:val="0"/>
          <w:bCs w:val="0"/>
          <w:color w:val="222222"/>
          <w:sz w:val="22"/>
          <w:szCs w:val="22"/>
          <w:shd w:val="clear" w:fill="FFFFFF"/>
          <w:lang w:val="zh-CN" w:eastAsia="zh-CN" w:bidi="zh-CN"/>
        </w:rPr>
        <w:t>1.</w:t>
      </w:r>
      <w:r>
        <w:rPr>
          <w:rFonts w:hint="eastAsia" w:ascii="宋体" w:hAnsi="宋体" w:eastAsia="宋体" w:cs="宋体"/>
          <w:b w:val="0"/>
          <w:bCs w:val="0"/>
          <w:sz w:val="22"/>
          <w:szCs w:val="22"/>
          <w:lang w:eastAsia="zh-CN"/>
        </w:rPr>
        <w:t>项目名称：中山市小榄镇2026-2028学年镇属</w:t>
      </w:r>
      <w:bookmarkStart w:id="0" w:name="_GoBack"/>
      <w:bookmarkEnd w:id="0"/>
      <w:r>
        <w:rPr>
          <w:rFonts w:hint="eastAsia" w:ascii="宋体" w:hAnsi="宋体" w:eastAsia="宋体" w:cs="宋体"/>
          <w:b w:val="0"/>
          <w:bCs w:val="0"/>
          <w:sz w:val="22"/>
          <w:szCs w:val="22"/>
          <w:lang w:eastAsia="zh-CN"/>
        </w:rPr>
        <w:t>中小学配餐服务采购项目（二）</w:t>
      </w:r>
      <w:r>
        <w:rPr>
          <w:rFonts w:hint="eastAsia" w:ascii="宋体" w:hAnsi="宋体" w:eastAsia="宋体" w:cs="宋体"/>
          <w:b w:val="0"/>
          <w:bCs w:val="0"/>
          <w:sz w:val="22"/>
          <w:szCs w:val="22"/>
        </w:rPr>
        <w:t xml:space="preserve"> </w:t>
      </w:r>
    </w:p>
    <w:p w14:paraId="4C8E7B16">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pacing w:line="360" w:lineRule="auto"/>
        <w:ind w:left="0" w:leftChars="0" w:firstLine="440" w:firstLineChars="200"/>
        <w:textAlignment w:val="auto"/>
        <w:rPr>
          <w:rFonts w:hint="eastAsia" w:ascii="宋体" w:hAnsi="宋体" w:eastAsia="宋体" w:cs="宋体"/>
          <w:b w:val="0"/>
          <w:bCs w:val="0"/>
          <w:color w:val="222222"/>
          <w:sz w:val="22"/>
          <w:szCs w:val="22"/>
          <w:lang w:val="en-US" w:eastAsia="zh-CN"/>
        </w:rPr>
      </w:pPr>
      <w:r>
        <w:rPr>
          <w:rFonts w:hint="eastAsia" w:ascii="宋体" w:hAnsi="宋体" w:eastAsia="宋体" w:cs="宋体"/>
          <w:b w:val="0"/>
          <w:bCs w:val="0"/>
          <w:color w:val="222222"/>
          <w:sz w:val="22"/>
          <w:szCs w:val="22"/>
          <w:lang w:val="en-US" w:eastAsia="zh-CN" w:bidi="zh-CN"/>
        </w:rPr>
        <w:t>2.</w:t>
      </w:r>
      <w:r>
        <w:rPr>
          <w:rFonts w:hint="eastAsia" w:ascii="宋体" w:hAnsi="宋体" w:eastAsia="宋体" w:cs="宋体"/>
          <w:b w:val="0"/>
          <w:bCs w:val="0"/>
          <w:sz w:val="22"/>
          <w:szCs w:val="22"/>
          <w:lang w:eastAsia="zh-CN"/>
        </w:rPr>
        <w:t>项目编号：ZL-202604-XLJT-F001</w:t>
      </w:r>
    </w:p>
    <w:p w14:paraId="3F7A69EE">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宋体" w:hAnsi="宋体" w:eastAsia="宋体" w:cs="宋体"/>
          <w:b w:val="0"/>
          <w:bCs w:val="0"/>
          <w:sz w:val="22"/>
          <w:szCs w:val="22"/>
          <w:lang w:val="en-US"/>
        </w:rPr>
      </w:pPr>
      <w:r>
        <w:rPr>
          <w:rFonts w:hint="eastAsia" w:ascii="宋体" w:hAnsi="宋体" w:eastAsia="宋体" w:cs="宋体"/>
          <w:b w:val="0"/>
          <w:bCs w:val="0"/>
          <w:sz w:val="22"/>
          <w:szCs w:val="22"/>
          <w:lang w:val="en-US" w:eastAsia="zh-CN" w:bidi="zh-CN"/>
        </w:rPr>
        <w:t>3.</w:t>
      </w:r>
      <w:r>
        <w:rPr>
          <w:rFonts w:hint="eastAsia" w:ascii="宋体" w:hAnsi="宋体" w:eastAsia="宋体" w:cs="宋体"/>
          <w:b w:val="0"/>
          <w:bCs w:val="0"/>
          <w:sz w:val="22"/>
          <w:szCs w:val="22"/>
          <w:highlight w:val="none"/>
          <w:lang w:val="en-US"/>
        </w:rPr>
        <w:t>采购方式：公开招标</w:t>
      </w:r>
    </w:p>
    <w:p w14:paraId="1C5DB1F2">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宋体" w:hAnsi="宋体" w:eastAsia="宋体" w:cs="宋体"/>
          <w:b w:val="0"/>
          <w:bCs w:val="0"/>
          <w:sz w:val="22"/>
          <w:szCs w:val="22"/>
          <w:lang w:val="en-US"/>
        </w:rPr>
      </w:pPr>
      <w:r>
        <w:rPr>
          <w:rFonts w:hint="eastAsia" w:ascii="宋体" w:hAnsi="宋体" w:eastAsia="宋体" w:cs="宋体"/>
          <w:b w:val="0"/>
          <w:bCs w:val="0"/>
          <w:sz w:val="22"/>
          <w:szCs w:val="22"/>
          <w:lang w:val="en-US" w:eastAsia="zh-CN" w:bidi="zh-CN"/>
        </w:rPr>
        <w:t>4.</w:t>
      </w:r>
      <w:r>
        <w:rPr>
          <w:rFonts w:hint="eastAsia" w:ascii="宋体" w:hAnsi="宋体" w:eastAsia="宋体" w:cs="宋体"/>
          <w:b w:val="0"/>
          <w:bCs w:val="0"/>
          <w:sz w:val="22"/>
          <w:szCs w:val="22"/>
          <w:lang w:val="en-US"/>
        </w:rPr>
        <w:t>合同履行期限：</w:t>
      </w:r>
      <w:r>
        <w:rPr>
          <w:rFonts w:hint="eastAsia" w:ascii="宋体" w:hAnsi="宋体" w:eastAsia="宋体" w:cs="宋体"/>
          <w:color w:val="222222"/>
          <w:sz w:val="22"/>
          <w:szCs w:val="22"/>
          <w:highlight w:val="none"/>
          <w:shd w:val="clear" w:color="auto" w:fill="FFFFFF"/>
          <w:lang w:eastAsia="zh-CN"/>
        </w:rPr>
        <w:t>3个学年（具体起始日期以采购人通知为准），</w:t>
      </w:r>
      <w:r>
        <w:rPr>
          <w:rFonts w:hint="eastAsia" w:ascii="宋体" w:hAnsi="宋体" w:eastAsia="宋体" w:cs="宋体"/>
          <w:color w:val="222222"/>
          <w:sz w:val="22"/>
          <w:szCs w:val="22"/>
          <w:highlight w:val="none"/>
          <w:shd w:val="clear" w:color="auto" w:fill="FFFFFF"/>
          <w:lang w:val="en-US" w:eastAsia="zh-CN"/>
        </w:rPr>
        <w:t>合同采用一年一签（1+1+1模式）。采购人于每年合同期满前一个月内，对中标人该学年服务考核情况进行统计，根据考核结果确定是否续签下一年合同。采购人如遇政策性原因（如配餐改自营饭堂等）导致需与中标人提前终止合同或因中标人考核不达标不再续签下一年合同，中标人需无条件配合，且采购人无需承担相关违约责任。</w:t>
      </w:r>
    </w:p>
    <w:p w14:paraId="532910FE">
      <w:pPr>
        <w:keepNext w:val="0"/>
        <w:keepLines w:val="0"/>
        <w:pageBreakBefore w:val="0"/>
        <w:widowControl/>
        <w:kinsoku/>
        <w:wordWrap/>
        <w:overflowPunct/>
        <w:topLinePunct w:val="0"/>
        <w:bidi w:val="0"/>
        <w:adjustRightInd/>
        <w:snapToGrid/>
        <w:spacing w:line="360" w:lineRule="auto"/>
        <w:ind w:firstLine="440" w:firstLineChars="200"/>
        <w:jc w:val="left"/>
        <w:textAlignment w:val="auto"/>
        <w:rPr>
          <w:rFonts w:hint="eastAsia" w:ascii="宋体" w:hAnsi="宋体" w:eastAsia="宋体" w:cs="宋体"/>
          <w:b w:val="0"/>
          <w:bCs w:val="0"/>
          <w:kern w:val="2"/>
          <w:sz w:val="22"/>
          <w:szCs w:val="22"/>
          <w:lang w:val="en-US" w:eastAsia="zh-CN" w:bidi="zh-CN"/>
        </w:rPr>
      </w:pPr>
      <w:r>
        <w:rPr>
          <w:rFonts w:hint="eastAsia" w:ascii="宋体" w:hAnsi="宋体" w:eastAsia="宋体" w:cs="宋体"/>
          <w:b w:val="0"/>
          <w:bCs w:val="0"/>
          <w:kern w:val="2"/>
          <w:sz w:val="22"/>
          <w:szCs w:val="22"/>
          <w:lang w:val="en-US" w:eastAsia="zh-CN" w:bidi="zh-CN"/>
        </w:rPr>
        <w:t>5.</w:t>
      </w:r>
      <w:r>
        <w:rPr>
          <w:rFonts w:hint="eastAsia" w:cs="宋体"/>
          <w:b w:val="0"/>
          <w:bCs w:val="0"/>
          <w:kern w:val="2"/>
          <w:sz w:val="22"/>
          <w:szCs w:val="22"/>
          <w:lang w:val="en-US" w:eastAsia="zh-CN" w:bidi="zh-CN"/>
        </w:rPr>
        <w:t>项目</w:t>
      </w:r>
      <w:r>
        <w:rPr>
          <w:rFonts w:hint="eastAsia" w:ascii="宋体" w:hAnsi="宋体" w:eastAsia="宋体" w:cs="宋体"/>
          <w:b w:val="0"/>
          <w:bCs w:val="0"/>
          <w:kern w:val="2"/>
          <w:sz w:val="22"/>
          <w:szCs w:val="22"/>
          <w:lang w:val="en-US" w:eastAsia="zh-CN" w:bidi="zh-CN"/>
        </w:rPr>
        <w:t>划分情况：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427"/>
        <w:gridCol w:w="1149"/>
        <w:gridCol w:w="1573"/>
        <w:gridCol w:w="2117"/>
        <w:gridCol w:w="1557"/>
      </w:tblGrid>
      <w:tr w14:paraId="1D90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99" w:type="dxa"/>
            <w:shd w:val="clear" w:color="auto" w:fill="auto"/>
          </w:tcPr>
          <w:p w14:paraId="65C5325C">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val="0"/>
                <w:kern w:val="2"/>
                <w:sz w:val="22"/>
                <w:szCs w:val="22"/>
                <w:vertAlign w:val="baseline"/>
                <w:lang w:val="en-US" w:eastAsia="zh-CN" w:bidi="zh-CN"/>
              </w:rPr>
            </w:pPr>
            <w:r>
              <w:rPr>
                <w:rFonts w:hint="eastAsia" w:ascii="宋体" w:cs="宋体"/>
                <w:color w:val="000000"/>
                <w:kern w:val="2"/>
                <w:szCs w:val="24"/>
                <w:highlight w:val="none"/>
                <w:lang w:val="en-US" w:eastAsia="zh-CN" w:bidi="ar"/>
              </w:rPr>
              <w:t>服务标段</w:t>
            </w:r>
          </w:p>
        </w:tc>
        <w:tc>
          <w:tcPr>
            <w:tcW w:w="1427" w:type="dxa"/>
            <w:shd w:val="clear" w:color="auto" w:fill="auto"/>
          </w:tcPr>
          <w:p w14:paraId="67E56976">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cs="宋体"/>
                <w:b w:val="0"/>
                <w:bCs w:val="0"/>
                <w:kern w:val="2"/>
                <w:sz w:val="22"/>
                <w:szCs w:val="22"/>
                <w:vertAlign w:val="baseline"/>
                <w:lang w:val="en-US" w:eastAsia="zh-CN" w:bidi="zh-CN"/>
              </w:rPr>
              <w:t>服务范围</w:t>
            </w:r>
          </w:p>
        </w:tc>
        <w:tc>
          <w:tcPr>
            <w:tcW w:w="1149" w:type="dxa"/>
            <w:shd w:val="clear" w:color="auto" w:fill="auto"/>
          </w:tcPr>
          <w:p w14:paraId="62A55FBA">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vertAlign w:val="baseline"/>
                <w:lang w:val="en-US" w:eastAsia="zh-CN" w:bidi="zh-CN"/>
              </w:rPr>
              <w:t>确定中标人数量</w:t>
            </w:r>
          </w:p>
        </w:tc>
        <w:tc>
          <w:tcPr>
            <w:tcW w:w="1573" w:type="dxa"/>
            <w:shd w:val="clear" w:color="auto" w:fill="auto"/>
          </w:tcPr>
          <w:p w14:paraId="6238A0B3">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vertAlign w:val="baseline"/>
                <w:lang w:val="en-US" w:eastAsia="zh-CN" w:bidi="zh-CN"/>
              </w:rPr>
              <w:t>餐费单价</w:t>
            </w:r>
          </w:p>
        </w:tc>
        <w:tc>
          <w:tcPr>
            <w:tcW w:w="3674" w:type="dxa"/>
            <w:gridSpan w:val="2"/>
            <w:shd w:val="clear" w:color="auto" w:fill="auto"/>
          </w:tcPr>
          <w:p w14:paraId="6C156C99">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vertAlign w:val="baseline"/>
                <w:lang w:val="en-US" w:eastAsia="zh-CN" w:bidi="zh-CN"/>
              </w:rPr>
              <w:t>预计就餐人数</w:t>
            </w:r>
          </w:p>
          <w:p w14:paraId="500229A9">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vertAlign w:val="baseline"/>
                <w:lang w:val="en-US" w:eastAsia="zh-CN" w:bidi="zh-CN"/>
              </w:rPr>
              <w:t>（以实际用餐人数为准）</w:t>
            </w:r>
          </w:p>
        </w:tc>
      </w:tr>
      <w:tr w14:paraId="45A2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99" w:type="dxa"/>
            <w:vMerge w:val="restart"/>
            <w:shd w:val="clear" w:color="auto" w:fill="auto"/>
            <w:vAlign w:val="center"/>
          </w:tcPr>
          <w:p w14:paraId="37B91D1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highlight w:val="none"/>
                <w:shd w:val="clear" w:color="auto" w:fill="auto"/>
                <w:vertAlign w:val="baseline"/>
                <w:lang w:val="en-US" w:eastAsia="zh-CN" w:bidi="zh-CN"/>
              </w:rPr>
            </w:pPr>
            <w:r>
              <w:rPr>
                <w:rFonts w:hint="eastAsia" w:ascii="宋体" w:hAnsi="宋体" w:eastAsia="宋体" w:cs="宋体"/>
                <w:b w:val="0"/>
                <w:bCs w:val="0"/>
                <w:kern w:val="2"/>
                <w:sz w:val="22"/>
                <w:szCs w:val="22"/>
                <w:highlight w:val="none"/>
                <w:shd w:val="clear" w:color="auto" w:fill="auto"/>
                <w:vertAlign w:val="baseline"/>
                <w:lang w:val="en-US" w:eastAsia="zh-CN" w:bidi="zh-CN"/>
              </w:rPr>
              <w:t>1</w:t>
            </w:r>
          </w:p>
        </w:tc>
        <w:tc>
          <w:tcPr>
            <w:tcW w:w="1427" w:type="dxa"/>
            <w:vMerge w:val="restart"/>
            <w:shd w:val="clear" w:color="auto" w:fill="auto"/>
            <w:vAlign w:val="center"/>
          </w:tcPr>
          <w:p w14:paraId="43C5766C">
            <w:pPr>
              <w:pStyle w:val="3"/>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kern w:val="2"/>
                <w:sz w:val="22"/>
                <w:szCs w:val="22"/>
                <w:highlight w:val="none"/>
                <w:shd w:val="clear" w:color="auto" w:fill="auto"/>
                <w:vertAlign w:val="baseline"/>
                <w:lang w:val="en-US" w:eastAsia="zh-CN" w:bidi="zh-CN"/>
              </w:rPr>
            </w:pPr>
            <w:r>
              <w:rPr>
                <w:rFonts w:hint="eastAsia" w:ascii="宋体" w:hAnsi="宋体" w:eastAsia="宋体" w:cs="宋体"/>
                <w:b w:val="0"/>
                <w:bCs w:val="0"/>
                <w:kern w:val="2"/>
                <w:sz w:val="22"/>
                <w:szCs w:val="22"/>
                <w:highlight w:val="none"/>
                <w:shd w:val="clear" w:color="auto" w:fill="auto"/>
                <w:lang w:val="en-US" w:eastAsia="zh-CN" w:bidi="ar-SA"/>
              </w:rPr>
              <w:t>新胜小学、接龙小学、兆隆小学、益隆小学、同乐小学配餐服务</w:t>
            </w:r>
          </w:p>
        </w:tc>
        <w:tc>
          <w:tcPr>
            <w:tcW w:w="1149" w:type="dxa"/>
            <w:vMerge w:val="restart"/>
            <w:shd w:val="clear" w:color="auto" w:fill="auto"/>
            <w:vAlign w:val="center"/>
          </w:tcPr>
          <w:p w14:paraId="14436677">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vertAlign w:val="baseline"/>
                <w:lang w:val="en-US" w:eastAsia="zh-CN" w:bidi="zh-CN"/>
              </w:rPr>
            </w:pPr>
            <w:r>
              <w:rPr>
                <w:rFonts w:hint="eastAsia" w:ascii="宋体" w:hAnsi="宋体" w:eastAsia="宋体" w:cs="宋体"/>
                <w:b w:val="0"/>
                <w:bCs w:val="0"/>
                <w:kern w:val="2"/>
                <w:sz w:val="22"/>
                <w:szCs w:val="22"/>
                <w:highlight w:val="none"/>
                <w:shd w:val="clear" w:color="auto" w:fill="auto"/>
                <w:vertAlign w:val="baseline"/>
                <w:lang w:val="en-US" w:eastAsia="zh-CN" w:bidi="zh-CN"/>
              </w:rPr>
              <w:t>1家</w:t>
            </w:r>
          </w:p>
        </w:tc>
        <w:tc>
          <w:tcPr>
            <w:tcW w:w="1573" w:type="dxa"/>
            <w:vMerge w:val="restart"/>
            <w:shd w:val="clear" w:color="auto" w:fill="auto"/>
            <w:vAlign w:val="center"/>
          </w:tcPr>
          <w:p w14:paraId="0CE814F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spacing w:val="8"/>
                <w:sz w:val="22"/>
                <w:szCs w:val="22"/>
                <w:lang w:eastAsia="zh-CN"/>
              </w:rPr>
            </w:pPr>
            <w:r>
              <w:rPr>
                <w:rFonts w:hint="eastAsia" w:ascii="宋体" w:hAnsi="宋体" w:eastAsia="宋体" w:cs="宋体"/>
                <w:spacing w:val="8"/>
                <w:sz w:val="22"/>
                <w:szCs w:val="22"/>
                <w:lang w:val="en-US" w:eastAsia="zh-CN"/>
              </w:rPr>
              <w:t>1.</w:t>
            </w:r>
            <w:r>
              <w:rPr>
                <w:rFonts w:hint="eastAsia" w:ascii="宋体" w:hAnsi="宋体" w:eastAsia="宋体" w:cs="宋体"/>
                <w:spacing w:val="8"/>
                <w:sz w:val="22"/>
                <w:szCs w:val="22"/>
              </w:rPr>
              <w:t>早餐为5元/人/餐</w:t>
            </w:r>
            <w:r>
              <w:rPr>
                <w:rFonts w:hint="eastAsia" w:ascii="宋体" w:hAnsi="宋体" w:eastAsia="宋体" w:cs="宋体"/>
                <w:spacing w:val="8"/>
                <w:sz w:val="22"/>
                <w:szCs w:val="22"/>
                <w:lang w:eastAsia="zh-CN"/>
              </w:rPr>
              <w:t>；</w:t>
            </w:r>
          </w:p>
          <w:p w14:paraId="7561BFB6">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spacing w:val="7"/>
                <w:sz w:val="22"/>
                <w:szCs w:val="22"/>
                <w:lang w:eastAsia="zh-CN"/>
              </w:rPr>
            </w:pPr>
            <w:r>
              <w:rPr>
                <w:rFonts w:hint="eastAsia" w:ascii="宋体" w:hAnsi="宋体" w:eastAsia="宋体" w:cs="宋体"/>
                <w:spacing w:val="8"/>
                <w:sz w:val="22"/>
                <w:szCs w:val="22"/>
                <w:lang w:val="en-US" w:eastAsia="zh-CN"/>
              </w:rPr>
              <w:t>2.</w:t>
            </w:r>
            <w:r>
              <w:rPr>
                <w:rFonts w:hint="eastAsia" w:ascii="宋体" w:hAnsi="宋体" w:eastAsia="宋体" w:cs="宋体"/>
                <w:spacing w:val="8"/>
                <w:sz w:val="22"/>
                <w:szCs w:val="22"/>
              </w:rPr>
              <w:t>午餐为10元/</w:t>
            </w:r>
            <w:r>
              <w:rPr>
                <w:rFonts w:hint="eastAsia" w:ascii="宋体" w:hAnsi="宋体" w:eastAsia="宋体" w:cs="宋体"/>
                <w:spacing w:val="7"/>
                <w:sz w:val="22"/>
                <w:szCs w:val="22"/>
              </w:rPr>
              <w:t>人/餐</w:t>
            </w:r>
            <w:r>
              <w:rPr>
                <w:rFonts w:hint="eastAsia" w:ascii="宋体" w:hAnsi="宋体" w:eastAsia="宋体" w:cs="宋体"/>
                <w:spacing w:val="7"/>
                <w:sz w:val="22"/>
                <w:szCs w:val="22"/>
                <w:lang w:eastAsia="zh-CN"/>
              </w:rPr>
              <w:t>；</w:t>
            </w:r>
          </w:p>
          <w:p w14:paraId="0DF5640B">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val="0"/>
                <w:kern w:val="2"/>
                <w:sz w:val="22"/>
                <w:szCs w:val="22"/>
                <w:highlight w:val="none"/>
                <w:shd w:val="clear" w:color="auto" w:fill="auto"/>
                <w:lang w:val="en-US" w:eastAsia="zh-CN" w:bidi="ar-SA"/>
              </w:rPr>
            </w:pPr>
            <w:r>
              <w:rPr>
                <w:rFonts w:hint="eastAsia" w:ascii="宋体" w:hAnsi="宋体" w:eastAsia="宋体" w:cs="宋体"/>
                <w:spacing w:val="7"/>
                <w:sz w:val="22"/>
                <w:szCs w:val="22"/>
                <w:lang w:val="en-US" w:eastAsia="zh-CN"/>
              </w:rPr>
              <w:t>3.下午茶按需提供，具体事宜由各学校与中标单位自行协商约定。</w:t>
            </w:r>
          </w:p>
        </w:tc>
        <w:tc>
          <w:tcPr>
            <w:tcW w:w="2117" w:type="dxa"/>
            <w:shd w:val="clear" w:color="auto" w:fill="auto"/>
            <w:vAlign w:val="center"/>
          </w:tcPr>
          <w:p w14:paraId="2C93DC6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r>
              <w:rPr>
                <w:rFonts w:hint="eastAsia" w:ascii="宋体" w:hAnsi="宋体" w:eastAsia="宋体" w:cs="宋体"/>
                <w:b w:val="0"/>
                <w:bCs w:val="0"/>
                <w:kern w:val="2"/>
                <w:sz w:val="22"/>
                <w:szCs w:val="22"/>
                <w:highlight w:val="none"/>
                <w:shd w:val="clear" w:color="auto" w:fill="auto"/>
                <w:lang w:val="en-US" w:eastAsia="zh-CN" w:bidi="ar-SA"/>
              </w:rPr>
              <w:t>新胜小学</w:t>
            </w:r>
          </w:p>
        </w:tc>
        <w:tc>
          <w:tcPr>
            <w:tcW w:w="1557" w:type="dxa"/>
            <w:shd w:val="clear" w:color="auto" w:fill="auto"/>
            <w:vAlign w:val="center"/>
          </w:tcPr>
          <w:p w14:paraId="7A9C7C45">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r>
              <w:rPr>
                <w:rFonts w:hint="eastAsia" w:ascii="宋体" w:hAnsi="宋体" w:eastAsia="宋体" w:cs="宋体"/>
                <w:b w:val="0"/>
                <w:bCs w:val="0"/>
                <w:kern w:val="2"/>
                <w:sz w:val="22"/>
                <w:szCs w:val="22"/>
                <w:highlight w:val="none"/>
                <w:shd w:val="clear" w:color="auto" w:fill="auto"/>
                <w:lang w:val="en-US" w:eastAsia="zh-CN" w:bidi="ar-SA"/>
              </w:rPr>
              <w:t>767人</w:t>
            </w:r>
          </w:p>
        </w:tc>
      </w:tr>
      <w:tr w14:paraId="2F01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99" w:type="dxa"/>
            <w:vMerge w:val="continue"/>
            <w:shd w:val="clear" w:color="auto" w:fill="auto"/>
            <w:vAlign w:val="center"/>
          </w:tcPr>
          <w:p w14:paraId="775DA6E9">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z w:val="22"/>
                <w:szCs w:val="22"/>
                <w:highlight w:val="none"/>
                <w:shd w:val="clear" w:color="auto" w:fill="auto"/>
              </w:rPr>
            </w:pPr>
          </w:p>
        </w:tc>
        <w:tc>
          <w:tcPr>
            <w:tcW w:w="1427" w:type="dxa"/>
            <w:vMerge w:val="continue"/>
            <w:shd w:val="clear" w:color="auto" w:fill="auto"/>
            <w:vAlign w:val="center"/>
          </w:tcPr>
          <w:p w14:paraId="647975F7">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z w:val="22"/>
                <w:szCs w:val="22"/>
                <w:highlight w:val="none"/>
                <w:shd w:val="clear" w:color="auto" w:fill="auto"/>
              </w:rPr>
            </w:pPr>
          </w:p>
        </w:tc>
        <w:tc>
          <w:tcPr>
            <w:tcW w:w="1149" w:type="dxa"/>
            <w:vMerge w:val="continue"/>
            <w:shd w:val="clear" w:color="auto" w:fill="auto"/>
            <w:vAlign w:val="center"/>
          </w:tcPr>
          <w:p w14:paraId="28E6D1C4">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z w:val="22"/>
                <w:szCs w:val="22"/>
                <w:highlight w:val="none"/>
                <w:shd w:val="clear" w:color="auto" w:fill="auto"/>
              </w:rPr>
            </w:pPr>
          </w:p>
        </w:tc>
        <w:tc>
          <w:tcPr>
            <w:tcW w:w="1573" w:type="dxa"/>
            <w:vMerge w:val="continue"/>
            <w:shd w:val="clear" w:color="auto" w:fill="auto"/>
            <w:vAlign w:val="center"/>
          </w:tcPr>
          <w:p w14:paraId="1EFFAF43">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p>
        </w:tc>
        <w:tc>
          <w:tcPr>
            <w:tcW w:w="2117" w:type="dxa"/>
            <w:shd w:val="clear" w:color="auto" w:fill="auto"/>
            <w:vAlign w:val="center"/>
          </w:tcPr>
          <w:p w14:paraId="5889E5BE">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r>
              <w:rPr>
                <w:rFonts w:hint="eastAsia" w:ascii="宋体" w:hAnsi="宋体" w:eastAsia="宋体" w:cs="宋体"/>
                <w:b w:val="0"/>
                <w:bCs w:val="0"/>
                <w:kern w:val="2"/>
                <w:sz w:val="22"/>
                <w:szCs w:val="22"/>
                <w:highlight w:val="none"/>
                <w:shd w:val="clear" w:color="auto" w:fill="auto"/>
                <w:lang w:val="en-US" w:eastAsia="zh-CN" w:bidi="ar-SA"/>
              </w:rPr>
              <w:t>接龙小学</w:t>
            </w:r>
          </w:p>
        </w:tc>
        <w:tc>
          <w:tcPr>
            <w:tcW w:w="1557" w:type="dxa"/>
            <w:shd w:val="clear" w:color="auto" w:fill="auto"/>
            <w:vAlign w:val="center"/>
          </w:tcPr>
          <w:p w14:paraId="5931F81F">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r>
              <w:rPr>
                <w:rFonts w:hint="eastAsia" w:ascii="宋体" w:hAnsi="宋体" w:eastAsia="宋体" w:cs="宋体"/>
                <w:b w:val="0"/>
                <w:bCs w:val="0"/>
                <w:kern w:val="2"/>
                <w:sz w:val="22"/>
                <w:szCs w:val="22"/>
                <w:highlight w:val="none"/>
                <w:shd w:val="clear" w:color="auto" w:fill="auto"/>
                <w:lang w:val="en-US" w:eastAsia="zh-CN" w:bidi="ar-SA"/>
              </w:rPr>
              <w:t>1829人</w:t>
            </w:r>
          </w:p>
        </w:tc>
      </w:tr>
      <w:tr w14:paraId="6516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99" w:type="dxa"/>
            <w:vMerge w:val="continue"/>
            <w:shd w:val="clear" w:color="auto" w:fill="auto"/>
            <w:vAlign w:val="center"/>
          </w:tcPr>
          <w:p w14:paraId="2094241A">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427" w:type="dxa"/>
            <w:vMerge w:val="continue"/>
            <w:shd w:val="clear" w:color="auto" w:fill="auto"/>
            <w:vAlign w:val="center"/>
          </w:tcPr>
          <w:p w14:paraId="5FD86EE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149" w:type="dxa"/>
            <w:vMerge w:val="continue"/>
            <w:shd w:val="clear" w:color="auto" w:fill="auto"/>
            <w:vAlign w:val="center"/>
          </w:tcPr>
          <w:p w14:paraId="070E7D68">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p>
        </w:tc>
        <w:tc>
          <w:tcPr>
            <w:tcW w:w="1573" w:type="dxa"/>
            <w:vMerge w:val="continue"/>
            <w:shd w:val="clear" w:color="auto" w:fill="auto"/>
            <w:vAlign w:val="center"/>
          </w:tcPr>
          <w:p w14:paraId="512EF0B0">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p>
        </w:tc>
        <w:tc>
          <w:tcPr>
            <w:tcW w:w="2117" w:type="dxa"/>
            <w:shd w:val="clear" w:color="auto" w:fill="auto"/>
            <w:vAlign w:val="center"/>
          </w:tcPr>
          <w:p w14:paraId="78602854">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r>
              <w:rPr>
                <w:rFonts w:hint="eastAsia" w:ascii="宋体" w:hAnsi="宋体" w:eastAsia="宋体" w:cs="宋体"/>
                <w:b w:val="0"/>
                <w:bCs w:val="0"/>
                <w:kern w:val="2"/>
                <w:sz w:val="22"/>
                <w:szCs w:val="22"/>
                <w:highlight w:val="none"/>
                <w:shd w:val="clear" w:color="auto" w:fill="auto"/>
                <w:lang w:val="en-US" w:eastAsia="zh-CN" w:bidi="ar-SA"/>
              </w:rPr>
              <w:t>兆隆小学</w:t>
            </w:r>
          </w:p>
        </w:tc>
        <w:tc>
          <w:tcPr>
            <w:tcW w:w="1557" w:type="dxa"/>
            <w:shd w:val="clear" w:color="auto" w:fill="auto"/>
            <w:vAlign w:val="center"/>
          </w:tcPr>
          <w:p w14:paraId="3542B850">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r>
              <w:rPr>
                <w:rFonts w:hint="eastAsia" w:ascii="宋体" w:hAnsi="宋体" w:eastAsia="宋体" w:cs="宋体"/>
                <w:b w:val="0"/>
                <w:bCs w:val="0"/>
                <w:kern w:val="2"/>
                <w:sz w:val="22"/>
                <w:szCs w:val="22"/>
                <w:highlight w:val="none"/>
                <w:shd w:val="clear" w:color="auto" w:fill="auto"/>
                <w:lang w:val="en-US" w:eastAsia="zh-CN" w:bidi="ar-SA"/>
              </w:rPr>
              <w:t>1022人</w:t>
            </w:r>
          </w:p>
        </w:tc>
      </w:tr>
      <w:tr w14:paraId="4088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99" w:type="dxa"/>
            <w:vMerge w:val="continue"/>
            <w:shd w:val="clear" w:color="auto" w:fill="auto"/>
            <w:vAlign w:val="center"/>
          </w:tcPr>
          <w:p w14:paraId="163E15B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427" w:type="dxa"/>
            <w:vMerge w:val="continue"/>
            <w:shd w:val="clear" w:color="auto" w:fill="auto"/>
            <w:vAlign w:val="center"/>
          </w:tcPr>
          <w:p w14:paraId="69B6068A">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149" w:type="dxa"/>
            <w:vMerge w:val="continue"/>
            <w:shd w:val="clear" w:color="auto" w:fill="auto"/>
            <w:vAlign w:val="center"/>
          </w:tcPr>
          <w:p w14:paraId="6575C33A">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p>
        </w:tc>
        <w:tc>
          <w:tcPr>
            <w:tcW w:w="1573" w:type="dxa"/>
            <w:vMerge w:val="continue"/>
            <w:shd w:val="clear" w:color="auto" w:fill="auto"/>
            <w:vAlign w:val="center"/>
          </w:tcPr>
          <w:p w14:paraId="1887176D">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p>
        </w:tc>
        <w:tc>
          <w:tcPr>
            <w:tcW w:w="2117" w:type="dxa"/>
            <w:shd w:val="clear" w:color="auto" w:fill="auto"/>
            <w:vAlign w:val="center"/>
          </w:tcPr>
          <w:p w14:paraId="37796A59">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r>
              <w:rPr>
                <w:rFonts w:hint="eastAsia" w:ascii="宋体" w:hAnsi="宋体" w:eastAsia="宋体" w:cs="宋体"/>
                <w:b w:val="0"/>
                <w:bCs w:val="0"/>
                <w:kern w:val="2"/>
                <w:sz w:val="22"/>
                <w:szCs w:val="22"/>
                <w:highlight w:val="none"/>
                <w:shd w:val="clear" w:color="auto" w:fill="auto"/>
                <w:lang w:val="en-US" w:eastAsia="zh-CN" w:bidi="ar-SA"/>
              </w:rPr>
              <w:t>益隆小学</w:t>
            </w:r>
          </w:p>
        </w:tc>
        <w:tc>
          <w:tcPr>
            <w:tcW w:w="1557" w:type="dxa"/>
            <w:shd w:val="clear" w:color="auto" w:fill="auto"/>
            <w:vAlign w:val="center"/>
          </w:tcPr>
          <w:p w14:paraId="2D64E95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r>
              <w:rPr>
                <w:rFonts w:hint="eastAsia" w:ascii="宋体" w:hAnsi="宋体" w:eastAsia="宋体" w:cs="宋体"/>
                <w:b w:val="0"/>
                <w:bCs w:val="0"/>
                <w:kern w:val="2"/>
                <w:sz w:val="22"/>
                <w:szCs w:val="22"/>
                <w:highlight w:val="none"/>
                <w:shd w:val="clear" w:color="auto" w:fill="auto"/>
                <w:lang w:val="en-US" w:eastAsia="zh-CN" w:bidi="ar-SA"/>
              </w:rPr>
              <w:t>796人</w:t>
            </w:r>
          </w:p>
        </w:tc>
      </w:tr>
      <w:tr w14:paraId="085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99" w:type="dxa"/>
            <w:vMerge w:val="continue"/>
            <w:shd w:val="clear" w:color="auto" w:fill="auto"/>
            <w:vAlign w:val="center"/>
          </w:tcPr>
          <w:p w14:paraId="27030507">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427" w:type="dxa"/>
            <w:vMerge w:val="continue"/>
            <w:shd w:val="clear" w:color="auto" w:fill="auto"/>
            <w:vAlign w:val="center"/>
          </w:tcPr>
          <w:p w14:paraId="68BC81B2">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149" w:type="dxa"/>
            <w:vMerge w:val="continue"/>
            <w:shd w:val="clear" w:color="auto" w:fill="auto"/>
            <w:vAlign w:val="center"/>
          </w:tcPr>
          <w:p w14:paraId="68C2DDAE">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p>
        </w:tc>
        <w:tc>
          <w:tcPr>
            <w:tcW w:w="1573" w:type="dxa"/>
            <w:vMerge w:val="continue"/>
            <w:shd w:val="clear" w:color="auto" w:fill="auto"/>
            <w:vAlign w:val="center"/>
          </w:tcPr>
          <w:p w14:paraId="0D07300E">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p>
        </w:tc>
        <w:tc>
          <w:tcPr>
            <w:tcW w:w="2117" w:type="dxa"/>
            <w:shd w:val="clear" w:color="auto" w:fill="auto"/>
            <w:vAlign w:val="center"/>
          </w:tcPr>
          <w:p w14:paraId="1CD789E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r>
              <w:rPr>
                <w:rFonts w:hint="eastAsia" w:ascii="宋体" w:hAnsi="宋体" w:eastAsia="宋体" w:cs="宋体"/>
                <w:b w:val="0"/>
                <w:bCs w:val="0"/>
                <w:kern w:val="2"/>
                <w:sz w:val="22"/>
                <w:szCs w:val="22"/>
                <w:highlight w:val="none"/>
                <w:shd w:val="clear" w:color="auto" w:fill="auto"/>
                <w:lang w:val="en-US" w:eastAsia="zh-CN" w:bidi="ar-SA"/>
              </w:rPr>
              <w:t>同乐小学</w:t>
            </w:r>
          </w:p>
        </w:tc>
        <w:tc>
          <w:tcPr>
            <w:tcW w:w="1557" w:type="dxa"/>
            <w:shd w:val="clear" w:color="auto" w:fill="auto"/>
            <w:vAlign w:val="center"/>
          </w:tcPr>
          <w:p w14:paraId="413BB4B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highlight w:val="none"/>
                <w:shd w:val="clear" w:color="auto" w:fill="auto"/>
                <w:lang w:val="en-US" w:eastAsia="zh-CN" w:bidi="ar-SA"/>
              </w:rPr>
            </w:pPr>
            <w:r>
              <w:rPr>
                <w:rFonts w:hint="eastAsia" w:ascii="宋体" w:hAnsi="宋体" w:eastAsia="宋体" w:cs="宋体"/>
                <w:b w:val="0"/>
                <w:bCs w:val="0"/>
                <w:kern w:val="2"/>
                <w:sz w:val="22"/>
                <w:szCs w:val="22"/>
                <w:highlight w:val="none"/>
                <w:shd w:val="clear" w:color="auto" w:fill="auto"/>
                <w:lang w:val="en-US" w:eastAsia="zh-CN" w:bidi="ar-SA"/>
              </w:rPr>
              <w:t>1789人</w:t>
            </w:r>
          </w:p>
        </w:tc>
      </w:tr>
      <w:tr w14:paraId="410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99" w:type="dxa"/>
            <w:vMerge w:val="continue"/>
            <w:shd w:val="clear" w:color="auto" w:fill="auto"/>
            <w:vAlign w:val="center"/>
          </w:tcPr>
          <w:p w14:paraId="3BB11C81">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427" w:type="dxa"/>
            <w:vMerge w:val="continue"/>
            <w:shd w:val="clear" w:color="auto" w:fill="auto"/>
            <w:vAlign w:val="center"/>
          </w:tcPr>
          <w:p w14:paraId="22981655">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pacing w:val="7"/>
                <w:sz w:val="22"/>
                <w:szCs w:val="22"/>
                <w:highlight w:val="none"/>
                <w:shd w:val="clear" w:color="auto" w:fill="auto"/>
                <w:lang w:val="en-US" w:eastAsia="zh-CN"/>
              </w:rPr>
            </w:pPr>
          </w:p>
        </w:tc>
        <w:tc>
          <w:tcPr>
            <w:tcW w:w="1149" w:type="dxa"/>
            <w:vMerge w:val="continue"/>
            <w:shd w:val="clear" w:color="auto" w:fill="auto"/>
            <w:vAlign w:val="center"/>
          </w:tcPr>
          <w:p w14:paraId="674C5CA7">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pacing w:val="7"/>
                <w:sz w:val="22"/>
                <w:szCs w:val="22"/>
                <w:highlight w:val="none"/>
                <w:shd w:val="clear" w:color="auto" w:fill="auto"/>
                <w:lang w:val="en-US" w:eastAsia="zh-CN"/>
              </w:rPr>
            </w:pPr>
          </w:p>
        </w:tc>
        <w:tc>
          <w:tcPr>
            <w:tcW w:w="1573" w:type="dxa"/>
            <w:vMerge w:val="continue"/>
            <w:shd w:val="clear" w:color="auto" w:fill="auto"/>
            <w:vAlign w:val="center"/>
          </w:tcPr>
          <w:p w14:paraId="4F435641">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bCs/>
                <w:spacing w:val="7"/>
                <w:sz w:val="22"/>
                <w:szCs w:val="22"/>
                <w:highlight w:val="none"/>
                <w:shd w:val="clear" w:color="auto" w:fill="auto"/>
                <w:lang w:val="en-US" w:eastAsia="zh-CN"/>
              </w:rPr>
            </w:pPr>
          </w:p>
        </w:tc>
        <w:tc>
          <w:tcPr>
            <w:tcW w:w="2117" w:type="dxa"/>
            <w:shd w:val="clear" w:color="auto" w:fill="auto"/>
            <w:vAlign w:val="center"/>
          </w:tcPr>
          <w:p w14:paraId="31577ABD">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bCs/>
                <w:spacing w:val="7"/>
                <w:sz w:val="22"/>
                <w:szCs w:val="22"/>
                <w:highlight w:val="none"/>
                <w:shd w:val="clear" w:color="auto" w:fill="auto"/>
                <w:lang w:val="en-US" w:eastAsia="zh-CN"/>
              </w:rPr>
            </w:pPr>
            <w:r>
              <w:rPr>
                <w:rFonts w:hint="eastAsia" w:ascii="宋体" w:hAnsi="宋体" w:eastAsia="宋体" w:cs="宋体"/>
                <w:b/>
                <w:bCs/>
                <w:spacing w:val="7"/>
                <w:sz w:val="22"/>
                <w:szCs w:val="22"/>
                <w:highlight w:val="none"/>
                <w:shd w:val="clear" w:color="auto" w:fill="auto"/>
                <w:lang w:val="en-US" w:eastAsia="zh-CN"/>
              </w:rPr>
              <w:t>合计</w:t>
            </w:r>
          </w:p>
        </w:tc>
        <w:tc>
          <w:tcPr>
            <w:tcW w:w="1557" w:type="dxa"/>
            <w:shd w:val="clear" w:color="auto" w:fill="auto"/>
            <w:vAlign w:val="center"/>
          </w:tcPr>
          <w:p w14:paraId="311B558E">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bCs/>
                <w:kern w:val="2"/>
                <w:sz w:val="22"/>
                <w:szCs w:val="22"/>
                <w:highlight w:val="none"/>
                <w:shd w:val="clear" w:color="auto" w:fill="auto"/>
                <w:lang w:val="en-US" w:eastAsia="zh-CN" w:bidi="ar-SA"/>
              </w:rPr>
            </w:pPr>
            <w:r>
              <w:rPr>
                <w:rFonts w:hint="eastAsia" w:ascii="宋体" w:hAnsi="宋体" w:eastAsia="宋体" w:cs="宋体"/>
                <w:b/>
                <w:bCs/>
                <w:kern w:val="2"/>
                <w:sz w:val="22"/>
                <w:szCs w:val="22"/>
                <w:highlight w:val="none"/>
                <w:shd w:val="clear" w:color="auto" w:fill="auto"/>
                <w:lang w:val="en-US" w:eastAsia="zh-CN" w:bidi="ar-SA"/>
              </w:rPr>
              <w:t>6203人</w:t>
            </w:r>
          </w:p>
        </w:tc>
      </w:tr>
      <w:tr w14:paraId="589C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99" w:type="dxa"/>
            <w:vMerge w:val="restart"/>
            <w:shd w:val="clear" w:color="auto" w:fill="auto"/>
            <w:vAlign w:val="center"/>
          </w:tcPr>
          <w:p w14:paraId="39A10A1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vertAlign w:val="baseline"/>
                <w:lang w:val="en-US" w:eastAsia="zh-CN" w:bidi="zh-CN"/>
              </w:rPr>
              <w:t>2</w:t>
            </w:r>
          </w:p>
        </w:tc>
        <w:tc>
          <w:tcPr>
            <w:tcW w:w="1427" w:type="dxa"/>
            <w:vMerge w:val="restart"/>
            <w:shd w:val="clear" w:color="auto" w:fill="auto"/>
            <w:vAlign w:val="center"/>
          </w:tcPr>
          <w:p w14:paraId="32E41A70">
            <w:pPr>
              <w:pStyle w:val="3"/>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lang w:val="en-US" w:eastAsia="zh-CN" w:bidi="ar-SA"/>
              </w:rPr>
              <w:t>东升中学、利生小学、太平小学、同茂小学、坦背小学配餐服务</w:t>
            </w:r>
          </w:p>
        </w:tc>
        <w:tc>
          <w:tcPr>
            <w:tcW w:w="1149" w:type="dxa"/>
            <w:vMerge w:val="restart"/>
            <w:shd w:val="clear" w:color="auto" w:fill="auto"/>
            <w:vAlign w:val="center"/>
          </w:tcPr>
          <w:p w14:paraId="6ED58BF3">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vertAlign w:val="baseline"/>
                <w:lang w:val="en-US" w:eastAsia="zh-CN" w:bidi="zh-CN"/>
              </w:rPr>
              <w:t>1家</w:t>
            </w:r>
          </w:p>
        </w:tc>
        <w:tc>
          <w:tcPr>
            <w:tcW w:w="1573" w:type="dxa"/>
            <w:vMerge w:val="continue"/>
            <w:shd w:val="clear" w:color="auto" w:fill="auto"/>
            <w:vAlign w:val="center"/>
          </w:tcPr>
          <w:p w14:paraId="57C7309F">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p>
        </w:tc>
        <w:tc>
          <w:tcPr>
            <w:tcW w:w="2117" w:type="dxa"/>
            <w:shd w:val="clear" w:color="auto" w:fill="auto"/>
            <w:vAlign w:val="center"/>
          </w:tcPr>
          <w:p w14:paraId="25D0922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lang w:val="en-US" w:eastAsia="zh-CN" w:bidi="ar-SA"/>
              </w:rPr>
              <w:t>东升中学</w:t>
            </w:r>
          </w:p>
        </w:tc>
        <w:tc>
          <w:tcPr>
            <w:tcW w:w="1557" w:type="dxa"/>
            <w:shd w:val="clear" w:color="auto" w:fill="auto"/>
            <w:vAlign w:val="center"/>
          </w:tcPr>
          <w:p w14:paraId="45413DCD">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2860人</w:t>
            </w:r>
          </w:p>
        </w:tc>
      </w:tr>
      <w:tr w14:paraId="456D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99" w:type="dxa"/>
            <w:vMerge w:val="continue"/>
            <w:shd w:val="clear" w:color="auto" w:fill="auto"/>
            <w:vAlign w:val="center"/>
          </w:tcPr>
          <w:p w14:paraId="0CEF5D76">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z w:val="22"/>
                <w:szCs w:val="22"/>
              </w:rPr>
            </w:pPr>
          </w:p>
        </w:tc>
        <w:tc>
          <w:tcPr>
            <w:tcW w:w="1427" w:type="dxa"/>
            <w:vMerge w:val="continue"/>
            <w:shd w:val="clear" w:color="auto" w:fill="auto"/>
            <w:vAlign w:val="center"/>
          </w:tcPr>
          <w:p w14:paraId="0DE2441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z w:val="22"/>
                <w:szCs w:val="22"/>
              </w:rPr>
            </w:pPr>
          </w:p>
        </w:tc>
        <w:tc>
          <w:tcPr>
            <w:tcW w:w="1149" w:type="dxa"/>
            <w:vMerge w:val="continue"/>
            <w:shd w:val="clear" w:color="auto" w:fill="auto"/>
            <w:vAlign w:val="center"/>
          </w:tcPr>
          <w:p w14:paraId="72DF998B">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sz w:val="22"/>
                <w:szCs w:val="22"/>
              </w:rPr>
            </w:pPr>
          </w:p>
        </w:tc>
        <w:tc>
          <w:tcPr>
            <w:tcW w:w="1573" w:type="dxa"/>
            <w:vMerge w:val="continue"/>
            <w:shd w:val="clear" w:color="auto" w:fill="auto"/>
            <w:vAlign w:val="center"/>
          </w:tcPr>
          <w:p w14:paraId="2798236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p>
        </w:tc>
        <w:tc>
          <w:tcPr>
            <w:tcW w:w="2117" w:type="dxa"/>
            <w:shd w:val="clear" w:color="auto" w:fill="auto"/>
            <w:vAlign w:val="center"/>
          </w:tcPr>
          <w:p w14:paraId="67FB492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lang w:val="en-US" w:eastAsia="zh-CN" w:bidi="ar-SA"/>
              </w:rPr>
              <w:t>利生小学</w:t>
            </w:r>
          </w:p>
        </w:tc>
        <w:tc>
          <w:tcPr>
            <w:tcW w:w="1557" w:type="dxa"/>
            <w:shd w:val="clear" w:color="auto" w:fill="auto"/>
            <w:vAlign w:val="center"/>
          </w:tcPr>
          <w:p w14:paraId="5F678A6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1224人</w:t>
            </w:r>
          </w:p>
        </w:tc>
      </w:tr>
      <w:tr w14:paraId="727C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99" w:type="dxa"/>
            <w:vMerge w:val="continue"/>
            <w:shd w:val="clear" w:color="auto" w:fill="auto"/>
            <w:vAlign w:val="center"/>
          </w:tcPr>
          <w:p w14:paraId="09CA2F63">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427" w:type="dxa"/>
            <w:vMerge w:val="continue"/>
            <w:shd w:val="clear" w:color="auto" w:fill="auto"/>
            <w:vAlign w:val="center"/>
          </w:tcPr>
          <w:p w14:paraId="32AE8358">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149" w:type="dxa"/>
            <w:vMerge w:val="continue"/>
            <w:shd w:val="clear" w:color="auto" w:fill="auto"/>
            <w:vAlign w:val="center"/>
          </w:tcPr>
          <w:p w14:paraId="30B1F79E">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573" w:type="dxa"/>
            <w:vMerge w:val="continue"/>
            <w:shd w:val="clear" w:color="auto" w:fill="auto"/>
            <w:vAlign w:val="center"/>
          </w:tcPr>
          <w:p w14:paraId="2C08C79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p>
        </w:tc>
        <w:tc>
          <w:tcPr>
            <w:tcW w:w="2117" w:type="dxa"/>
            <w:shd w:val="clear" w:color="auto" w:fill="auto"/>
            <w:vAlign w:val="center"/>
          </w:tcPr>
          <w:p w14:paraId="1E30D4D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lang w:val="en-US" w:eastAsia="zh-CN" w:bidi="ar-SA"/>
              </w:rPr>
              <w:t>太平小学</w:t>
            </w:r>
          </w:p>
        </w:tc>
        <w:tc>
          <w:tcPr>
            <w:tcW w:w="1557" w:type="dxa"/>
            <w:shd w:val="clear" w:color="auto" w:fill="auto"/>
            <w:vAlign w:val="center"/>
          </w:tcPr>
          <w:p w14:paraId="6D177F4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747人</w:t>
            </w:r>
          </w:p>
        </w:tc>
      </w:tr>
      <w:tr w14:paraId="484D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99" w:type="dxa"/>
            <w:vMerge w:val="continue"/>
            <w:shd w:val="clear" w:color="auto" w:fill="auto"/>
            <w:vAlign w:val="center"/>
          </w:tcPr>
          <w:p w14:paraId="06866A7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427" w:type="dxa"/>
            <w:vMerge w:val="continue"/>
            <w:shd w:val="clear" w:color="auto" w:fill="auto"/>
            <w:vAlign w:val="center"/>
          </w:tcPr>
          <w:p w14:paraId="518E9E6B">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149" w:type="dxa"/>
            <w:vMerge w:val="continue"/>
            <w:shd w:val="clear" w:color="auto" w:fill="auto"/>
            <w:vAlign w:val="center"/>
          </w:tcPr>
          <w:p w14:paraId="2F127C96">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573" w:type="dxa"/>
            <w:vMerge w:val="continue"/>
            <w:shd w:val="clear" w:color="auto" w:fill="auto"/>
            <w:vAlign w:val="center"/>
          </w:tcPr>
          <w:p w14:paraId="242A712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p>
        </w:tc>
        <w:tc>
          <w:tcPr>
            <w:tcW w:w="2117" w:type="dxa"/>
            <w:shd w:val="clear" w:color="auto" w:fill="auto"/>
            <w:vAlign w:val="center"/>
          </w:tcPr>
          <w:p w14:paraId="273A31A9">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lang w:val="en-US" w:eastAsia="zh-CN" w:bidi="ar-SA"/>
              </w:rPr>
              <w:t>同茂小学</w:t>
            </w:r>
          </w:p>
        </w:tc>
        <w:tc>
          <w:tcPr>
            <w:tcW w:w="1557" w:type="dxa"/>
            <w:shd w:val="clear" w:color="auto" w:fill="auto"/>
            <w:vAlign w:val="center"/>
          </w:tcPr>
          <w:p w14:paraId="132BFD2D">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1759人</w:t>
            </w:r>
          </w:p>
        </w:tc>
      </w:tr>
      <w:tr w14:paraId="6F3E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99" w:type="dxa"/>
            <w:vMerge w:val="continue"/>
            <w:shd w:val="clear" w:color="auto" w:fill="auto"/>
            <w:vAlign w:val="center"/>
          </w:tcPr>
          <w:p w14:paraId="009125F8">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427" w:type="dxa"/>
            <w:vMerge w:val="continue"/>
            <w:shd w:val="clear" w:color="auto" w:fill="auto"/>
            <w:vAlign w:val="center"/>
          </w:tcPr>
          <w:p w14:paraId="1B84E572">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149" w:type="dxa"/>
            <w:vMerge w:val="continue"/>
            <w:shd w:val="clear" w:color="auto" w:fill="auto"/>
            <w:vAlign w:val="center"/>
          </w:tcPr>
          <w:p w14:paraId="0127E5FF">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573" w:type="dxa"/>
            <w:vMerge w:val="continue"/>
            <w:shd w:val="clear" w:color="auto" w:fill="auto"/>
            <w:vAlign w:val="center"/>
          </w:tcPr>
          <w:p w14:paraId="100679EF">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p>
        </w:tc>
        <w:tc>
          <w:tcPr>
            <w:tcW w:w="2117" w:type="dxa"/>
            <w:shd w:val="clear" w:color="auto" w:fill="auto"/>
            <w:vAlign w:val="center"/>
          </w:tcPr>
          <w:p w14:paraId="137EB2C8">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vertAlign w:val="baseline"/>
                <w:lang w:val="en-US" w:eastAsia="zh-CN" w:bidi="zh-CN"/>
              </w:rPr>
            </w:pPr>
            <w:r>
              <w:rPr>
                <w:rFonts w:hint="eastAsia" w:ascii="宋体" w:hAnsi="宋体" w:eastAsia="宋体" w:cs="宋体"/>
                <w:b w:val="0"/>
                <w:bCs w:val="0"/>
                <w:kern w:val="2"/>
                <w:sz w:val="22"/>
                <w:szCs w:val="22"/>
                <w:lang w:val="en-US" w:eastAsia="zh-CN" w:bidi="ar-SA"/>
              </w:rPr>
              <w:t>坦背小学</w:t>
            </w:r>
          </w:p>
        </w:tc>
        <w:tc>
          <w:tcPr>
            <w:tcW w:w="1557" w:type="dxa"/>
            <w:shd w:val="clear" w:color="auto" w:fill="auto"/>
            <w:vAlign w:val="center"/>
          </w:tcPr>
          <w:p w14:paraId="3F1D596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742人</w:t>
            </w:r>
          </w:p>
        </w:tc>
      </w:tr>
      <w:tr w14:paraId="089B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shd w:val="clear" w:color="auto" w:fill="auto"/>
            <w:vAlign w:val="center"/>
          </w:tcPr>
          <w:p w14:paraId="002975F8">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427" w:type="dxa"/>
            <w:vMerge w:val="continue"/>
            <w:shd w:val="clear" w:color="auto" w:fill="auto"/>
            <w:vAlign w:val="center"/>
          </w:tcPr>
          <w:p w14:paraId="10A4F378">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149" w:type="dxa"/>
            <w:vMerge w:val="continue"/>
            <w:shd w:val="clear" w:color="auto" w:fill="auto"/>
            <w:vAlign w:val="center"/>
          </w:tcPr>
          <w:p w14:paraId="7F6AF644">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b w:val="0"/>
                <w:bCs w:val="0"/>
                <w:kern w:val="2"/>
                <w:sz w:val="22"/>
                <w:szCs w:val="22"/>
                <w:vertAlign w:val="baseline"/>
                <w:lang w:val="en-US" w:eastAsia="zh-CN" w:bidi="zh-CN"/>
              </w:rPr>
            </w:pPr>
          </w:p>
        </w:tc>
        <w:tc>
          <w:tcPr>
            <w:tcW w:w="1573" w:type="dxa"/>
            <w:vMerge w:val="continue"/>
            <w:shd w:val="clear" w:color="auto" w:fill="auto"/>
            <w:vAlign w:val="center"/>
          </w:tcPr>
          <w:p w14:paraId="27C7A7A0">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bCs/>
                <w:kern w:val="2"/>
                <w:sz w:val="22"/>
                <w:szCs w:val="22"/>
                <w:vertAlign w:val="baseline"/>
                <w:lang w:val="en-US" w:eastAsia="zh-CN" w:bidi="zh-CN"/>
              </w:rPr>
            </w:pPr>
          </w:p>
        </w:tc>
        <w:tc>
          <w:tcPr>
            <w:tcW w:w="2117" w:type="dxa"/>
            <w:shd w:val="clear" w:color="auto" w:fill="auto"/>
            <w:vAlign w:val="center"/>
          </w:tcPr>
          <w:p w14:paraId="583109A6">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bCs/>
                <w:kern w:val="2"/>
                <w:sz w:val="22"/>
                <w:szCs w:val="22"/>
                <w:vertAlign w:val="baseline"/>
                <w:lang w:val="en-US" w:eastAsia="zh-CN" w:bidi="zh-CN"/>
              </w:rPr>
            </w:pPr>
            <w:r>
              <w:rPr>
                <w:rFonts w:hint="eastAsia" w:ascii="宋体" w:hAnsi="宋体" w:eastAsia="宋体" w:cs="宋体"/>
                <w:b/>
                <w:bCs/>
                <w:kern w:val="2"/>
                <w:sz w:val="22"/>
                <w:szCs w:val="22"/>
                <w:vertAlign w:val="baseline"/>
                <w:lang w:val="en-US" w:eastAsia="zh-CN" w:bidi="zh-CN"/>
              </w:rPr>
              <w:t>合计</w:t>
            </w:r>
          </w:p>
        </w:tc>
        <w:tc>
          <w:tcPr>
            <w:tcW w:w="1557" w:type="dxa"/>
            <w:shd w:val="clear" w:color="auto" w:fill="auto"/>
            <w:vAlign w:val="center"/>
          </w:tcPr>
          <w:p w14:paraId="082C8A7E">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7332人</w:t>
            </w:r>
          </w:p>
        </w:tc>
      </w:tr>
      <w:tr w14:paraId="3CB3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09EF4263">
            <w:pPr>
              <w:pStyle w:val="7"/>
              <w:tabs>
                <w:tab w:val="left" w:pos="424"/>
                <w:tab w:val="clear" w:pos="315"/>
                <w:tab w:val="clear" w:pos="630"/>
              </w:tabs>
              <w:ind w:left="0" w:leftChars="0" w:firstLine="0" w:firstLineChars="0"/>
            </w:pPr>
            <w:r>
              <w:rPr>
                <w:rStyle w:val="11"/>
                <w:rFonts w:hint="eastAsia" w:cs="宋体"/>
                <w:b w:val="0"/>
                <w:bCs/>
                <w:color w:val="000000" w:themeColor="text1"/>
                <w:sz w:val="22"/>
                <w:szCs w:val="22"/>
                <w:highlight w:val="none"/>
                <w:shd w:val="clear" w:color="auto" w:fill="FFFFFF"/>
                <w:lang w:val="en-US" w:eastAsia="zh-CN"/>
                <w14:textFill>
                  <w14:solidFill>
                    <w14:schemeClr w14:val="tx1"/>
                  </w14:solidFill>
                </w14:textFill>
              </w:rPr>
              <w:t>注</w:t>
            </w:r>
            <w:r>
              <w:rPr>
                <w:rStyle w:val="11"/>
                <w:rFonts w:hint="eastAsia" w:ascii="宋体" w:hAnsi="宋体" w:eastAsia="宋体" w:cs="宋体"/>
                <w:b w:val="0"/>
                <w:bCs/>
                <w:color w:val="000000" w:themeColor="text1"/>
                <w:sz w:val="22"/>
                <w:szCs w:val="22"/>
                <w:highlight w:val="none"/>
                <w:shd w:val="clear" w:color="auto" w:fill="FFFFFF"/>
                <w14:textFill>
                  <w14:solidFill>
                    <w14:schemeClr w14:val="tx1"/>
                  </w14:solidFill>
                </w14:textFill>
              </w:rPr>
              <w:t>：</w:t>
            </w:r>
          </w:p>
          <w:p w14:paraId="2E3398CB">
            <w:pPr>
              <w:pStyle w:val="7"/>
              <w:ind w:left="0" w:leftChars="0" w:firstLine="0" w:firstLineChars="0"/>
              <w:rPr>
                <w:rFonts w:hint="eastAsia"/>
                <w:lang w:val="en-US" w:eastAsia="zh-CN"/>
              </w:rPr>
            </w:pPr>
            <w:r>
              <w:rPr>
                <w:rFonts w:hint="eastAsia"/>
                <w:lang w:val="en-US" w:eastAsia="zh-CN"/>
              </w:rPr>
              <w:t>本项目确定2家中标单位，按各投标人综合得分排名顺序分别进行中标候选人推荐并按以下服务标段进行划分：</w:t>
            </w:r>
          </w:p>
          <w:p w14:paraId="679D9AF9">
            <w:pPr>
              <w:pStyle w:val="7"/>
              <w:ind w:left="0" w:leftChars="0" w:firstLine="0" w:firstLineChars="0"/>
              <w:rPr>
                <w:rFonts w:hint="eastAsia"/>
                <w:lang w:val="en-US" w:eastAsia="zh-CN"/>
              </w:rPr>
            </w:pPr>
            <w:r>
              <w:rPr>
                <w:rFonts w:hint="eastAsia"/>
                <w:lang w:val="en-US" w:eastAsia="zh-CN"/>
              </w:rPr>
              <w:t>1.排名第一的为</w:t>
            </w:r>
            <w:r>
              <w:rPr>
                <w:rFonts w:hint="eastAsia" w:ascii="宋体" w:cs="宋体"/>
                <w:color w:val="000000"/>
                <w:kern w:val="2"/>
                <w:szCs w:val="24"/>
                <w:highlight w:val="none"/>
                <w:lang w:val="en-US" w:eastAsia="zh-CN" w:bidi="ar"/>
              </w:rPr>
              <w:t>服务标段</w:t>
            </w:r>
            <w:r>
              <w:rPr>
                <w:rFonts w:hint="eastAsia" w:cs="宋体"/>
                <w:color w:val="000000"/>
                <w:kern w:val="2"/>
                <w:szCs w:val="24"/>
                <w:highlight w:val="none"/>
                <w:lang w:val="en-US" w:eastAsia="zh-CN" w:bidi="ar"/>
              </w:rPr>
              <w:t>1的</w:t>
            </w:r>
            <w:r>
              <w:rPr>
                <w:rFonts w:hint="eastAsia"/>
                <w:lang w:val="en-US" w:eastAsia="zh-CN"/>
              </w:rPr>
              <w:t>第一中标候选人，服务范围：新胜小学、接龙小学、兆隆小学、益隆小学、同乐小学；排名第三的为</w:t>
            </w:r>
            <w:r>
              <w:rPr>
                <w:rFonts w:hint="eastAsia" w:ascii="宋体" w:cs="宋体"/>
                <w:color w:val="000000"/>
                <w:kern w:val="2"/>
                <w:szCs w:val="24"/>
                <w:highlight w:val="none"/>
                <w:lang w:val="en-US" w:eastAsia="zh-CN" w:bidi="ar"/>
              </w:rPr>
              <w:t>服务标段</w:t>
            </w:r>
            <w:r>
              <w:rPr>
                <w:rFonts w:hint="eastAsia" w:cs="宋体"/>
                <w:color w:val="000000"/>
                <w:kern w:val="2"/>
                <w:szCs w:val="24"/>
                <w:highlight w:val="none"/>
                <w:lang w:val="en-US" w:eastAsia="zh-CN" w:bidi="ar"/>
              </w:rPr>
              <w:t>1</w:t>
            </w:r>
            <w:r>
              <w:rPr>
                <w:rFonts w:hint="eastAsia"/>
                <w:lang w:val="en-US" w:eastAsia="zh-CN"/>
              </w:rPr>
              <w:t>的第二中标候选人；</w:t>
            </w:r>
          </w:p>
          <w:p w14:paraId="59EFFBC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val="0"/>
                <w:kern w:val="2"/>
                <w:sz w:val="22"/>
                <w:szCs w:val="22"/>
                <w:vertAlign w:val="baseline"/>
                <w:lang w:val="en-US" w:eastAsia="zh-CN" w:bidi="zh-CN"/>
              </w:rPr>
            </w:pPr>
            <w:r>
              <w:rPr>
                <w:rFonts w:hint="eastAsia"/>
                <w:lang w:val="en-US" w:eastAsia="zh-CN"/>
              </w:rPr>
              <w:t>2.排名第二的为</w:t>
            </w:r>
            <w:r>
              <w:rPr>
                <w:rFonts w:hint="eastAsia" w:ascii="宋体" w:cs="宋体"/>
                <w:color w:val="000000"/>
                <w:kern w:val="2"/>
                <w:szCs w:val="24"/>
                <w:highlight w:val="none"/>
                <w:lang w:val="en-US" w:eastAsia="zh-CN" w:bidi="ar"/>
              </w:rPr>
              <w:t>服务标段</w:t>
            </w:r>
            <w:r>
              <w:rPr>
                <w:rFonts w:hint="eastAsia" w:cs="宋体"/>
                <w:color w:val="000000"/>
                <w:kern w:val="2"/>
                <w:szCs w:val="24"/>
                <w:highlight w:val="none"/>
                <w:lang w:val="en-US" w:eastAsia="zh-CN" w:bidi="ar"/>
              </w:rPr>
              <w:t>2的</w:t>
            </w:r>
            <w:r>
              <w:rPr>
                <w:rFonts w:hint="eastAsia"/>
                <w:lang w:val="en-US" w:eastAsia="zh-CN"/>
              </w:rPr>
              <w:t>第一中标候选人，服务范围：</w:t>
            </w:r>
            <w:r>
              <w:rPr>
                <w:rFonts w:hint="eastAsia" w:ascii="宋体" w:hAnsi="宋体" w:eastAsia="宋体" w:cs="宋体"/>
                <w:b w:val="0"/>
                <w:bCs w:val="0"/>
                <w:kern w:val="2"/>
                <w:sz w:val="22"/>
                <w:szCs w:val="22"/>
                <w:lang w:val="en-US" w:eastAsia="zh-CN" w:bidi="ar-SA"/>
              </w:rPr>
              <w:t>东升中学、利生小学、太平小学、同茂小学、坦背小学</w:t>
            </w:r>
            <w:r>
              <w:rPr>
                <w:rFonts w:hint="eastAsia"/>
                <w:lang w:val="en-US" w:eastAsia="zh-CN"/>
              </w:rPr>
              <w:t>；排名第四的为</w:t>
            </w:r>
            <w:r>
              <w:rPr>
                <w:rFonts w:hint="eastAsia" w:ascii="宋体" w:cs="宋体"/>
                <w:color w:val="000000"/>
                <w:kern w:val="2"/>
                <w:szCs w:val="24"/>
                <w:highlight w:val="none"/>
                <w:lang w:val="en-US" w:eastAsia="zh-CN" w:bidi="ar"/>
              </w:rPr>
              <w:t>服务标段</w:t>
            </w:r>
            <w:r>
              <w:rPr>
                <w:rFonts w:hint="eastAsia" w:cs="宋体"/>
                <w:color w:val="000000"/>
                <w:kern w:val="2"/>
                <w:szCs w:val="24"/>
                <w:highlight w:val="none"/>
                <w:lang w:val="en-US" w:eastAsia="zh-CN" w:bidi="ar"/>
              </w:rPr>
              <w:t>2</w:t>
            </w:r>
            <w:r>
              <w:rPr>
                <w:rFonts w:hint="eastAsia"/>
                <w:lang w:val="en-US" w:eastAsia="zh-CN"/>
              </w:rPr>
              <w:t>的第二中标候选人。</w:t>
            </w:r>
          </w:p>
        </w:tc>
      </w:tr>
    </w:tbl>
    <w:p w14:paraId="386A866B">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 w:val="0"/>
          <w:bCs w:val="0"/>
          <w:color w:val="000000" w:themeColor="text1"/>
          <w:sz w:val="22"/>
          <w:szCs w:val="22"/>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shd w:val="clear" w:color="auto" w:fill="auto"/>
          <w:lang w:val="en-US" w:eastAsia="zh-CN"/>
          <w14:textFill>
            <w14:solidFill>
              <w14:schemeClr w14:val="tx1"/>
            </w14:solidFill>
          </w14:textFill>
        </w:rPr>
        <w:t>6.每个标段中标人与</w:t>
      </w:r>
      <w:r>
        <w:rPr>
          <w:rFonts w:hint="eastAsia" w:cs="宋体"/>
          <w:b w:val="0"/>
          <w:bCs w:val="0"/>
          <w:color w:val="000000" w:themeColor="text1"/>
          <w:sz w:val="22"/>
          <w:szCs w:val="22"/>
          <w:highlight w:val="none"/>
          <w:shd w:val="clear" w:color="auto" w:fill="auto"/>
          <w:lang w:val="en-US" w:eastAsia="zh-CN"/>
          <w14:textFill>
            <w14:solidFill>
              <w14:schemeClr w14:val="tx1"/>
            </w14:solidFill>
          </w14:textFill>
        </w:rPr>
        <w:t>采购人和</w:t>
      </w:r>
      <w:r>
        <w:rPr>
          <w:rFonts w:hint="eastAsia" w:ascii="宋体" w:hAnsi="宋体" w:eastAsia="宋体" w:cs="宋体"/>
          <w:b w:val="0"/>
          <w:bCs w:val="0"/>
          <w:color w:val="000000" w:themeColor="text1"/>
          <w:sz w:val="22"/>
          <w:szCs w:val="22"/>
          <w:highlight w:val="none"/>
          <w:shd w:val="clear" w:color="auto" w:fill="auto"/>
          <w:lang w:val="en-US" w:eastAsia="zh-CN"/>
          <w14:textFill>
            <w14:solidFill>
              <w14:schemeClr w14:val="tx1"/>
            </w14:solidFill>
          </w14:textFill>
        </w:rPr>
        <w:t>对应标段的各学校分别签订合同（中标人资格的取得并不意味着全部项目</w:t>
      </w:r>
      <w:r>
        <w:rPr>
          <w:rFonts w:hint="eastAsia" w:cs="宋体"/>
          <w:b w:val="0"/>
          <w:bCs w:val="0"/>
          <w:color w:val="000000" w:themeColor="text1"/>
          <w:sz w:val="22"/>
          <w:szCs w:val="22"/>
          <w:highlight w:val="none"/>
          <w:shd w:val="clear" w:color="auto" w:fill="auto"/>
          <w:lang w:val="en-US" w:eastAsia="zh-CN"/>
          <w14:textFill>
            <w14:solidFill>
              <w14:schemeClr w14:val="tx1"/>
            </w14:solidFill>
          </w14:textFill>
        </w:rPr>
        <w:t>标段</w:t>
      </w:r>
      <w:r>
        <w:rPr>
          <w:rFonts w:hint="eastAsia" w:ascii="宋体" w:hAnsi="宋体" w:eastAsia="宋体" w:cs="宋体"/>
          <w:b w:val="0"/>
          <w:bCs w:val="0"/>
          <w:color w:val="000000" w:themeColor="text1"/>
          <w:sz w:val="22"/>
          <w:szCs w:val="22"/>
          <w:highlight w:val="none"/>
          <w:shd w:val="clear" w:color="auto" w:fill="auto"/>
          <w:lang w:val="en-US" w:eastAsia="zh-CN"/>
          <w14:textFill>
            <w14:solidFill>
              <w14:schemeClr w14:val="tx1"/>
            </w14:solidFill>
          </w14:textFill>
        </w:rPr>
        <w:t>的实施，采购人无法预计也无法保证向中标人实施的具体数量）</w:t>
      </w:r>
      <w:r>
        <w:rPr>
          <w:rFonts w:hint="eastAsia" w:cs="宋体"/>
          <w:b w:val="0"/>
          <w:bCs w:val="0"/>
          <w:color w:val="000000" w:themeColor="text1"/>
          <w:sz w:val="22"/>
          <w:szCs w:val="22"/>
          <w:highlight w:val="none"/>
          <w:shd w:val="clear" w:color="auto" w:fill="auto"/>
          <w:lang w:val="en-US" w:eastAsia="zh-CN"/>
          <w14:textFill>
            <w14:solidFill>
              <w14:schemeClr w14:val="tx1"/>
            </w14:solidFill>
          </w14:textFill>
        </w:rPr>
        <w:t>。</w:t>
      </w:r>
    </w:p>
    <w:p w14:paraId="741F0316">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7.投标人应对</w:t>
      </w:r>
      <w:r>
        <w:rPr>
          <w:rFonts w:hint="eastAsia" w:cs="宋体"/>
          <w:bCs/>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的</w:t>
      </w:r>
      <w:r>
        <w:rPr>
          <w:rFonts w:hint="eastAsia" w:cs="宋体"/>
          <w:bCs/>
          <w:color w:val="000000" w:themeColor="text1"/>
          <w:sz w:val="22"/>
          <w:szCs w:val="22"/>
          <w:highlight w:val="none"/>
          <w:lang w:val="en-US" w:eastAsia="zh-CN"/>
          <w14:textFill>
            <w14:solidFill>
              <w14:schemeClr w14:val="tx1"/>
            </w14:solidFill>
          </w14:textFill>
        </w:rPr>
        <w:t>全部</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招标货物和服务进行</w:t>
      </w:r>
      <w:r>
        <w:rPr>
          <w:rFonts w:hint="eastAsia" w:cs="宋体"/>
          <w:bCs/>
          <w:color w:val="000000" w:themeColor="text1"/>
          <w:sz w:val="22"/>
          <w:szCs w:val="22"/>
          <w:highlight w:val="none"/>
          <w:lang w:val="en-US" w:eastAsia="zh-CN"/>
          <w14:textFill>
            <w14:solidFill>
              <w14:schemeClr w14:val="tx1"/>
            </w14:solidFill>
          </w14:textFill>
        </w:rPr>
        <w:t>整体</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投标，不允许只对部分货物和服务投标。</w:t>
      </w:r>
    </w:p>
    <w:p w14:paraId="69985CEA">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8.本项目不允许提交备选方案。</w:t>
      </w:r>
    </w:p>
    <w:p w14:paraId="2350A987">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9.本项目不接受联合体投标。</w:t>
      </w:r>
    </w:p>
    <w:p w14:paraId="32633F8E">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10.中标人不得以任何方式转包或分包本项目(中标人直接控股的子公司或分支机构除外)。</w:t>
      </w:r>
    </w:p>
    <w:p w14:paraId="630EBDE8">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cs="宋体"/>
          <w:bCs/>
          <w:color w:val="000000" w:themeColor="text1"/>
          <w:sz w:val="22"/>
          <w:szCs w:val="22"/>
          <w:highlight w:val="none"/>
          <w:lang w:val="en-US" w:eastAsia="zh-CN"/>
          <w14:textFill>
            <w14:solidFill>
              <w14:schemeClr w14:val="tx1"/>
            </w14:solidFill>
          </w14:textFill>
        </w:rPr>
        <w:t>11.</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鼓励中标人中标后在项目所在地成立有独立法人资格的直接控股的子公司或分支机构。</w:t>
      </w:r>
    </w:p>
    <w:p w14:paraId="46B21096">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.采购人有权在签订合同时对项目内容</w:t>
      </w:r>
      <w:r>
        <w:rPr>
          <w:rFonts w:hint="eastAsia" w:cs="宋体"/>
          <w:bCs/>
          <w:color w:val="000000" w:themeColor="text1"/>
          <w:sz w:val="22"/>
          <w:szCs w:val="22"/>
          <w:highlight w:val="none"/>
          <w:lang w:val="en-US" w:eastAsia="zh-CN"/>
          <w14:textFill>
            <w14:solidFill>
              <w14:schemeClr w14:val="tx1"/>
            </w14:solidFill>
          </w14:textFill>
        </w:rPr>
        <w:t>作</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适当修改调整或对服务内容作适量增加或减少，但不得对采购文件约定的条款做出实质性的变更。</w:t>
      </w:r>
    </w:p>
    <w:p w14:paraId="523D88C9">
      <w:pPr>
        <w:keepNext w:val="0"/>
        <w:keepLines w:val="0"/>
        <w:pageBreakBefore w:val="0"/>
        <w:widowControl w:val="0"/>
        <w:numPr>
          <w:ilvl w:val="0"/>
          <w:numId w:val="0"/>
        </w:numPr>
        <w:shd w:val="clear" w:color="auto" w:fill="auto"/>
        <w:kinsoku/>
        <w:wordWrap w:val="0"/>
        <w:overflowPunct/>
        <w:topLinePunct w:val="0"/>
        <w:bidi w:val="0"/>
        <w:adjustRightInd/>
        <w:spacing w:line="360" w:lineRule="auto"/>
        <w:ind w:left="0" w:leftChars="0" w:firstLine="440" w:firstLineChars="200"/>
        <w:jc w:val="both"/>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lang w:val="en-US" w:eastAsia="zh-CN" w:bidi="zh-CN"/>
        </w:rPr>
        <w:t>1</w:t>
      </w:r>
      <w:r>
        <w:rPr>
          <w:rFonts w:hint="eastAsia" w:cs="宋体"/>
          <w:b w:val="0"/>
          <w:bCs w:val="0"/>
          <w:color w:val="auto"/>
          <w:sz w:val="22"/>
          <w:szCs w:val="22"/>
          <w:lang w:val="en-US" w:eastAsia="zh-CN" w:bidi="zh-CN"/>
        </w:rPr>
        <w:t>3</w:t>
      </w:r>
      <w:r>
        <w:rPr>
          <w:rFonts w:hint="eastAsia" w:ascii="宋体" w:hAnsi="宋体" w:eastAsia="宋体" w:cs="宋体"/>
          <w:b w:val="0"/>
          <w:bCs w:val="0"/>
          <w:color w:val="auto"/>
          <w:sz w:val="22"/>
          <w:szCs w:val="22"/>
          <w:lang w:val="zh-CN" w:eastAsia="zh-CN" w:bidi="zh-CN"/>
        </w:rPr>
        <w:t>.</w:t>
      </w:r>
      <w:r>
        <w:rPr>
          <w:rFonts w:hint="eastAsia" w:ascii="宋体" w:hAnsi="宋体" w:eastAsia="宋体" w:cs="宋体"/>
          <w:b w:val="0"/>
          <w:bCs w:val="0"/>
          <w:color w:val="auto"/>
          <w:sz w:val="22"/>
          <w:szCs w:val="22"/>
          <w:highlight w:val="none"/>
        </w:rPr>
        <w:t>招标文件中标注“★”标识的条款被视为</w:t>
      </w:r>
      <w:r>
        <w:rPr>
          <w:rFonts w:hint="eastAsia" w:ascii="宋体" w:hAnsi="宋体" w:eastAsia="宋体" w:cs="宋体"/>
          <w:b w:val="0"/>
          <w:bCs w:val="0"/>
          <w:color w:val="auto"/>
          <w:sz w:val="22"/>
          <w:szCs w:val="22"/>
          <w:highlight w:val="none"/>
          <w:lang w:val="en-US" w:eastAsia="zh-CN"/>
        </w:rPr>
        <w:t>关键</w:t>
      </w:r>
      <w:r>
        <w:rPr>
          <w:rFonts w:hint="eastAsia" w:ascii="宋体" w:hAnsi="宋体" w:eastAsia="宋体" w:cs="宋体"/>
          <w:b w:val="0"/>
          <w:bCs w:val="0"/>
          <w:color w:val="auto"/>
          <w:sz w:val="22"/>
          <w:szCs w:val="22"/>
          <w:highlight w:val="none"/>
        </w:rPr>
        <w:t>的响应要求、技术指标要求和性能要求，投标人必须对此作全面响应和满足，任何负偏离则将被视为无效投标。加注“▲”标识的内容为重点评标条款，投标人必须对该标识条款按照要求进行真实应答描述</w:t>
      </w:r>
      <w:r>
        <w:rPr>
          <w:rFonts w:hint="eastAsia" w:ascii="宋体" w:hAnsi="宋体" w:eastAsia="宋体" w:cs="宋体"/>
          <w:b w:val="0"/>
          <w:bCs w:val="0"/>
          <w:color w:val="auto"/>
          <w:sz w:val="22"/>
          <w:szCs w:val="22"/>
          <w:highlight w:val="none"/>
          <w:lang w:eastAsia="zh-CN"/>
        </w:rPr>
        <w:t>。</w:t>
      </w:r>
    </w:p>
    <w:p w14:paraId="27501694">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 w:val="0"/>
          <w:bCs w:val="0"/>
          <w:sz w:val="22"/>
          <w:szCs w:val="22"/>
          <w:lang w:val="en-US"/>
        </w:rPr>
      </w:pPr>
      <w:r>
        <w:rPr>
          <w:rFonts w:hint="eastAsia" w:ascii="宋体" w:hAnsi="宋体" w:eastAsia="宋体" w:cs="宋体"/>
          <w:b w:val="0"/>
          <w:bCs w:val="0"/>
          <w:sz w:val="22"/>
          <w:szCs w:val="22"/>
          <w:lang w:val="en-US" w:eastAsia="zh-CN" w:bidi="zh-CN"/>
        </w:rPr>
        <w:t>1</w:t>
      </w:r>
      <w:r>
        <w:rPr>
          <w:rFonts w:hint="eastAsia" w:cs="宋体"/>
          <w:b w:val="0"/>
          <w:bCs w:val="0"/>
          <w:sz w:val="22"/>
          <w:szCs w:val="22"/>
          <w:lang w:val="en-US" w:eastAsia="zh-CN" w:bidi="zh-CN"/>
        </w:rPr>
        <w:t>4</w:t>
      </w:r>
      <w:r>
        <w:rPr>
          <w:rFonts w:hint="eastAsia" w:ascii="宋体" w:hAnsi="宋体" w:eastAsia="宋体" w:cs="宋体"/>
          <w:b w:val="0"/>
          <w:bCs w:val="0"/>
          <w:sz w:val="22"/>
          <w:szCs w:val="22"/>
          <w:lang w:val="en-US" w:eastAsia="zh-CN" w:bidi="zh-CN"/>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本项目参照《中华人民共和国食品安全法》《学校食堂与学生集体用餐卫生管理规定》《中山市中小学校集体食堂卫生监督量化分级管理实施方案》《学校食品安全与营养健康管理规定》《中山市人民政府办公室关于印发中山市集体用餐、供餐单位负责人陪餐办法（试行）的通知》《中山市教育和体育局办公室关于修订中山市中小学校（幼儿园）食堂管理系列制度的通知》（中教体办〔2025〕6号）等规定执行</w:t>
      </w:r>
      <w:r>
        <w:rPr>
          <w:rFonts w:hint="eastAsia" w:ascii="宋体" w:hAnsi="宋体" w:eastAsia="宋体" w:cs="宋体"/>
          <w:b w:val="0"/>
          <w:bCs w:val="0"/>
          <w:sz w:val="22"/>
          <w:szCs w:val="22"/>
          <w:lang w:val="en-US"/>
        </w:rPr>
        <w:t>。</w:t>
      </w:r>
    </w:p>
    <w:p w14:paraId="164772AB">
      <w:pPr>
        <w:pStyle w:val="3"/>
        <w:keepNext w:val="0"/>
        <w:keepLines w:val="0"/>
        <w:pageBreakBefore w:val="0"/>
        <w:widowControl w:val="0"/>
        <w:kinsoku/>
        <w:wordWrap/>
        <w:overflowPunct/>
        <w:topLinePunct w:val="0"/>
        <w:autoSpaceDE w:val="0"/>
        <w:autoSpaceDN w:val="0"/>
        <w:bidi w:val="0"/>
        <w:snapToGrid/>
        <w:spacing w:line="360" w:lineRule="auto"/>
        <w:textAlignment w:val="auto"/>
        <w:outlineLvl w:val="1"/>
        <w:rPr>
          <w:rFonts w:hint="eastAsia" w:ascii="宋体" w:hAnsi="宋体" w:eastAsia="宋体" w:cs="宋体"/>
          <w:b/>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val="0"/>
          <w:color w:val="000000" w:themeColor="text1"/>
          <w:sz w:val="22"/>
          <w:szCs w:val="22"/>
          <w:highlight w:val="none"/>
          <w:lang w:val="en-US" w:eastAsia="zh-CN"/>
          <w14:textFill>
            <w14:solidFill>
              <w14:schemeClr w14:val="tx1"/>
            </w14:solidFill>
          </w14:textFill>
        </w:rPr>
        <w:t>二、项目内容</w:t>
      </w:r>
    </w:p>
    <w:p w14:paraId="02C61C0C">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宋体" w:hAnsi="宋体" w:eastAsia="宋体" w:cs="宋体"/>
          <w:sz w:val="22"/>
          <w:szCs w:val="22"/>
        </w:rPr>
      </w:pPr>
      <w:r>
        <w:rPr>
          <w:rFonts w:hint="eastAsia" w:ascii="宋体" w:hAnsi="宋体" w:eastAsia="宋体" w:cs="宋体"/>
          <w:b/>
          <w:bCs/>
          <w:spacing w:val="6"/>
          <w:sz w:val="22"/>
          <w:szCs w:val="22"/>
          <w:lang w:eastAsia="zh-CN"/>
        </w:rPr>
        <w:t>（一）</w:t>
      </w:r>
      <w:r>
        <w:rPr>
          <w:rFonts w:hint="eastAsia" w:ascii="宋体" w:hAnsi="宋体" w:eastAsia="宋体" w:cs="宋体"/>
          <w:b/>
          <w:bCs/>
          <w:spacing w:val="6"/>
          <w:sz w:val="22"/>
          <w:szCs w:val="22"/>
        </w:rPr>
        <w:t>配餐设备及总体要求</w:t>
      </w:r>
    </w:p>
    <w:p w14:paraId="241594FA">
      <w:pPr>
        <w:keepNext w:val="0"/>
        <w:keepLines w:val="0"/>
        <w:pageBreakBefore w:val="0"/>
        <w:widowControl w:val="0"/>
        <w:shd w:val="clear"/>
        <w:kinsoku/>
        <w:wordWrap/>
        <w:overflowPunct/>
        <w:topLinePunct w:val="0"/>
        <w:autoSpaceDE w:val="0"/>
        <w:autoSpaceDN w:val="0"/>
        <w:bidi w:val="0"/>
        <w:snapToGrid/>
        <w:spacing w:line="360" w:lineRule="auto"/>
        <w:ind w:right="98" w:firstLine="444" w:firstLineChars="200"/>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rPr>
        <w:t>1.中标人需自行配备足够的、符合标准的厨房及所有设施设备、清洁用具、消毒用具、送餐用具</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rPr>
        <w:t>送</w:t>
      </w:r>
      <w:r>
        <w:rPr>
          <w:rFonts w:hint="eastAsia" w:ascii="宋体" w:hAnsi="宋体" w:eastAsia="宋体" w:cs="宋体"/>
          <w:spacing w:val="4"/>
          <w:sz w:val="22"/>
          <w:szCs w:val="22"/>
        </w:rPr>
        <w:t>餐</w:t>
      </w:r>
      <w:r>
        <w:rPr>
          <w:rFonts w:hint="eastAsia" w:ascii="宋体" w:hAnsi="宋体" w:eastAsia="宋体" w:cs="宋体"/>
          <w:spacing w:val="4"/>
          <w:sz w:val="22"/>
          <w:szCs w:val="22"/>
          <w:highlight w:val="none"/>
        </w:rPr>
        <w:t>箱</w:t>
      </w:r>
      <w:r>
        <w:rPr>
          <w:rFonts w:hint="eastAsia" w:cs="宋体"/>
          <w:spacing w:val="4"/>
          <w:sz w:val="22"/>
          <w:szCs w:val="22"/>
          <w:highlight w:val="none"/>
          <w:lang w:val="en-US" w:eastAsia="zh-CN"/>
        </w:rPr>
        <w:t>须</w:t>
      </w:r>
      <w:r>
        <w:rPr>
          <w:rFonts w:hint="eastAsia" w:ascii="宋体" w:hAnsi="宋体" w:eastAsia="宋体" w:cs="宋体"/>
          <w:spacing w:val="4"/>
          <w:sz w:val="22"/>
          <w:szCs w:val="22"/>
          <w:highlight w:val="none"/>
        </w:rPr>
        <w:t>是有盖的保温箱</w:t>
      </w:r>
      <w:r>
        <w:rPr>
          <w:rFonts w:hint="eastAsia" w:ascii="宋体" w:hAnsi="宋体" w:eastAsia="宋体" w:cs="宋体"/>
          <w:spacing w:val="4"/>
          <w:sz w:val="22"/>
          <w:szCs w:val="22"/>
          <w:highlight w:val="none"/>
          <w:lang w:eastAsia="zh-CN"/>
        </w:rPr>
        <w:t>）</w:t>
      </w:r>
      <w:r>
        <w:rPr>
          <w:rFonts w:hint="eastAsia" w:ascii="宋体" w:hAnsi="宋体" w:eastAsia="宋体" w:cs="宋体"/>
          <w:spacing w:val="4"/>
          <w:sz w:val="22"/>
          <w:szCs w:val="22"/>
          <w:highlight w:val="none"/>
        </w:rPr>
        <w:t>、用餐工具及内部分格的保温饭盒须采</w:t>
      </w:r>
      <w:r>
        <w:rPr>
          <w:rFonts w:hint="eastAsia" w:ascii="宋体" w:hAnsi="宋体" w:eastAsia="宋体" w:cs="宋体"/>
          <w:spacing w:val="3"/>
          <w:sz w:val="22"/>
          <w:szCs w:val="22"/>
          <w:highlight w:val="none"/>
        </w:rPr>
        <w:t>用食品级304不锈钢材料，符合国家</w:t>
      </w:r>
      <w:r>
        <w:rPr>
          <w:rFonts w:hint="eastAsia"/>
          <w:highlight w:val="none"/>
          <w:lang w:val="en-US" w:eastAsia="zh-CN"/>
        </w:rPr>
        <w:t>GB 4806.9-2023</w:t>
      </w:r>
      <w:r>
        <w:rPr>
          <w:rFonts w:hint="eastAsia" w:ascii="宋体" w:hAnsi="宋体" w:eastAsia="宋体" w:cs="宋体"/>
          <w:spacing w:val="3"/>
          <w:sz w:val="22"/>
          <w:szCs w:val="22"/>
          <w:highlight w:val="none"/>
        </w:rPr>
        <w:t>标准，容量</w:t>
      </w:r>
      <w:r>
        <w:rPr>
          <w:rFonts w:hint="eastAsia" w:ascii="宋体" w:hAnsi="宋体" w:eastAsia="宋体" w:cs="宋体"/>
          <w:spacing w:val="3"/>
          <w:sz w:val="22"/>
          <w:szCs w:val="22"/>
          <w:highlight w:val="none"/>
          <w:lang w:val="en-US" w:eastAsia="zh-CN"/>
        </w:rPr>
        <w:t>正常</w:t>
      </w:r>
      <w:r>
        <w:rPr>
          <w:rFonts w:hint="eastAsia" w:ascii="宋体" w:hAnsi="宋体" w:eastAsia="宋体" w:cs="宋体"/>
          <w:spacing w:val="3"/>
          <w:sz w:val="22"/>
          <w:szCs w:val="22"/>
          <w:highlight w:val="none"/>
        </w:rPr>
        <w:t>不</w:t>
      </w:r>
      <w:r>
        <w:rPr>
          <w:rFonts w:hint="eastAsia" w:ascii="宋体" w:hAnsi="宋体" w:eastAsia="宋体" w:cs="宋体"/>
          <w:spacing w:val="3"/>
          <w:sz w:val="22"/>
          <w:szCs w:val="22"/>
          <w:highlight w:val="none"/>
          <w:lang w:val="en-US" w:eastAsia="zh-CN"/>
        </w:rPr>
        <w:t>少</w:t>
      </w:r>
      <w:r>
        <w:rPr>
          <w:rFonts w:hint="eastAsia" w:ascii="宋体" w:hAnsi="宋体" w:eastAsia="宋体" w:cs="宋体"/>
          <w:spacing w:val="3"/>
          <w:sz w:val="22"/>
          <w:szCs w:val="22"/>
          <w:highlight w:val="none"/>
        </w:rPr>
        <w:t>于1000毫升</w:t>
      </w:r>
      <w:r>
        <w:rPr>
          <w:rFonts w:hint="eastAsia" w:ascii="宋体" w:hAnsi="宋体" w:eastAsia="宋体" w:cs="宋体"/>
          <w:spacing w:val="3"/>
          <w:sz w:val="22"/>
          <w:szCs w:val="22"/>
          <w:highlight w:val="none"/>
          <w:lang w:eastAsia="zh-CN"/>
        </w:rPr>
        <w:t>（</w:t>
      </w:r>
      <w:r>
        <w:rPr>
          <w:rFonts w:hint="eastAsia" w:ascii="宋体" w:hAnsi="宋体" w:eastAsia="宋体" w:cs="宋体"/>
          <w:spacing w:val="3"/>
          <w:sz w:val="22"/>
          <w:szCs w:val="22"/>
          <w:highlight w:val="none"/>
          <w:lang w:val="en-US" w:eastAsia="zh-CN"/>
        </w:rPr>
        <w:t>具体容量中标人可与各学校协商</w:t>
      </w:r>
      <w:r>
        <w:rPr>
          <w:rFonts w:hint="eastAsia" w:ascii="宋体" w:hAnsi="宋体" w:eastAsia="宋体" w:cs="宋体"/>
          <w:spacing w:val="3"/>
          <w:sz w:val="22"/>
          <w:szCs w:val="22"/>
          <w:highlight w:val="none"/>
          <w:lang w:eastAsia="zh-CN"/>
        </w:rPr>
        <w:t>）</w:t>
      </w:r>
      <w:r>
        <w:rPr>
          <w:rFonts w:hint="eastAsia" w:ascii="宋体" w:hAnsi="宋体" w:eastAsia="宋体" w:cs="宋体"/>
          <w:spacing w:val="3"/>
          <w:sz w:val="22"/>
          <w:szCs w:val="22"/>
          <w:highlight w:val="none"/>
        </w:rPr>
        <w:t>。热</w:t>
      </w:r>
      <w:r>
        <w:rPr>
          <w:rFonts w:hint="eastAsia" w:ascii="宋体" w:hAnsi="宋体" w:eastAsia="宋体" w:cs="宋体"/>
          <w:spacing w:val="2"/>
          <w:sz w:val="22"/>
          <w:szCs w:val="22"/>
          <w:highlight w:val="none"/>
        </w:rPr>
        <w:t>链配送食品应在制作完成2小时内通过加温保温设备使食品的中心温度保持在60°C以上，食用时限不得超过制作完成后2小时。</w:t>
      </w:r>
    </w:p>
    <w:p w14:paraId="75EFDD26">
      <w:pPr>
        <w:keepNext w:val="0"/>
        <w:keepLines w:val="0"/>
        <w:pageBreakBefore w:val="0"/>
        <w:widowControl w:val="0"/>
        <w:shd w:val="clear"/>
        <w:kinsoku/>
        <w:wordWrap/>
        <w:overflowPunct/>
        <w:topLinePunct w:val="0"/>
        <w:autoSpaceDE w:val="0"/>
        <w:autoSpaceDN w:val="0"/>
        <w:bidi w:val="0"/>
        <w:snapToGrid/>
        <w:spacing w:line="360" w:lineRule="auto"/>
        <w:ind w:firstLine="432" w:firstLineChars="200"/>
        <w:textAlignment w:val="auto"/>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2.合同期间，所有配餐设施设备的维护及维修，由中标人负责并支付费用。</w:t>
      </w:r>
    </w:p>
    <w:p w14:paraId="7D7D87B5">
      <w:pPr>
        <w:keepNext w:val="0"/>
        <w:keepLines w:val="0"/>
        <w:pageBreakBefore w:val="0"/>
        <w:widowControl w:val="0"/>
        <w:shd w:val="clear"/>
        <w:kinsoku/>
        <w:wordWrap/>
        <w:overflowPunct/>
        <w:topLinePunct w:val="0"/>
        <w:autoSpaceDE w:val="0"/>
        <w:autoSpaceDN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3.履约保证金：</w:t>
      </w:r>
    </w:p>
    <w:p w14:paraId="5A2C3B08">
      <w:pPr>
        <w:keepNext w:val="0"/>
        <w:keepLines w:val="0"/>
        <w:pageBreakBefore w:val="0"/>
        <w:widowControl w:val="0"/>
        <w:shd w:val="clear"/>
        <w:kinsoku/>
        <w:wordWrap/>
        <w:overflowPunct/>
        <w:topLinePunct w:val="0"/>
        <w:autoSpaceDE w:val="0"/>
        <w:autoSpaceDN w:val="0"/>
        <w:bidi w:val="0"/>
        <w:snapToGrid/>
        <w:spacing w:line="360" w:lineRule="auto"/>
        <w:ind w:right="106" w:firstLine="452" w:firstLineChars="200"/>
        <w:textAlignment w:val="auto"/>
        <w:rPr>
          <w:rFonts w:hint="eastAsia" w:ascii="宋体" w:hAnsi="宋体" w:eastAsia="宋体" w:cs="宋体"/>
          <w:sz w:val="22"/>
          <w:szCs w:val="22"/>
          <w:highlight w:val="none"/>
        </w:rPr>
      </w:pPr>
      <w:r>
        <w:rPr>
          <w:rFonts w:hint="eastAsia" w:cs="宋体"/>
          <w:spacing w:val="3"/>
          <w:sz w:val="22"/>
          <w:szCs w:val="22"/>
          <w:highlight w:val="none"/>
          <w:lang w:val="en-US" w:eastAsia="zh-CN"/>
        </w:rPr>
        <w:t>各</w:t>
      </w:r>
      <w:r>
        <w:rPr>
          <w:rFonts w:hint="eastAsia" w:ascii="宋体" w:hAnsi="宋体" w:eastAsia="宋体" w:cs="宋体"/>
          <w:spacing w:val="3"/>
          <w:sz w:val="22"/>
          <w:szCs w:val="22"/>
          <w:highlight w:val="none"/>
          <w:lang w:val="en-US"/>
        </w:rPr>
        <w:t>标段</w:t>
      </w:r>
      <w:r>
        <w:rPr>
          <w:rFonts w:hint="eastAsia" w:cs="宋体"/>
          <w:spacing w:val="3"/>
          <w:sz w:val="22"/>
          <w:szCs w:val="22"/>
          <w:highlight w:val="none"/>
          <w:lang w:val="en-US" w:eastAsia="zh-CN"/>
        </w:rPr>
        <w:t>的</w:t>
      </w:r>
      <w:r>
        <w:rPr>
          <w:rFonts w:hint="eastAsia" w:ascii="宋体" w:hAnsi="宋体" w:eastAsia="宋体" w:cs="宋体"/>
          <w:spacing w:val="3"/>
          <w:sz w:val="22"/>
          <w:szCs w:val="22"/>
          <w:highlight w:val="none"/>
        </w:rPr>
        <w:t>中标人与</w:t>
      </w:r>
      <w:r>
        <w:rPr>
          <w:rFonts w:hint="eastAsia" w:ascii="宋体" w:hAnsi="宋体" w:eastAsia="宋体" w:cs="宋体"/>
          <w:spacing w:val="3"/>
          <w:sz w:val="22"/>
          <w:szCs w:val="22"/>
          <w:highlight w:val="none"/>
          <w:lang w:eastAsia="zh-CN"/>
        </w:rPr>
        <w:t>采购人</w:t>
      </w:r>
      <w:r>
        <w:rPr>
          <w:rFonts w:hint="eastAsia" w:ascii="宋体" w:hAnsi="宋体" w:eastAsia="宋体" w:cs="宋体"/>
          <w:spacing w:val="3"/>
          <w:sz w:val="22"/>
          <w:szCs w:val="22"/>
          <w:highlight w:val="none"/>
        </w:rPr>
        <w:t>和</w:t>
      </w:r>
      <w:r>
        <w:rPr>
          <w:rFonts w:hint="eastAsia" w:ascii="宋体" w:hAnsi="宋体" w:eastAsia="宋体" w:cs="宋体"/>
          <w:spacing w:val="3"/>
          <w:sz w:val="22"/>
          <w:szCs w:val="22"/>
          <w:highlight w:val="none"/>
          <w:lang w:val="en-US"/>
        </w:rPr>
        <w:t>标段</w:t>
      </w:r>
      <w:r>
        <w:rPr>
          <w:rFonts w:hint="eastAsia" w:ascii="宋体" w:hAnsi="宋体" w:eastAsia="宋体" w:cs="宋体"/>
          <w:spacing w:val="3"/>
          <w:sz w:val="22"/>
          <w:szCs w:val="22"/>
          <w:highlight w:val="none"/>
        </w:rPr>
        <w:t>内的各学校分别签订合同后15个工作日内以银行转账的方式向</w:t>
      </w:r>
      <w:r>
        <w:rPr>
          <w:rFonts w:hint="eastAsia" w:ascii="宋体" w:hAnsi="宋体" w:eastAsia="宋体" w:cs="宋体"/>
          <w:spacing w:val="3"/>
          <w:sz w:val="22"/>
          <w:szCs w:val="22"/>
          <w:highlight w:val="none"/>
          <w:lang w:eastAsia="zh-CN"/>
        </w:rPr>
        <w:t>采购人（</w:t>
      </w:r>
      <w:r>
        <w:rPr>
          <w:rFonts w:hint="eastAsia" w:ascii="宋体" w:hAnsi="宋体" w:eastAsia="宋体" w:cs="宋体"/>
          <w:spacing w:val="3"/>
          <w:sz w:val="22"/>
          <w:szCs w:val="22"/>
          <w:highlight w:val="none"/>
        </w:rPr>
        <w:t>中山市</w:t>
      </w:r>
      <w:r>
        <w:rPr>
          <w:rFonts w:hint="eastAsia" w:ascii="宋体" w:hAnsi="宋体" w:eastAsia="宋体" w:cs="宋体"/>
          <w:spacing w:val="6"/>
          <w:sz w:val="22"/>
          <w:szCs w:val="22"/>
          <w:highlight w:val="none"/>
        </w:rPr>
        <w:t>小榄镇教育和体育事务中心</w:t>
      </w:r>
      <w:r>
        <w:rPr>
          <w:rFonts w:hint="eastAsia" w:ascii="宋体" w:hAnsi="宋体" w:eastAsia="宋体" w:cs="宋体"/>
          <w:spacing w:val="6"/>
          <w:sz w:val="22"/>
          <w:szCs w:val="22"/>
          <w:highlight w:val="none"/>
          <w:lang w:eastAsia="zh-CN"/>
        </w:rPr>
        <w:t>）</w:t>
      </w:r>
      <w:r>
        <w:rPr>
          <w:rFonts w:hint="eastAsia" w:ascii="宋体" w:hAnsi="宋体" w:eastAsia="宋体" w:cs="宋体"/>
          <w:spacing w:val="6"/>
          <w:sz w:val="22"/>
          <w:szCs w:val="22"/>
          <w:highlight w:val="none"/>
        </w:rPr>
        <w:t>缴交履约保证金，履</w:t>
      </w:r>
      <w:r>
        <w:rPr>
          <w:rFonts w:hint="eastAsia" w:ascii="宋体" w:hAnsi="宋体" w:eastAsia="宋体" w:cs="宋体"/>
          <w:spacing w:val="5"/>
          <w:sz w:val="22"/>
          <w:szCs w:val="22"/>
          <w:highlight w:val="none"/>
        </w:rPr>
        <w:t>约保证金金额为人民币200000.00元</w:t>
      </w:r>
      <w:r>
        <w:rPr>
          <w:rFonts w:hint="eastAsia" w:ascii="宋体" w:hAnsi="宋体" w:eastAsia="宋体" w:cs="宋体"/>
          <w:spacing w:val="5"/>
          <w:sz w:val="22"/>
          <w:szCs w:val="22"/>
          <w:highlight w:val="none"/>
          <w:lang w:eastAsia="zh-CN"/>
        </w:rPr>
        <w:t>（</w:t>
      </w:r>
      <w:r>
        <w:rPr>
          <w:rFonts w:hint="eastAsia" w:ascii="宋体" w:hAnsi="宋体" w:eastAsia="宋体" w:cs="宋体"/>
          <w:spacing w:val="5"/>
          <w:sz w:val="22"/>
          <w:szCs w:val="22"/>
          <w:highlight w:val="none"/>
        </w:rPr>
        <w:t>人民币贰拾万</w:t>
      </w:r>
      <w:r>
        <w:rPr>
          <w:rFonts w:hint="eastAsia" w:ascii="宋体" w:hAnsi="宋体" w:eastAsia="宋体" w:cs="宋体"/>
          <w:spacing w:val="6"/>
          <w:sz w:val="22"/>
          <w:szCs w:val="22"/>
          <w:highlight w:val="none"/>
        </w:rPr>
        <w:t>元整</w:t>
      </w:r>
      <w:r>
        <w:rPr>
          <w:rFonts w:hint="eastAsia" w:ascii="宋体" w:hAnsi="宋体" w:eastAsia="宋体" w:cs="宋体"/>
          <w:spacing w:val="6"/>
          <w:sz w:val="22"/>
          <w:szCs w:val="22"/>
          <w:highlight w:val="none"/>
          <w:lang w:eastAsia="zh-CN"/>
        </w:rPr>
        <w:t>），</w:t>
      </w:r>
      <w:r>
        <w:rPr>
          <w:rFonts w:hint="eastAsia" w:ascii="宋体" w:hAnsi="宋体" w:eastAsia="宋体" w:cs="宋体"/>
          <w:spacing w:val="6"/>
          <w:sz w:val="22"/>
          <w:szCs w:val="22"/>
          <w:highlight w:val="none"/>
        </w:rPr>
        <w:t>如无违约，履约保证金在合同期满后5个工作日内无息退还至中标人的账户。</w:t>
      </w:r>
    </w:p>
    <w:p w14:paraId="73C23825">
      <w:pPr>
        <w:keepNext w:val="0"/>
        <w:keepLines w:val="0"/>
        <w:pageBreakBefore w:val="0"/>
        <w:widowControl w:val="0"/>
        <w:shd w:val="clear"/>
        <w:kinsoku/>
        <w:wordWrap/>
        <w:overflowPunct/>
        <w:topLinePunct w:val="0"/>
        <w:autoSpaceDE w:val="0"/>
        <w:autoSpaceDN w:val="0"/>
        <w:bidi w:val="0"/>
        <w:snapToGrid/>
        <w:spacing w:line="360" w:lineRule="auto"/>
        <w:ind w:right="141" w:firstLine="488" w:firstLineChars="200"/>
        <w:textAlignment w:val="auto"/>
        <w:rPr>
          <w:rFonts w:hint="eastAsia" w:ascii="宋体" w:hAnsi="宋体" w:eastAsia="宋体" w:cs="宋体"/>
          <w:sz w:val="22"/>
          <w:szCs w:val="22"/>
          <w:highlight w:val="none"/>
        </w:rPr>
      </w:pPr>
      <w:r>
        <w:rPr>
          <w:rFonts w:hint="eastAsia" w:ascii="宋体" w:hAnsi="宋体" w:eastAsia="宋体" w:cs="宋体"/>
          <w:spacing w:val="12"/>
          <w:sz w:val="22"/>
          <w:szCs w:val="22"/>
          <w:highlight w:val="none"/>
          <w:lang w:eastAsia="zh-CN"/>
        </w:rPr>
        <w:t>（1）</w:t>
      </w:r>
      <w:r>
        <w:rPr>
          <w:rFonts w:hint="eastAsia" w:ascii="宋体" w:hAnsi="宋体" w:eastAsia="宋体" w:cs="宋体"/>
          <w:spacing w:val="12"/>
          <w:sz w:val="22"/>
          <w:szCs w:val="22"/>
          <w:highlight w:val="none"/>
        </w:rPr>
        <w:t>因中标人配送不及时导致师生膳食供应延时</w:t>
      </w:r>
      <w:r>
        <w:rPr>
          <w:rFonts w:hint="eastAsia" w:cs="宋体"/>
          <w:spacing w:val="12"/>
          <w:sz w:val="22"/>
          <w:szCs w:val="22"/>
          <w:highlight w:val="none"/>
          <w:lang w:eastAsia="zh-CN"/>
        </w:rPr>
        <w:t>，</w:t>
      </w:r>
      <w:r>
        <w:rPr>
          <w:rFonts w:hint="eastAsia" w:ascii="宋体" w:hAnsi="宋体" w:eastAsia="宋体" w:cs="宋体"/>
          <w:spacing w:val="12"/>
          <w:sz w:val="22"/>
          <w:szCs w:val="22"/>
          <w:highlight w:val="none"/>
        </w:rPr>
        <w:t>且经</w:t>
      </w:r>
      <w:r>
        <w:rPr>
          <w:rFonts w:hint="eastAsia" w:ascii="宋体" w:hAnsi="宋体" w:eastAsia="宋体" w:cs="宋体"/>
          <w:spacing w:val="12"/>
          <w:sz w:val="22"/>
          <w:szCs w:val="22"/>
          <w:highlight w:val="none"/>
          <w:lang w:val="en-US" w:eastAsia="zh-CN"/>
        </w:rPr>
        <w:t>中标人</w:t>
      </w:r>
      <w:r>
        <w:rPr>
          <w:rFonts w:hint="eastAsia" w:ascii="宋体" w:hAnsi="宋体" w:eastAsia="宋体" w:cs="宋体"/>
          <w:spacing w:val="11"/>
          <w:sz w:val="22"/>
          <w:szCs w:val="22"/>
          <w:highlight w:val="none"/>
        </w:rPr>
        <w:t>采取补救措施</w:t>
      </w:r>
      <w:r>
        <w:rPr>
          <w:rFonts w:hint="eastAsia" w:ascii="宋体" w:hAnsi="宋体" w:eastAsia="宋体" w:cs="宋体"/>
          <w:spacing w:val="11"/>
          <w:sz w:val="22"/>
          <w:szCs w:val="22"/>
          <w:highlight w:val="none"/>
          <w:lang w:val="en-US" w:eastAsia="zh-CN"/>
        </w:rPr>
        <w:t>后</w:t>
      </w:r>
      <w:r>
        <w:rPr>
          <w:rFonts w:hint="eastAsia" w:ascii="宋体" w:hAnsi="宋体" w:eastAsia="宋体" w:cs="宋体"/>
          <w:spacing w:val="11"/>
          <w:sz w:val="22"/>
          <w:szCs w:val="22"/>
          <w:highlight w:val="none"/>
        </w:rPr>
        <w:t>未</w:t>
      </w:r>
      <w:r>
        <w:rPr>
          <w:rFonts w:hint="eastAsia" w:ascii="宋体" w:hAnsi="宋体" w:eastAsia="宋体" w:cs="宋体"/>
          <w:spacing w:val="11"/>
          <w:sz w:val="22"/>
          <w:szCs w:val="22"/>
          <w:highlight w:val="none"/>
          <w:lang w:val="en-US" w:eastAsia="zh-CN"/>
        </w:rPr>
        <w:t>对</w:t>
      </w:r>
      <w:r>
        <w:rPr>
          <w:rFonts w:hint="eastAsia" w:ascii="宋体" w:hAnsi="宋体" w:eastAsia="宋体" w:cs="宋体"/>
          <w:spacing w:val="11"/>
          <w:sz w:val="22"/>
          <w:szCs w:val="22"/>
          <w:highlight w:val="none"/>
        </w:rPr>
        <w:t>校方造成不良影响的，按以下规则处置：第一</w:t>
      </w:r>
      <w:r>
        <w:rPr>
          <w:rFonts w:hint="eastAsia" w:ascii="宋体" w:hAnsi="宋体" w:eastAsia="宋体" w:cs="宋体"/>
          <w:spacing w:val="10"/>
          <w:sz w:val="22"/>
          <w:szCs w:val="22"/>
          <w:highlight w:val="none"/>
        </w:rPr>
        <w:t>次</w:t>
      </w:r>
      <w:r>
        <w:rPr>
          <w:rFonts w:hint="eastAsia" w:cs="宋体"/>
          <w:spacing w:val="10"/>
          <w:sz w:val="22"/>
          <w:szCs w:val="22"/>
          <w:highlight w:val="none"/>
          <w:lang w:eastAsia="zh-CN"/>
        </w:rPr>
        <w:t>，</w:t>
      </w:r>
      <w:r>
        <w:rPr>
          <w:rFonts w:hint="eastAsia" w:ascii="宋体" w:hAnsi="宋体" w:eastAsia="宋体" w:cs="宋体"/>
          <w:spacing w:val="10"/>
          <w:sz w:val="22"/>
          <w:szCs w:val="22"/>
          <w:highlight w:val="none"/>
          <w:lang w:eastAsia="zh-CN"/>
        </w:rPr>
        <w:t>采购人</w:t>
      </w:r>
      <w:r>
        <w:rPr>
          <w:rFonts w:hint="eastAsia" w:ascii="宋体" w:hAnsi="宋体" w:eastAsia="宋体" w:cs="宋体"/>
          <w:spacing w:val="10"/>
          <w:sz w:val="22"/>
          <w:szCs w:val="22"/>
          <w:highlight w:val="none"/>
        </w:rPr>
        <w:t>向中标人发出整改通知书</w:t>
      </w:r>
      <w:r>
        <w:rPr>
          <w:rFonts w:hint="eastAsia" w:cs="宋体"/>
          <w:spacing w:val="10"/>
          <w:sz w:val="22"/>
          <w:szCs w:val="22"/>
          <w:highlight w:val="none"/>
          <w:lang w:eastAsia="zh-CN"/>
        </w:rPr>
        <w:t>，</w:t>
      </w:r>
      <w:r>
        <w:rPr>
          <w:rFonts w:hint="eastAsia" w:ascii="宋体" w:hAnsi="宋体" w:eastAsia="宋体" w:cs="宋体"/>
          <w:spacing w:val="10"/>
          <w:sz w:val="22"/>
          <w:szCs w:val="22"/>
          <w:highlight w:val="none"/>
          <w:lang w:val="en-US" w:eastAsia="zh-CN"/>
        </w:rPr>
        <w:t>责令</w:t>
      </w:r>
      <w:r>
        <w:rPr>
          <w:rFonts w:hint="eastAsia" w:ascii="宋体" w:hAnsi="宋体" w:eastAsia="宋体" w:cs="宋体"/>
          <w:spacing w:val="10"/>
          <w:sz w:val="22"/>
          <w:szCs w:val="22"/>
          <w:highlight w:val="none"/>
        </w:rPr>
        <w:t>整改</w:t>
      </w:r>
      <w:r>
        <w:rPr>
          <w:rFonts w:hint="eastAsia" w:cs="宋体"/>
          <w:spacing w:val="10"/>
          <w:sz w:val="22"/>
          <w:szCs w:val="22"/>
          <w:highlight w:val="none"/>
          <w:lang w:eastAsia="zh-CN"/>
        </w:rPr>
        <w:t>；</w:t>
      </w:r>
      <w:r>
        <w:rPr>
          <w:rFonts w:hint="eastAsia" w:ascii="宋体" w:hAnsi="宋体" w:eastAsia="宋体" w:cs="宋体"/>
          <w:spacing w:val="10"/>
          <w:sz w:val="22"/>
          <w:szCs w:val="22"/>
          <w:highlight w:val="none"/>
        </w:rPr>
        <w:t>第二</w:t>
      </w:r>
      <w:r>
        <w:rPr>
          <w:rFonts w:hint="eastAsia" w:ascii="宋体" w:hAnsi="宋体" w:eastAsia="宋体" w:cs="宋体"/>
          <w:spacing w:val="9"/>
          <w:sz w:val="22"/>
          <w:szCs w:val="22"/>
          <w:highlight w:val="none"/>
        </w:rPr>
        <w:t>次</w:t>
      </w:r>
      <w:r>
        <w:rPr>
          <w:rFonts w:hint="eastAsia" w:cs="宋体"/>
          <w:spacing w:val="9"/>
          <w:sz w:val="22"/>
          <w:szCs w:val="22"/>
          <w:highlight w:val="none"/>
          <w:lang w:eastAsia="zh-CN"/>
        </w:rPr>
        <w:t>，</w:t>
      </w:r>
      <w:r>
        <w:rPr>
          <w:rFonts w:hint="eastAsia" w:ascii="宋体" w:hAnsi="宋体" w:eastAsia="宋体" w:cs="宋体"/>
          <w:spacing w:val="9"/>
          <w:sz w:val="22"/>
          <w:szCs w:val="22"/>
          <w:highlight w:val="none"/>
          <w:lang w:eastAsia="zh-CN"/>
        </w:rPr>
        <w:t>采购人</w:t>
      </w:r>
      <w:r>
        <w:rPr>
          <w:rFonts w:hint="eastAsia" w:ascii="宋体" w:hAnsi="宋体" w:eastAsia="宋体" w:cs="宋体"/>
          <w:spacing w:val="9"/>
          <w:sz w:val="22"/>
          <w:szCs w:val="22"/>
          <w:highlight w:val="none"/>
        </w:rPr>
        <w:t>向中标人发出整改通知书</w:t>
      </w:r>
      <w:r>
        <w:rPr>
          <w:rFonts w:hint="eastAsia" w:cs="宋体"/>
          <w:spacing w:val="9"/>
          <w:sz w:val="22"/>
          <w:szCs w:val="22"/>
          <w:highlight w:val="none"/>
          <w:lang w:eastAsia="zh-CN"/>
        </w:rPr>
        <w:t>、</w:t>
      </w:r>
      <w:r>
        <w:rPr>
          <w:rFonts w:hint="eastAsia" w:ascii="宋体" w:hAnsi="宋体" w:eastAsia="宋体" w:cs="宋体"/>
          <w:spacing w:val="10"/>
          <w:sz w:val="22"/>
          <w:szCs w:val="22"/>
          <w:highlight w:val="none"/>
          <w:lang w:val="en-US" w:eastAsia="zh-CN"/>
        </w:rPr>
        <w:t>责令</w:t>
      </w:r>
      <w:r>
        <w:rPr>
          <w:rFonts w:hint="eastAsia" w:ascii="宋体" w:hAnsi="宋体" w:eastAsia="宋体" w:cs="宋体"/>
          <w:spacing w:val="10"/>
          <w:sz w:val="22"/>
          <w:szCs w:val="22"/>
          <w:highlight w:val="none"/>
        </w:rPr>
        <w:t>整改</w:t>
      </w:r>
      <w:r>
        <w:rPr>
          <w:rFonts w:hint="eastAsia" w:cs="宋体"/>
          <w:spacing w:val="10"/>
          <w:sz w:val="22"/>
          <w:szCs w:val="22"/>
          <w:highlight w:val="none"/>
          <w:lang w:eastAsia="zh-CN"/>
        </w:rPr>
        <w:t>，</w:t>
      </w:r>
      <w:r>
        <w:rPr>
          <w:rFonts w:hint="eastAsia" w:ascii="宋体" w:hAnsi="宋体" w:eastAsia="宋体" w:cs="宋体"/>
          <w:spacing w:val="9"/>
          <w:sz w:val="22"/>
          <w:szCs w:val="22"/>
          <w:highlight w:val="none"/>
        </w:rPr>
        <w:t>并</w:t>
      </w:r>
      <w:r>
        <w:rPr>
          <w:rFonts w:hint="eastAsia" w:ascii="宋体" w:hAnsi="宋体" w:eastAsia="宋体" w:cs="宋体"/>
          <w:spacing w:val="16"/>
          <w:sz w:val="22"/>
          <w:szCs w:val="22"/>
          <w:highlight w:val="none"/>
        </w:rPr>
        <w:t>扣除履约保证金的1%</w:t>
      </w:r>
      <w:r>
        <w:rPr>
          <w:rFonts w:hint="eastAsia" w:cs="宋体"/>
          <w:spacing w:val="16"/>
          <w:sz w:val="22"/>
          <w:szCs w:val="22"/>
          <w:highlight w:val="none"/>
          <w:lang w:eastAsia="zh-CN"/>
        </w:rPr>
        <w:t>；</w:t>
      </w:r>
      <w:r>
        <w:rPr>
          <w:rFonts w:hint="eastAsia" w:ascii="宋体" w:hAnsi="宋体" w:eastAsia="宋体" w:cs="宋体"/>
          <w:spacing w:val="16"/>
          <w:sz w:val="22"/>
          <w:szCs w:val="22"/>
          <w:highlight w:val="none"/>
        </w:rPr>
        <w:t>第三次</w:t>
      </w:r>
      <w:r>
        <w:rPr>
          <w:rFonts w:hint="eastAsia" w:cs="宋体"/>
          <w:spacing w:val="16"/>
          <w:sz w:val="22"/>
          <w:szCs w:val="22"/>
          <w:highlight w:val="none"/>
          <w:lang w:eastAsia="zh-CN"/>
        </w:rPr>
        <w:t>，</w:t>
      </w:r>
      <w:r>
        <w:rPr>
          <w:rFonts w:hint="eastAsia" w:ascii="宋体" w:hAnsi="宋体" w:eastAsia="宋体" w:cs="宋体"/>
          <w:spacing w:val="16"/>
          <w:sz w:val="22"/>
          <w:szCs w:val="22"/>
          <w:highlight w:val="none"/>
          <w:lang w:eastAsia="zh-CN"/>
        </w:rPr>
        <w:t>采购人</w:t>
      </w:r>
      <w:r>
        <w:rPr>
          <w:rFonts w:hint="eastAsia" w:ascii="宋体" w:hAnsi="宋体" w:eastAsia="宋体" w:cs="宋体"/>
          <w:spacing w:val="16"/>
          <w:sz w:val="22"/>
          <w:szCs w:val="22"/>
          <w:highlight w:val="none"/>
        </w:rPr>
        <w:t>向中标人发出整改通知书</w:t>
      </w:r>
      <w:r>
        <w:rPr>
          <w:rFonts w:hint="eastAsia" w:cs="宋体"/>
          <w:spacing w:val="16"/>
          <w:sz w:val="22"/>
          <w:szCs w:val="22"/>
          <w:highlight w:val="none"/>
          <w:lang w:eastAsia="zh-CN"/>
        </w:rPr>
        <w:t>、</w:t>
      </w:r>
      <w:r>
        <w:rPr>
          <w:rFonts w:hint="eastAsia" w:ascii="宋体" w:hAnsi="宋体" w:eastAsia="宋体" w:cs="宋体"/>
          <w:spacing w:val="10"/>
          <w:sz w:val="22"/>
          <w:szCs w:val="22"/>
          <w:highlight w:val="none"/>
          <w:lang w:val="en-US" w:eastAsia="zh-CN"/>
        </w:rPr>
        <w:t>责令</w:t>
      </w:r>
      <w:r>
        <w:rPr>
          <w:rFonts w:hint="eastAsia" w:ascii="宋体" w:hAnsi="宋体" w:eastAsia="宋体" w:cs="宋体"/>
          <w:spacing w:val="10"/>
          <w:sz w:val="22"/>
          <w:szCs w:val="22"/>
          <w:highlight w:val="none"/>
        </w:rPr>
        <w:t>整改</w:t>
      </w:r>
      <w:r>
        <w:rPr>
          <w:rFonts w:hint="eastAsia" w:cs="宋体"/>
          <w:spacing w:val="10"/>
          <w:sz w:val="22"/>
          <w:szCs w:val="22"/>
          <w:highlight w:val="none"/>
          <w:lang w:eastAsia="zh-CN"/>
        </w:rPr>
        <w:t>，</w:t>
      </w:r>
      <w:r>
        <w:rPr>
          <w:rFonts w:hint="eastAsia" w:ascii="宋体" w:hAnsi="宋体" w:eastAsia="宋体" w:cs="宋体"/>
          <w:spacing w:val="15"/>
          <w:sz w:val="22"/>
          <w:szCs w:val="22"/>
          <w:highlight w:val="none"/>
        </w:rPr>
        <w:t>并扣除履约保证金的3%</w:t>
      </w:r>
      <w:r>
        <w:rPr>
          <w:rFonts w:hint="eastAsia" w:cs="宋体"/>
          <w:spacing w:val="15"/>
          <w:sz w:val="22"/>
          <w:szCs w:val="22"/>
          <w:highlight w:val="none"/>
          <w:lang w:eastAsia="zh-CN"/>
        </w:rPr>
        <w:t>；</w:t>
      </w:r>
      <w:r>
        <w:rPr>
          <w:rFonts w:hint="eastAsia" w:ascii="宋体" w:hAnsi="宋体" w:eastAsia="宋体" w:cs="宋体"/>
          <w:spacing w:val="15"/>
          <w:sz w:val="22"/>
          <w:szCs w:val="22"/>
          <w:highlight w:val="none"/>
        </w:rPr>
        <w:t>第</w:t>
      </w:r>
      <w:r>
        <w:rPr>
          <w:rFonts w:hint="eastAsia" w:ascii="宋体" w:hAnsi="宋体" w:eastAsia="宋体" w:cs="宋体"/>
          <w:spacing w:val="9"/>
          <w:sz w:val="22"/>
          <w:szCs w:val="22"/>
          <w:highlight w:val="none"/>
        </w:rPr>
        <w:t>四次</w:t>
      </w:r>
      <w:r>
        <w:rPr>
          <w:rFonts w:hint="eastAsia" w:cs="宋体"/>
          <w:spacing w:val="9"/>
          <w:sz w:val="22"/>
          <w:szCs w:val="22"/>
          <w:highlight w:val="none"/>
          <w:lang w:eastAsia="zh-CN"/>
        </w:rPr>
        <w:t>，</w:t>
      </w:r>
      <w:r>
        <w:rPr>
          <w:rFonts w:hint="eastAsia" w:ascii="宋体" w:hAnsi="宋体" w:eastAsia="宋体" w:cs="宋体"/>
          <w:spacing w:val="9"/>
          <w:sz w:val="22"/>
          <w:szCs w:val="22"/>
          <w:highlight w:val="none"/>
        </w:rPr>
        <w:t>扣除履约保证金的10%且</w:t>
      </w:r>
      <w:r>
        <w:rPr>
          <w:rFonts w:hint="eastAsia" w:ascii="宋体" w:hAnsi="宋体" w:eastAsia="宋体" w:cs="宋体"/>
          <w:spacing w:val="9"/>
          <w:sz w:val="22"/>
          <w:szCs w:val="22"/>
          <w:highlight w:val="none"/>
          <w:lang w:val="en-US" w:eastAsia="zh-CN"/>
        </w:rPr>
        <w:t>终止</w:t>
      </w:r>
      <w:r>
        <w:rPr>
          <w:rFonts w:hint="eastAsia" w:ascii="宋体" w:hAnsi="宋体" w:eastAsia="宋体" w:cs="宋体"/>
          <w:spacing w:val="9"/>
          <w:sz w:val="22"/>
          <w:szCs w:val="22"/>
          <w:highlight w:val="none"/>
        </w:rPr>
        <w:t>合同。</w:t>
      </w:r>
    </w:p>
    <w:p w14:paraId="13F6006B">
      <w:pPr>
        <w:keepNext w:val="0"/>
        <w:keepLines w:val="0"/>
        <w:pageBreakBefore w:val="0"/>
        <w:widowControl w:val="0"/>
        <w:shd w:val="clear"/>
        <w:kinsoku/>
        <w:wordWrap/>
        <w:overflowPunct/>
        <w:topLinePunct w:val="0"/>
        <w:autoSpaceDE w:val="0"/>
        <w:autoSpaceDN w:val="0"/>
        <w:bidi w:val="0"/>
        <w:snapToGrid/>
        <w:spacing w:line="360" w:lineRule="auto"/>
        <w:ind w:right="220" w:firstLine="504" w:firstLineChars="200"/>
        <w:textAlignment w:val="auto"/>
        <w:rPr>
          <w:rFonts w:hint="eastAsia" w:ascii="宋体" w:hAnsi="宋体" w:eastAsia="宋体" w:cs="宋体"/>
          <w:sz w:val="22"/>
          <w:szCs w:val="22"/>
          <w:highlight w:val="none"/>
        </w:rPr>
      </w:pPr>
      <w:r>
        <w:rPr>
          <w:rFonts w:hint="eastAsia" w:ascii="宋体" w:hAnsi="宋体" w:eastAsia="宋体" w:cs="宋体"/>
          <w:spacing w:val="16"/>
          <w:sz w:val="22"/>
          <w:szCs w:val="22"/>
          <w:highlight w:val="none"/>
          <w:lang w:eastAsia="zh-CN"/>
        </w:rPr>
        <w:t>（2）</w:t>
      </w:r>
      <w:r>
        <w:rPr>
          <w:rFonts w:hint="eastAsia" w:ascii="宋体" w:hAnsi="宋体" w:eastAsia="宋体" w:cs="宋体"/>
          <w:spacing w:val="16"/>
          <w:sz w:val="22"/>
          <w:szCs w:val="22"/>
          <w:highlight w:val="none"/>
        </w:rPr>
        <w:t>凡经相关部门认定，因中标人所提供的餐品</w:t>
      </w:r>
      <w:r>
        <w:rPr>
          <w:rFonts w:hint="eastAsia" w:ascii="宋体" w:hAnsi="宋体" w:eastAsia="宋体" w:cs="宋体"/>
          <w:spacing w:val="16"/>
          <w:sz w:val="22"/>
          <w:szCs w:val="22"/>
          <w:highlight w:val="none"/>
          <w:lang w:eastAsia="zh-CN"/>
        </w:rPr>
        <w:t>（</w:t>
      </w:r>
      <w:r>
        <w:rPr>
          <w:rFonts w:hint="eastAsia" w:ascii="宋体" w:hAnsi="宋体" w:eastAsia="宋体" w:cs="宋体"/>
          <w:spacing w:val="16"/>
          <w:sz w:val="22"/>
          <w:szCs w:val="22"/>
          <w:highlight w:val="none"/>
        </w:rPr>
        <w:t>含餐具卫生质量</w:t>
      </w:r>
      <w:r>
        <w:rPr>
          <w:rFonts w:hint="eastAsia" w:ascii="宋体" w:hAnsi="宋体" w:eastAsia="宋体" w:cs="宋体"/>
          <w:spacing w:val="16"/>
          <w:sz w:val="22"/>
          <w:szCs w:val="22"/>
          <w:highlight w:val="none"/>
          <w:lang w:eastAsia="zh-CN"/>
        </w:rPr>
        <w:t>）</w:t>
      </w:r>
      <w:r>
        <w:rPr>
          <w:rFonts w:hint="eastAsia" w:ascii="宋体" w:hAnsi="宋体" w:eastAsia="宋体" w:cs="宋体"/>
          <w:spacing w:val="15"/>
          <w:sz w:val="22"/>
          <w:szCs w:val="22"/>
          <w:highlight w:val="none"/>
        </w:rPr>
        <w:t>造成师生食物中毒等</w:t>
      </w:r>
      <w:r>
        <w:rPr>
          <w:rFonts w:hint="eastAsia" w:ascii="宋体" w:hAnsi="宋体" w:eastAsia="宋体" w:cs="宋体"/>
          <w:spacing w:val="9"/>
          <w:sz w:val="22"/>
          <w:szCs w:val="22"/>
          <w:highlight w:val="none"/>
        </w:rPr>
        <w:t>安全事故的，中标人除必须承担全部法律责任外，还</w:t>
      </w:r>
      <w:r>
        <w:rPr>
          <w:rFonts w:hint="eastAsia" w:cs="宋体"/>
          <w:spacing w:val="9"/>
          <w:sz w:val="22"/>
          <w:szCs w:val="22"/>
          <w:highlight w:val="none"/>
          <w:lang w:val="en-US" w:eastAsia="zh-CN"/>
        </w:rPr>
        <w:t>需</w:t>
      </w:r>
      <w:r>
        <w:rPr>
          <w:rFonts w:hint="eastAsia" w:ascii="宋体" w:hAnsi="宋体" w:eastAsia="宋体" w:cs="宋体"/>
          <w:spacing w:val="9"/>
          <w:sz w:val="22"/>
          <w:szCs w:val="22"/>
          <w:highlight w:val="none"/>
        </w:rPr>
        <w:t>全额承担</w:t>
      </w:r>
      <w:r>
        <w:rPr>
          <w:rFonts w:hint="eastAsia" w:cs="宋体"/>
          <w:spacing w:val="9"/>
          <w:sz w:val="22"/>
          <w:szCs w:val="22"/>
          <w:highlight w:val="none"/>
          <w:lang w:val="en-US" w:eastAsia="zh-CN"/>
        </w:rPr>
        <w:t>事故引发的所有</w:t>
      </w:r>
      <w:r>
        <w:rPr>
          <w:rFonts w:hint="eastAsia" w:ascii="宋体" w:hAnsi="宋体" w:eastAsia="宋体" w:cs="宋体"/>
          <w:spacing w:val="9"/>
          <w:sz w:val="22"/>
          <w:szCs w:val="22"/>
          <w:highlight w:val="none"/>
        </w:rPr>
        <w:t>费用。</w:t>
      </w:r>
      <w:r>
        <w:rPr>
          <w:rFonts w:hint="eastAsia" w:ascii="宋体" w:hAnsi="宋体" w:eastAsia="宋体" w:cs="宋体"/>
          <w:spacing w:val="9"/>
          <w:sz w:val="22"/>
          <w:szCs w:val="22"/>
          <w:highlight w:val="none"/>
          <w:lang w:eastAsia="zh-CN"/>
        </w:rPr>
        <w:t>采购人</w:t>
      </w:r>
      <w:r>
        <w:rPr>
          <w:rFonts w:hint="eastAsia" w:ascii="宋体" w:hAnsi="宋体" w:eastAsia="宋体" w:cs="宋体"/>
          <w:spacing w:val="9"/>
          <w:sz w:val="22"/>
          <w:szCs w:val="22"/>
          <w:highlight w:val="none"/>
        </w:rPr>
        <w:t>有权立即停止中标人供货</w:t>
      </w:r>
      <w:r>
        <w:rPr>
          <w:rFonts w:hint="eastAsia" w:ascii="宋体" w:hAnsi="宋体" w:eastAsia="宋体" w:cs="宋体"/>
          <w:spacing w:val="9"/>
          <w:sz w:val="22"/>
          <w:szCs w:val="22"/>
          <w:highlight w:val="none"/>
          <w:lang w:val="en-US" w:eastAsia="zh-CN"/>
        </w:rPr>
        <w:t>资格</w:t>
      </w:r>
      <w:r>
        <w:rPr>
          <w:rFonts w:hint="eastAsia" w:ascii="宋体" w:hAnsi="宋体" w:eastAsia="宋体" w:cs="宋体"/>
          <w:spacing w:val="9"/>
          <w:sz w:val="22"/>
          <w:szCs w:val="22"/>
          <w:highlight w:val="none"/>
        </w:rPr>
        <w:t>，并暂扣当月所有供餐</w:t>
      </w:r>
      <w:r>
        <w:rPr>
          <w:rFonts w:hint="eastAsia" w:ascii="宋体" w:hAnsi="宋体" w:eastAsia="宋体" w:cs="宋体"/>
          <w:spacing w:val="9"/>
          <w:sz w:val="22"/>
          <w:szCs w:val="22"/>
          <w:highlight w:val="none"/>
          <w:lang w:val="en-US" w:eastAsia="zh-CN"/>
        </w:rPr>
        <w:t>费用</w:t>
      </w:r>
      <w:r>
        <w:rPr>
          <w:rFonts w:hint="eastAsia" w:ascii="宋体" w:hAnsi="宋体" w:eastAsia="宋体" w:cs="宋体"/>
          <w:spacing w:val="9"/>
          <w:sz w:val="22"/>
          <w:szCs w:val="22"/>
          <w:highlight w:val="none"/>
        </w:rPr>
        <w:t>作为赔偿预付款。</w:t>
      </w:r>
    </w:p>
    <w:p w14:paraId="18BDD42F">
      <w:pPr>
        <w:keepNext w:val="0"/>
        <w:keepLines w:val="0"/>
        <w:pageBreakBefore w:val="0"/>
        <w:widowControl w:val="0"/>
        <w:shd w:val="clear"/>
        <w:kinsoku/>
        <w:wordWrap/>
        <w:overflowPunct/>
        <w:topLinePunct w:val="0"/>
        <w:autoSpaceDE w:val="0"/>
        <w:autoSpaceDN w:val="0"/>
        <w:bidi w:val="0"/>
        <w:snapToGrid/>
        <w:spacing w:line="360" w:lineRule="auto"/>
        <w:ind w:left="79" w:firstLine="472" w:firstLineChars="200"/>
        <w:textAlignment w:val="auto"/>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4.中标人须配备足够的配餐人员及食物运输车辆。</w:t>
      </w:r>
    </w:p>
    <w:p w14:paraId="5F29B5E3">
      <w:pPr>
        <w:keepNext w:val="0"/>
        <w:keepLines w:val="0"/>
        <w:pageBreakBefore w:val="0"/>
        <w:widowControl w:val="0"/>
        <w:shd w:val="clear"/>
        <w:kinsoku/>
        <w:wordWrap/>
        <w:overflowPunct/>
        <w:topLinePunct w:val="0"/>
        <w:autoSpaceDE w:val="0"/>
        <w:autoSpaceDN w:val="0"/>
        <w:bidi w:val="0"/>
        <w:snapToGrid/>
        <w:spacing w:line="360" w:lineRule="auto"/>
        <w:ind w:left="79" w:right="0" w:firstLine="442" w:firstLineChars="200"/>
        <w:textAlignment w:val="auto"/>
        <w:rPr>
          <w:rFonts w:hint="eastAsia" w:ascii="宋体" w:hAnsi="宋体" w:eastAsia="宋体" w:cs="宋体"/>
          <w:b/>
          <w:bCs/>
          <w:spacing w:val="8"/>
          <w:sz w:val="22"/>
          <w:szCs w:val="22"/>
          <w:highlight w:val="none"/>
          <w:shd w:val="clear" w:color="auto" w:fill="auto"/>
          <w:lang w:val="en-US" w:eastAsia="zh-CN"/>
        </w:rPr>
      </w:pPr>
      <w:r>
        <w:rPr>
          <w:rFonts w:hint="eastAsia"/>
          <w:b/>
          <w:bCs/>
          <w:highlight w:val="none"/>
          <w:lang w:val="en-US" w:eastAsia="zh-CN"/>
        </w:rPr>
        <w:t>5.</w:t>
      </w:r>
      <w:r>
        <w:rPr>
          <w:rFonts w:hint="eastAsia" w:ascii="宋体" w:hAnsi="宋体" w:eastAsia="宋体" w:cs="宋体"/>
          <w:b/>
          <w:bCs/>
          <w:spacing w:val="8"/>
          <w:sz w:val="22"/>
          <w:szCs w:val="22"/>
          <w:highlight w:val="none"/>
        </w:rPr>
        <w:t>★投标人如在小榄镇范围内无</w:t>
      </w:r>
      <w:r>
        <w:rPr>
          <w:rFonts w:hint="eastAsia" w:cs="宋体"/>
          <w:b/>
          <w:bCs/>
          <w:spacing w:val="8"/>
          <w:sz w:val="22"/>
          <w:szCs w:val="22"/>
          <w:highlight w:val="none"/>
          <w:lang w:val="en-US" w:eastAsia="zh-CN"/>
        </w:rPr>
        <w:t>具备</w:t>
      </w:r>
      <w:r>
        <w:rPr>
          <w:rFonts w:hint="eastAsia" w:ascii="宋体" w:hAnsi="宋体" w:eastAsia="宋体" w:cs="宋体"/>
          <w:b/>
          <w:bCs/>
          <w:spacing w:val="8"/>
          <w:sz w:val="22"/>
          <w:szCs w:val="22"/>
          <w:highlight w:val="none"/>
        </w:rPr>
        <w:t>中央厨房性质或集体用餐配送单位性质的服务中心，</w:t>
      </w:r>
      <w:r>
        <w:rPr>
          <w:rFonts w:hint="eastAsia" w:cs="宋体"/>
          <w:b/>
          <w:bCs/>
          <w:spacing w:val="8"/>
          <w:sz w:val="22"/>
          <w:szCs w:val="22"/>
          <w:highlight w:val="none"/>
          <w:lang w:val="en-US" w:eastAsia="zh-CN"/>
        </w:rPr>
        <w:t>投标文件中必须承诺自</w:t>
      </w:r>
      <w:r>
        <w:rPr>
          <w:rFonts w:hint="eastAsia" w:ascii="宋体" w:hAnsi="宋体" w:eastAsia="宋体" w:cs="宋体"/>
          <w:b/>
          <w:bCs/>
          <w:spacing w:val="8"/>
          <w:sz w:val="22"/>
          <w:szCs w:val="22"/>
          <w:highlight w:val="none"/>
          <w:lang w:val="en-US" w:eastAsia="zh-CN"/>
        </w:rPr>
        <w:t>收到中标通知书</w:t>
      </w:r>
      <w:r>
        <w:rPr>
          <w:rFonts w:hint="eastAsia" w:ascii="宋体" w:hAnsi="宋体" w:eastAsia="宋体" w:cs="宋体"/>
          <w:b/>
          <w:bCs/>
          <w:spacing w:val="8"/>
          <w:sz w:val="22"/>
          <w:szCs w:val="22"/>
          <w:highlight w:val="none"/>
        </w:rPr>
        <w:t>后的</w:t>
      </w:r>
      <w:r>
        <w:rPr>
          <w:rFonts w:hint="eastAsia" w:ascii="宋体" w:hAnsi="宋体" w:eastAsia="宋体" w:cs="宋体"/>
          <w:b/>
          <w:bCs/>
          <w:spacing w:val="8"/>
          <w:sz w:val="22"/>
          <w:szCs w:val="22"/>
          <w:highlight w:val="none"/>
          <w:lang w:val="en-US" w:eastAsia="zh-CN"/>
        </w:rPr>
        <w:t>60天</w:t>
      </w:r>
      <w:r>
        <w:rPr>
          <w:rFonts w:hint="eastAsia" w:ascii="宋体" w:hAnsi="宋体" w:eastAsia="宋体" w:cs="宋体"/>
          <w:b/>
          <w:bCs/>
          <w:spacing w:val="8"/>
          <w:sz w:val="22"/>
          <w:szCs w:val="22"/>
          <w:highlight w:val="none"/>
        </w:rPr>
        <w:t>内，在中山市小榄镇范围内配备</w:t>
      </w:r>
      <w:r>
        <w:rPr>
          <w:rFonts w:hint="eastAsia" w:cs="宋体"/>
          <w:b/>
          <w:bCs/>
          <w:spacing w:val="8"/>
          <w:sz w:val="22"/>
          <w:szCs w:val="22"/>
          <w:highlight w:val="none"/>
          <w:lang w:val="en-US" w:eastAsia="zh-CN"/>
        </w:rPr>
        <w:t>可投入使用的</w:t>
      </w:r>
      <w:r>
        <w:rPr>
          <w:rFonts w:hint="eastAsia" w:ascii="宋体" w:hAnsi="宋体" w:eastAsia="宋体" w:cs="宋体"/>
          <w:b/>
          <w:bCs/>
          <w:spacing w:val="8"/>
          <w:sz w:val="22"/>
          <w:szCs w:val="22"/>
          <w:highlight w:val="none"/>
        </w:rPr>
        <w:t>中央厨房性质或集体用餐配送单位性质的服务中心</w:t>
      </w:r>
      <w:r>
        <w:rPr>
          <w:rFonts w:hint="eastAsia" w:cs="宋体"/>
          <w:b/>
          <w:bCs/>
          <w:spacing w:val="8"/>
          <w:sz w:val="22"/>
          <w:szCs w:val="22"/>
          <w:highlight w:val="none"/>
          <w:lang w:eastAsia="zh-CN"/>
        </w:rPr>
        <w:t>，</w:t>
      </w:r>
      <w:r>
        <w:rPr>
          <w:rFonts w:hint="eastAsia"/>
          <w:b/>
          <w:bCs/>
          <w:spacing w:val="8"/>
          <w:highlight w:val="none"/>
        </w:rPr>
        <w:t>保障餐食加工至食用时间在2小时内</w:t>
      </w:r>
      <w:r>
        <w:rPr>
          <w:rFonts w:hint="eastAsia" w:ascii="宋体" w:hAnsi="宋体" w:eastAsia="宋体" w:cs="宋体"/>
          <w:b/>
          <w:bCs/>
          <w:spacing w:val="8"/>
          <w:sz w:val="22"/>
          <w:szCs w:val="22"/>
          <w:highlight w:val="none"/>
        </w:rPr>
        <w:t>。逾期未配备</w:t>
      </w:r>
      <w:r>
        <w:rPr>
          <w:rFonts w:hint="eastAsia" w:cs="宋体"/>
          <w:b/>
          <w:bCs/>
          <w:spacing w:val="8"/>
          <w:sz w:val="22"/>
          <w:szCs w:val="22"/>
          <w:highlight w:val="none"/>
          <w:lang w:eastAsia="zh-CN"/>
        </w:rPr>
        <w:t>的</w:t>
      </w:r>
      <w:r>
        <w:rPr>
          <w:rFonts w:hint="eastAsia" w:ascii="宋体" w:hAnsi="宋体" w:eastAsia="宋体" w:cs="宋体"/>
          <w:b/>
          <w:bCs/>
          <w:spacing w:val="8"/>
          <w:sz w:val="22"/>
          <w:szCs w:val="22"/>
          <w:highlight w:val="none"/>
          <w:lang w:eastAsia="zh-CN"/>
        </w:rPr>
        <w:t>采购人</w:t>
      </w:r>
      <w:r>
        <w:rPr>
          <w:rFonts w:hint="eastAsia" w:ascii="宋体" w:hAnsi="宋体" w:eastAsia="宋体" w:cs="宋体"/>
          <w:b/>
          <w:bCs/>
          <w:spacing w:val="8"/>
          <w:sz w:val="22"/>
          <w:szCs w:val="22"/>
          <w:highlight w:val="none"/>
        </w:rPr>
        <w:t>将终止合同并没收履约保证金，所造成的损失由中标人负责。中央厨房性质或集体用餐配送单位性质的服务中心的场地、配套设施、人员等均由中标人自行解决，以食品安全等级A级标准配备该服务中心。中标人承诺对当地特困生、贫困生进行餐费减免措施。</w:t>
      </w:r>
      <w:r>
        <w:rPr>
          <w:rFonts w:hint="eastAsia" w:ascii="宋体" w:hAnsi="宋体" w:eastAsia="宋体" w:cs="宋体"/>
          <w:b/>
          <w:bCs/>
          <w:spacing w:val="8"/>
          <w:sz w:val="22"/>
          <w:szCs w:val="22"/>
          <w:highlight w:val="none"/>
          <w:shd w:val="clear" w:color="auto" w:fill="auto"/>
          <w:lang w:val="en-US" w:eastAsia="zh-CN"/>
        </w:rPr>
        <w:t>（提供承诺函并加盖公章，格式</w:t>
      </w:r>
      <w:r>
        <w:rPr>
          <w:rFonts w:hint="eastAsia" w:ascii="宋体" w:hAnsi="宋体" w:eastAsia="宋体" w:cs="宋体"/>
          <w:b/>
          <w:bCs/>
          <w:color w:val="auto"/>
          <w:spacing w:val="8"/>
          <w:sz w:val="22"/>
          <w:szCs w:val="22"/>
          <w:highlight w:val="none"/>
          <w:shd w:val="clear" w:color="auto" w:fill="auto"/>
          <w:lang w:val="en-US"/>
        </w:rPr>
        <w:t xml:space="preserve">详见“第六章 </w:t>
      </w:r>
      <w:r>
        <w:rPr>
          <w:rFonts w:hint="eastAsia" w:ascii="宋体" w:hAnsi="宋体" w:eastAsia="宋体" w:cs="宋体"/>
          <w:b/>
          <w:bCs/>
          <w:color w:val="auto"/>
          <w:spacing w:val="8"/>
          <w:sz w:val="22"/>
          <w:szCs w:val="22"/>
          <w:highlight w:val="none"/>
          <w:shd w:val="clear" w:color="auto" w:fill="auto"/>
          <w:lang w:val="en-US" w:eastAsia="zh-CN"/>
        </w:rPr>
        <w:t>投标</w:t>
      </w:r>
      <w:r>
        <w:rPr>
          <w:rFonts w:hint="eastAsia" w:ascii="宋体" w:hAnsi="宋体" w:eastAsia="宋体" w:cs="宋体"/>
          <w:b/>
          <w:bCs/>
          <w:color w:val="auto"/>
          <w:spacing w:val="8"/>
          <w:sz w:val="22"/>
          <w:szCs w:val="22"/>
          <w:highlight w:val="none"/>
          <w:shd w:val="clear" w:color="auto" w:fill="auto"/>
          <w:lang w:val="en-US"/>
        </w:rPr>
        <w:t>文件格式”</w:t>
      </w:r>
      <w:r>
        <w:rPr>
          <w:rFonts w:hint="eastAsia" w:ascii="宋体" w:hAnsi="宋体" w:eastAsia="宋体" w:cs="宋体"/>
          <w:b/>
          <w:bCs/>
          <w:color w:val="auto"/>
          <w:spacing w:val="8"/>
          <w:sz w:val="22"/>
          <w:szCs w:val="22"/>
          <w:highlight w:val="none"/>
          <w:shd w:val="clear" w:color="auto" w:fill="auto"/>
          <w:lang w:val="en-US" w:eastAsia="zh-CN"/>
        </w:rPr>
        <w:t>4.2.承诺函</w:t>
      </w:r>
      <w:r>
        <w:rPr>
          <w:rFonts w:hint="eastAsia" w:ascii="宋体" w:hAnsi="宋体" w:eastAsia="宋体" w:cs="宋体"/>
          <w:b/>
          <w:bCs/>
          <w:spacing w:val="8"/>
          <w:sz w:val="22"/>
          <w:szCs w:val="22"/>
          <w:highlight w:val="none"/>
          <w:shd w:val="clear" w:color="auto" w:fill="auto"/>
          <w:lang w:val="en-US" w:eastAsia="zh-CN"/>
        </w:rPr>
        <w:t>）。</w:t>
      </w:r>
    </w:p>
    <w:p w14:paraId="7BAED01F">
      <w:pPr>
        <w:keepNext w:val="0"/>
        <w:keepLines w:val="0"/>
        <w:pageBreakBefore w:val="0"/>
        <w:widowControl w:val="0"/>
        <w:shd w:val="clear"/>
        <w:kinsoku/>
        <w:wordWrap/>
        <w:overflowPunct/>
        <w:topLinePunct w:val="0"/>
        <w:autoSpaceDE w:val="0"/>
        <w:autoSpaceDN w:val="0"/>
        <w:bidi w:val="0"/>
        <w:adjustRightInd/>
        <w:snapToGrid/>
        <w:spacing w:line="360" w:lineRule="auto"/>
        <w:ind w:firstLine="502" w:firstLineChars="200"/>
        <w:jc w:val="both"/>
        <w:textAlignment w:val="auto"/>
        <w:rPr>
          <w:rFonts w:hint="eastAsia"/>
          <w:highlight w:val="none"/>
        </w:rPr>
      </w:pPr>
      <w:r>
        <w:rPr>
          <w:rFonts w:hint="eastAsia" w:cs="宋体"/>
          <w:b/>
          <w:bCs/>
          <w:spacing w:val="15"/>
          <w:sz w:val="22"/>
          <w:szCs w:val="22"/>
          <w:highlight w:val="none"/>
          <w:lang w:val="en-US" w:eastAsia="zh-CN"/>
        </w:rPr>
        <w:t>6</w:t>
      </w:r>
      <w:r>
        <w:rPr>
          <w:rFonts w:hint="eastAsia" w:ascii="宋体" w:hAnsi="宋体" w:eastAsia="宋体" w:cs="宋体"/>
          <w:b/>
          <w:bCs/>
          <w:spacing w:val="15"/>
          <w:sz w:val="22"/>
          <w:szCs w:val="22"/>
          <w:highlight w:val="none"/>
        </w:rPr>
        <w:t>.</w:t>
      </w:r>
      <w:r>
        <w:rPr>
          <w:rFonts w:hint="eastAsia" w:ascii="宋体" w:hAnsi="宋体" w:eastAsia="宋体" w:cs="宋体"/>
          <w:b/>
          <w:bCs/>
          <w:spacing w:val="-70"/>
          <w:sz w:val="22"/>
          <w:szCs w:val="22"/>
          <w:highlight w:val="none"/>
        </w:rPr>
        <w:t xml:space="preserve"> </w:t>
      </w:r>
      <w:r>
        <w:rPr>
          <w:rFonts w:hint="eastAsia" w:ascii="宋体" w:hAnsi="宋体" w:eastAsia="宋体" w:cs="宋体"/>
          <w:b/>
          <w:bCs/>
          <w:spacing w:val="15"/>
          <w:sz w:val="22"/>
          <w:szCs w:val="22"/>
          <w:highlight w:val="none"/>
        </w:rPr>
        <w:t>★中标人在签订合同后，需确保在202</w:t>
      </w:r>
      <w:r>
        <w:rPr>
          <w:rFonts w:hint="eastAsia" w:ascii="宋体" w:hAnsi="宋体" w:eastAsia="宋体" w:cs="宋体"/>
          <w:b/>
          <w:bCs/>
          <w:spacing w:val="15"/>
          <w:sz w:val="22"/>
          <w:szCs w:val="22"/>
          <w:highlight w:val="none"/>
          <w:lang w:val="en-US" w:eastAsia="zh-CN"/>
        </w:rPr>
        <w:t>6</w:t>
      </w:r>
      <w:r>
        <w:rPr>
          <w:rFonts w:hint="eastAsia" w:ascii="宋体" w:hAnsi="宋体" w:eastAsia="宋体" w:cs="宋体"/>
          <w:b/>
          <w:bCs/>
          <w:spacing w:val="15"/>
          <w:sz w:val="22"/>
          <w:szCs w:val="22"/>
          <w:highlight w:val="none"/>
        </w:rPr>
        <w:t>年秋季学期开学前</w:t>
      </w:r>
      <w:r>
        <w:rPr>
          <w:rFonts w:hint="eastAsia"/>
          <w:b/>
          <w:bCs/>
          <w:highlight w:val="none"/>
          <w:lang w:val="en-US" w:eastAsia="zh-CN"/>
        </w:rPr>
        <w:t>7天内</w:t>
      </w:r>
      <w:r>
        <w:rPr>
          <w:rFonts w:hint="eastAsia" w:ascii="宋体" w:hAnsi="宋体" w:eastAsia="宋体" w:cs="宋体"/>
          <w:b/>
          <w:bCs/>
          <w:spacing w:val="15"/>
          <w:sz w:val="22"/>
          <w:szCs w:val="22"/>
          <w:highlight w:val="none"/>
        </w:rPr>
        <w:t>按照相关规定为</w:t>
      </w:r>
      <w:r>
        <w:rPr>
          <w:rFonts w:hint="eastAsia" w:cs="宋体"/>
          <w:b/>
          <w:bCs/>
          <w:spacing w:val="15"/>
          <w:sz w:val="22"/>
          <w:szCs w:val="22"/>
          <w:highlight w:val="none"/>
          <w:lang w:val="en-US" w:eastAsia="zh-CN"/>
        </w:rPr>
        <w:t>上述</w:t>
      </w:r>
      <w:r>
        <w:rPr>
          <w:rFonts w:hint="eastAsia" w:ascii="宋体" w:hAnsi="宋体" w:eastAsia="宋体" w:cs="宋体"/>
          <w:b/>
          <w:bCs/>
          <w:spacing w:val="15"/>
          <w:sz w:val="22"/>
          <w:szCs w:val="22"/>
          <w:highlight w:val="none"/>
        </w:rPr>
        <w:t>配送场所办</w:t>
      </w:r>
      <w:r>
        <w:rPr>
          <w:rFonts w:hint="eastAsia" w:ascii="宋体" w:hAnsi="宋体" w:eastAsia="宋体" w:cs="宋体"/>
          <w:b/>
          <w:bCs/>
          <w:spacing w:val="16"/>
          <w:sz w:val="22"/>
          <w:szCs w:val="22"/>
          <w:highlight w:val="none"/>
        </w:rPr>
        <w:t>理相关证照</w:t>
      </w:r>
      <w:r>
        <w:rPr>
          <w:rFonts w:hint="eastAsia" w:ascii="宋体" w:hAnsi="宋体" w:eastAsia="宋体" w:cs="宋体"/>
          <w:b/>
          <w:bCs/>
          <w:spacing w:val="16"/>
          <w:sz w:val="22"/>
          <w:szCs w:val="22"/>
          <w:highlight w:val="none"/>
          <w:lang w:eastAsia="zh-CN"/>
        </w:rPr>
        <w:t>（</w:t>
      </w:r>
      <w:r>
        <w:rPr>
          <w:rFonts w:hint="eastAsia" w:ascii="宋体" w:hAnsi="宋体" w:eastAsia="宋体" w:cs="宋体"/>
          <w:b/>
          <w:bCs/>
          <w:spacing w:val="16"/>
          <w:sz w:val="22"/>
          <w:szCs w:val="22"/>
          <w:highlight w:val="none"/>
        </w:rPr>
        <w:t>包括：类别为中央厨房或集体用餐配送单位的食品药品经营许可证等</w:t>
      </w:r>
      <w:r>
        <w:rPr>
          <w:rFonts w:hint="eastAsia" w:ascii="宋体" w:hAnsi="宋体" w:eastAsia="宋体" w:cs="宋体"/>
          <w:b/>
          <w:bCs/>
          <w:spacing w:val="16"/>
          <w:sz w:val="22"/>
          <w:szCs w:val="22"/>
          <w:highlight w:val="none"/>
          <w:lang w:eastAsia="zh-CN"/>
        </w:rPr>
        <w:t>），</w:t>
      </w:r>
      <w:r>
        <w:rPr>
          <w:rFonts w:hint="eastAsia" w:ascii="宋体" w:hAnsi="宋体" w:eastAsia="宋体" w:cs="宋体"/>
          <w:b/>
          <w:bCs/>
          <w:spacing w:val="16"/>
          <w:sz w:val="22"/>
          <w:szCs w:val="22"/>
          <w:highlight w:val="none"/>
        </w:rPr>
        <w:t>未按时</w:t>
      </w:r>
      <w:r>
        <w:rPr>
          <w:rFonts w:hint="eastAsia" w:ascii="宋体" w:hAnsi="宋体" w:eastAsia="宋体" w:cs="宋体"/>
          <w:b/>
          <w:bCs/>
          <w:spacing w:val="15"/>
          <w:sz w:val="22"/>
          <w:szCs w:val="22"/>
          <w:highlight w:val="none"/>
        </w:rPr>
        <w:t>取得</w:t>
      </w:r>
      <w:r>
        <w:rPr>
          <w:rFonts w:hint="eastAsia" w:ascii="宋体" w:hAnsi="宋体" w:eastAsia="宋体" w:cs="宋体"/>
          <w:b/>
          <w:bCs/>
          <w:spacing w:val="9"/>
          <w:sz w:val="22"/>
          <w:szCs w:val="22"/>
          <w:highlight w:val="none"/>
        </w:rPr>
        <w:t>相应证照的，</w:t>
      </w:r>
      <w:r>
        <w:rPr>
          <w:rFonts w:hint="eastAsia" w:ascii="宋体" w:hAnsi="宋体" w:eastAsia="宋体" w:cs="宋体"/>
          <w:b/>
          <w:bCs/>
          <w:spacing w:val="9"/>
          <w:sz w:val="22"/>
          <w:szCs w:val="22"/>
          <w:highlight w:val="none"/>
          <w:lang w:eastAsia="zh-CN"/>
        </w:rPr>
        <w:t>采购人</w:t>
      </w:r>
      <w:r>
        <w:rPr>
          <w:rFonts w:hint="eastAsia" w:ascii="宋体" w:hAnsi="宋体" w:eastAsia="宋体" w:cs="宋体"/>
          <w:b/>
          <w:bCs/>
          <w:spacing w:val="9"/>
          <w:sz w:val="22"/>
          <w:szCs w:val="22"/>
          <w:highlight w:val="none"/>
        </w:rPr>
        <w:t>有权单方面终止合同并没收全部履约保证金。</w:t>
      </w:r>
      <w:r>
        <w:rPr>
          <w:rFonts w:hint="eastAsia" w:ascii="宋体" w:hAnsi="宋体" w:eastAsia="宋体" w:cs="宋体"/>
          <w:b/>
          <w:bCs/>
          <w:sz w:val="22"/>
          <w:szCs w:val="22"/>
          <w:highlight w:val="none"/>
          <w:shd w:val="clear" w:color="FFFFFF" w:fill="D9D9D9"/>
          <w:lang w:val="en-US" w:eastAsia="zh-CN"/>
        </w:rPr>
        <w:t>（提供承诺函并加盖公章，格式</w:t>
      </w:r>
      <w:r>
        <w:rPr>
          <w:rFonts w:hint="eastAsia" w:ascii="宋体" w:hAnsi="宋体" w:eastAsia="宋体" w:cs="宋体"/>
          <w:b/>
          <w:bCs/>
          <w:color w:val="auto"/>
          <w:sz w:val="22"/>
          <w:szCs w:val="22"/>
          <w:highlight w:val="none"/>
          <w:shd w:val="clear" w:color="FFFFFF" w:fill="D9D9D9"/>
          <w:lang w:val="en-US"/>
        </w:rPr>
        <w:t xml:space="preserve">详见“第六章 </w:t>
      </w:r>
      <w:r>
        <w:rPr>
          <w:rFonts w:hint="eastAsia" w:ascii="宋体" w:hAnsi="宋体" w:eastAsia="宋体" w:cs="宋体"/>
          <w:b/>
          <w:bCs/>
          <w:color w:val="auto"/>
          <w:sz w:val="22"/>
          <w:szCs w:val="22"/>
          <w:highlight w:val="none"/>
          <w:shd w:val="clear" w:color="FFFFFF" w:fill="D9D9D9"/>
          <w:lang w:val="en-US" w:eastAsia="zh-CN"/>
        </w:rPr>
        <w:t>投标</w:t>
      </w:r>
      <w:r>
        <w:rPr>
          <w:rFonts w:hint="eastAsia" w:ascii="宋体" w:hAnsi="宋体" w:eastAsia="宋体" w:cs="宋体"/>
          <w:b/>
          <w:bCs/>
          <w:color w:val="auto"/>
          <w:sz w:val="22"/>
          <w:szCs w:val="22"/>
          <w:highlight w:val="none"/>
          <w:shd w:val="clear" w:color="FFFFFF" w:fill="D9D9D9"/>
          <w:lang w:val="en-US"/>
        </w:rPr>
        <w:t>文件格式”</w:t>
      </w:r>
      <w:r>
        <w:rPr>
          <w:rFonts w:hint="eastAsia" w:ascii="宋体" w:hAnsi="宋体" w:eastAsia="宋体" w:cs="宋体"/>
          <w:b/>
          <w:bCs/>
          <w:color w:val="auto"/>
          <w:sz w:val="22"/>
          <w:szCs w:val="22"/>
          <w:highlight w:val="none"/>
          <w:shd w:val="clear" w:color="FFFFFF" w:fill="D9D9D9"/>
          <w:lang w:val="en-US" w:eastAsia="zh-CN"/>
        </w:rPr>
        <w:t>4.2.承诺函</w:t>
      </w:r>
      <w:r>
        <w:rPr>
          <w:rFonts w:hint="eastAsia" w:ascii="宋体" w:hAnsi="宋体" w:eastAsia="宋体" w:cs="宋体"/>
          <w:b/>
          <w:bCs/>
          <w:sz w:val="22"/>
          <w:szCs w:val="22"/>
          <w:highlight w:val="none"/>
          <w:shd w:val="clear" w:color="FFFFFF" w:fill="D9D9D9"/>
          <w:lang w:val="en-US" w:eastAsia="zh-CN"/>
        </w:rPr>
        <w:t>）。</w:t>
      </w:r>
    </w:p>
    <w:p w14:paraId="25CB3BC5">
      <w:pPr>
        <w:keepNext w:val="0"/>
        <w:keepLines w:val="0"/>
        <w:pageBreakBefore w:val="0"/>
        <w:widowControl w:val="0"/>
        <w:shd w:val="clear"/>
        <w:kinsoku/>
        <w:wordWrap/>
        <w:overflowPunct/>
        <w:topLinePunct w:val="0"/>
        <w:autoSpaceDE w:val="0"/>
        <w:autoSpaceDN w:val="0"/>
        <w:bidi w:val="0"/>
        <w:snapToGrid/>
        <w:spacing w:line="360" w:lineRule="auto"/>
        <w:ind w:left="49" w:firstLine="460" w:firstLineChars="200"/>
        <w:textAlignment w:val="auto"/>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7.中标人须设立风险保证金，</w:t>
      </w:r>
      <w:r>
        <w:rPr>
          <w:rFonts w:hint="eastAsia" w:cs="宋体"/>
          <w:spacing w:val="5"/>
          <w:sz w:val="22"/>
          <w:szCs w:val="22"/>
          <w:highlight w:val="none"/>
          <w:lang w:val="en-US" w:eastAsia="zh-CN"/>
        </w:rPr>
        <w:t>为本项目</w:t>
      </w:r>
      <w:r>
        <w:rPr>
          <w:rFonts w:hint="eastAsia" w:ascii="宋体" w:hAnsi="宋体" w:eastAsia="宋体" w:cs="宋体"/>
          <w:spacing w:val="5"/>
          <w:sz w:val="22"/>
          <w:szCs w:val="22"/>
          <w:highlight w:val="none"/>
        </w:rPr>
        <w:t>购买食品安全责任保险。</w:t>
      </w:r>
    </w:p>
    <w:p w14:paraId="46FFD400">
      <w:pPr>
        <w:keepNext w:val="0"/>
        <w:keepLines w:val="0"/>
        <w:pageBreakBefore w:val="0"/>
        <w:widowControl w:val="0"/>
        <w:shd w:val="clear"/>
        <w:kinsoku/>
        <w:wordWrap/>
        <w:overflowPunct/>
        <w:topLinePunct w:val="0"/>
        <w:autoSpaceDE w:val="0"/>
        <w:autoSpaceDN w:val="0"/>
        <w:bidi w:val="0"/>
        <w:snapToGrid/>
        <w:spacing w:line="360" w:lineRule="auto"/>
        <w:ind w:right="220" w:firstLine="476" w:firstLineChars="200"/>
        <w:textAlignment w:val="auto"/>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8.中标人在其经营、生产场所内具有蔬菜</w:t>
      </w:r>
      <w:r>
        <w:rPr>
          <w:rFonts w:hint="eastAsia" w:ascii="宋体" w:hAnsi="宋体" w:eastAsia="宋体" w:cs="宋体"/>
          <w:spacing w:val="8"/>
          <w:sz w:val="22"/>
          <w:szCs w:val="22"/>
          <w:highlight w:val="none"/>
        </w:rPr>
        <w:t>农残检测室和熟食生化检测室，检测人员具备从业资格证或</w:t>
      </w:r>
      <w:r>
        <w:rPr>
          <w:rFonts w:hint="eastAsia" w:ascii="宋体" w:hAnsi="宋体" w:eastAsia="宋体" w:cs="宋体"/>
          <w:spacing w:val="1"/>
          <w:sz w:val="22"/>
          <w:szCs w:val="22"/>
          <w:highlight w:val="none"/>
        </w:rPr>
        <w:t>培训上岗证；</w:t>
      </w:r>
    </w:p>
    <w:p w14:paraId="25F15EB4">
      <w:pPr>
        <w:keepNext w:val="0"/>
        <w:keepLines w:val="0"/>
        <w:pageBreakBefore w:val="0"/>
        <w:widowControl w:val="0"/>
        <w:shd w:val="clear"/>
        <w:kinsoku/>
        <w:wordWrap/>
        <w:overflowPunct/>
        <w:topLinePunct w:val="0"/>
        <w:autoSpaceDE w:val="0"/>
        <w:autoSpaceDN w:val="0"/>
        <w:bidi w:val="0"/>
        <w:snapToGrid/>
        <w:spacing w:line="360" w:lineRule="auto"/>
        <w:ind w:firstLine="496" w:firstLineChars="200"/>
        <w:textAlignment w:val="auto"/>
        <w:rPr>
          <w:rFonts w:hint="eastAsia" w:ascii="宋体" w:hAnsi="宋体" w:eastAsia="宋体" w:cs="宋体"/>
          <w:sz w:val="22"/>
          <w:szCs w:val="22"/>
          <w:highlight w:val="none"/>
        </w:rPr>
      </w:pPr>
      <w:r>
        <w:rPr>
          <w:rFonts w:hint="eastAsia" w:ascii="宋体" w:hAnsi="宋体" w:eastAsia="宋体" w:cs="宋体"/>
          <w:spacing w:val="14"/>
          <w:sz w:val="22"/>
          <w:szCs w:val="22"/>
          <w:highlight w:val="none"/>
          <w:lang w:val="en-US" w:eastAsia="zh-CN"/>
        </w:rPr>
        <w:t>9.</w:t>
      </w:r>
      <w:r>
        <w:rPr>
          <w:rFonts w:hint="eastAsia" w:ascii="宋体" w:hAnsi="宋体" w:eastAsia="宋体" w:cs="宋体"/>
          <w:spacing w:val="14"/>
          <w:sz w:val="22"/>
          <w:szCs w:val="22"/>
          <w:highlight w:val="none"/>
        </w:rPr>
        <w:t>投标人应承诺中标后具备以下条件</w:t>
      </w:r>
      <w:r>
        <w:rPr>
          <w:rFonts w:hint="eastAsia" w:ascii="宋体" w:hAnsi="宋体" w:eastAsia="宋体" w:cs="宋体"/>
          <w:b/>
          <w:bCs w:val="0"/>
          <w:sz w:val="22"/>
          <w:szCs w:val="22"/>
          <w:highlight w:val="none"/>
          <w:shd w:val="clear" w:color="FFFFFF" w:fill="D9D9D9"/>
          <w:lang w:val="en-US" w:eastAsia="zh-CN"/>
        </w:rPr>
        <w:t>（提供承诺函并加盖公章，格式</w:t>
      </w:r>
      <w:r>
        <w:rPr>
          <w:rFonts w:hint="eastAsia" w:ascii="宋体" w:hAnsi="宋体" w:eastAsia="宋体" w:cs="宋体"/>
          <w:b/>
          <w:bCs w:val="0"/>
          <w:color w:val="auto"/>
          <w:sz w:val="22"/>
          <w:szCs w:val="22"/>
          <w:highlight w:val="none"/>
          <w:shd w:val="clear" w:color="FFFFFF" w:fill="D9D9D9"/>
          <w:lang w:val="en-US"/>
        </w:rPr>
        <w:t xml:space="preserve">详见“第六章 </w:t>
      </w:r>
      <w:r>
        <w:rPr>
          <w:rFonts w:hint="eastAsia" w:ascii="宋体" w:hAnsi="宋体" w:eastAsia="宋体" w:cs="宋体"/>
          <w:b/>
          <w:bCs w:val="0"/>
          <w:color w:val="auto"/>
          <w:sz w:val="22"/>
          <w:szCs w:val="22"/>
          <w:highlight w:val="none"/>
          <w:shd w:val="clear" w:color="FFFFFF" w:fill="D9D9D9"/>
          <w:lang w:val="en-US" w:eastAsia="zh-CN"/>
        </w:rPr>
        <w:t>投标</w:t>
      </w:r>
      <w:r>
        <w:rPr>
          <w:rFonts w:hint="eastAsia" w:ascii="宋体" w:hAnsi="宋体" w:eastAsia="宋体" w:cs="宋体"/>
          <w:b/>
          <w:bCs w:val="0"/>
          <w:color w:val="auto"/>
          <w:sz w:val="22"/>
          <w:szCs w:val="22"/>
          <w:highlight w:val="none"/>
          <w:shd w:val="clear" w:color="FFFFFF" w:fill="D9D9D9"/>
          <w:lang w:val="en-US"/>
        </w:rPr>
        <w:t>文件格式”</w:t>
      </w:r>
      <w:r>
        <w:rPr>
          <w:rFonts w:hint="eastAsia" w:ascii="宋体" w:hAnsi="宋体" w:eastAsia="宋体" w:cs="宋体"/>
          <w:b/>
          <w:bCs w:val="0"/>
          <w:color w:val="auto"/>
          <w:sz w:val="22"/>
          <w:szCs w:val="22"/>
          <w:highlight w:val="none"/>
          <w:shd w:val="clear" w:color="FFFFFF" w:fill="D9D9D9"/>
          <w:lang w:val="en-US" w:eastAsia="zh-CN"/>
        </w:rPr>
        <w:t>4.2.承诺函</w:t>
      </w:r>
      <w:r>
        <w:rPr>
          <w:rFonts w:hint="eastAsia" w:ascii="宋体" w:hAnsi="宋体" w:eastAsia="宋体" w:cs="宋体"/>
          <w:b/>
          <w:bCs w:val="0"/>
          <w:sz w:val="22"/>
          <w:szCs w:val="22"/>
          <w:highlight w:val="none"/>
          <w:shd w:val="clear" w:color="FFFFFF" w:fill="D9D9D9"/>
          <w:lang w:val="en-US" w:eastAsia="zh-CN"/>
        </w:rPr>
        <w:t>）：</w:t>
      </w:r>
    </w:p>
    <w:p w14:paraId="02B96DA8">
      <w:pPr>
        <w:keepNext w:val="0"/>
        <w:keepLines w:val="0"/>
        <w:pageBreakBefore w:val="0"/>
        <w:widowControl w:val="0"/>
        <w:shd w:val="clear"/>
        <w:kinsoku/>
        <w:wordWrap/>
        <w:overflowPunct/>
        <w:topLinePunct w:val="0"/>
        <w:autoSpaceDE w:val="0"/>
        <w:autoSpaceDN w:val="0"/>
        <w:bidi w:val="0"/>
        <w:snapToGrid/>
        <w:spacing w:line="360" w:lineRule="auto"/>
        <w:ind w:right="165" w:firstLine="492" w:firstLineChars="200"/>
        <w:textAlignment w:val="auto"/>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w:t>
      </w:r>
      <w:r>
        <w:rPr>
          <w:rFonts w:hint="eastAsia" w:cs="宋体"/>
          <w:spacing w:val="13"/>
          <w:sz w:val="22"/>
          <w:szCs w:val="22"/>
          <w:highlight w:val="none"/>
          <w:lang w:val="en-US" w:eastAsia="zh-CN"/>
        </w:rPr>
        <w:t>1</w:t>
      </w:r>
      <w:r>
        <w:rPr>
          <w:rFonts w:hint="eastAsia" w:ascii="宋体" w:hAnsi="宋体" w:eastAsia="宋体" w:cs="宋体"/>
          <w:spacing w:val="13"/>
          <w:sz w:val="22"/>
          <w:szCs w:val="22"/>
          <w:highlight w:val="none"/>
          <w:lang w:eastAsia="zh-CN"/>
        </w:rPr>
        <w:t>）</w:t>
      </w:r>
      <w:r>
        <w:rPr>
          <w:rFonts w:hint="eastAsia" w:ascii="宋体" w:hAnsi="宋体" w:eastAsia="宋体" w:cs="宋体"/>
          <w:spacing w:val="13"/>
          <w:sz w:val="22"/>
          <w:szCs w:val="22"/>
          <w:highlight w:val="none"/>
        </w:rPr>
        <w:t>食品安全量化等级评定应在B级或以上，在</w:t>
      </w:r>
      <w:r>
        <w:rPr>
          <w:rFonts w:hint="eastAsia" w:ascii="宋体" w:hAnsi="宋体" w:eastAsia="宋体" w:cs="宋体"/>
          <w:spacing w:val="12"/>
          <w:sz w:val="22"/>
          <w:szCs w:val="22"/>
          <w:highlight w:val="none"/>
        </w:rPr>
        <w:t>中、高考以及各级政府确定的重大活动期间</w:t>
      </w:r>
      <w:r>
        <w:rPr>
          <w:rFonts w:hint="eastAsia" w:ascii="宋体" w:hAnsi="宋体" w:eastAsia="宋体" w:cs="宋体"/>
          <w:spacing w:val="10"/>
          <w:sz w:val="22"/>
          <w:szCs w:val="22"/>
          <w:highlight w:val="none"/>
        </w:rPr>
        <w:t>为考生供餐的集体用餐配送单位食品安全量化等级评定应达到A级，不具备等级的，由</w:t>
      </w:r>
      <w:r>
        <w:rPr>
          <w:rFonts w:hint="eastAsia" w:ascii="宋体" w:hAnsi="宋体" w:eastAsia="宋体" w:cs="宋体"/>
          <w:spacing w:val="10"/>
          <w:sz w:val="22"/>
          <w:szCs w:val="22"/>
          <w:highlight w:val="none"/>
          <w:lang w:eastAsia="zh-CN"/>
        </w:rPr>
        <w:t>采购人</w:t>
      </w:r>
      <w:r>
        <w:rPr>
          <w:rFonts w:hint="eastAsia" w:ascii="宋体" w:hAnsi="宋体" w:eastAsia="宋体" w:cs="宋体"/>
          <w:spacing w:val="10"/>
          <w:sz w:val="22"/>
          <w:szCs w:val="22"/>
          <w:highlight w:val="none"/>
        </w:rPr>
        <w:t>或用</w:t>
      </w:r>
      <w:r>
        <w:rPr>
          <w:rFonts w:hint="eastAsia" w:ascii="宋体" w:hAnsi="宋体" w:eastAsia="宋体" w:cs="宋体"/>
          <w:spacing w:val="8"/>
          <w:sz w:val="22"/>
          <w:szCs w:val="22"/>
          <w:highlight w:val="none"/>
        </w:rPr>
        <w:t>餐学校临时选定具备供餐资质的企业。</w:t>
      </w:r>
    </w:p>
    <w:p w14:paraId="06007EF1">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2</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制定科学有效的食品安全管理制度和风险防控措施，建立HACCP或ISO22000体系并通过认证。</w:t>
      </w:r>
    </w:p>
    <w:p w14:paraId="5594C06F">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建设“互联网+明厨亮灶”</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并接入中山市学校“互联网+明厨亮灶”系统，向社会公开食品加工过程。</w:t>
      </w:r>
    </w:p>
    <w:p w14:paraId="2B506CD9">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4</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设置独立的食品安全管理机构，并相应配备1名以上专职高级食品安全管理员。</w:t>
      </w:r>
    </w:p>
    <w:p w14:paraId="5FA31844">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5</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原料采购、生产经营场所、内外环境、卫生设施、工艺流程、生产用水、个人卫生、生产用具以及贮存、餐饮具消毒、运输车辆、餐厨废弃物处置等符合《中华人民共和国食品安全法》《广东省食品安全条例》《餐饮服务食品安全操作规范》等有关规定。</w:t>
      </w:r>
    </w:p>
    <w:p w14:paraId="1C16BDFF">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6</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具备食品检验能力，定期对大宗食品原料、餐用具清洗消毒效果等进行检验检测。</w:t>
      </w:r>
    </w:p>
    <w:p w14:paraId="031E7A59">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7</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具备与加工食品品种、数量以及贮存要求相适应的封闭式专用运输车辆，具备加热、保温食品运输设施，运输食品的中心温度应保持在60摄氏度以上。</w:t>
      </w:r>
    </w:p>
    <w:p w14:paraId="2DD949F3">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8</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供餐能力满足学校用餐需求，配送车程宜在1小时以内。</w:t>
      </w:r>
    </w:p>
    <w:p w14:paraId="024AA517">
      <w:pPr>
        <w:keepNext w:val="0"/>
        <w:keepLines w:val="0"/>
        <w:pageBreakBefore w:val="0"/>
        <w:widowControl/>
        <w:shd w:val="clear"/>
        <w:tabs>
          <w:tab w:val="clear" w:pos="315"/>
        </w:tabs>
        <w:kinsoku w:val="0"/>
        <w:wordWrap/>
        <w:overflowPunct/>
        <w:topLinePunct w:val="0"/>
        <w:autoSpaceDE w:val="0"/>
        <w:autoSpaceDN w:val="0"/>
        <w:bidi w:val="0"/>
        <w:adjustRightInd w:val="0"/>
        <w:snapToGrid w:val="0"/>
        <w:spacing w:line="360" w:lineRule="auto"/>
        <w:ind w:left="0" w:leftChars="0" w:firstLine="440"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cs="宋体"/>
          <w:sz w:val="22"/>
          <w:szCs w:val="22"/>
          <w:highlight w:val="none"/>
          <w:lang w:val="en-US" w:eastAsia="zh-CN"/>
        </w:rPr>
        <w:t>9</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具备专业营养师，制定带量食谱，餐食营养搭配符合《学生餐营养指南WST554-2017》及相关文件规定。</w:t>
      </w:r>
    </w:p>
    <w:p w14:paraId="5F99F263">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（二）</w:t>
      </w:r>
      <w:r>
        <w:rPr>
          <w:rFonts w:hint="eastAsia" w:ascii="宋体" w:hAnsi="宋体" w:eastAsia="宋体" w:cs="宋体"/>
          <w:b/>
          <w:bCs/>
          <w:sz w:val="22"/>
          <w:szCs w:val="22"/>
          <w:highlight w:val="none"/>
        </w:rPr>
        <w:t>饭堂供餐对象及其就餐方式</w:t>
      </w:r>
    </w:p>
    <w:p w14:paraId="70497255">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1.学校师生就餐方式为：在课室用餐。中标人需提供方便、保温、卫生、内部分隔的食品级304不锈钢餐盒和装汤水的餐具，并将装好饭菜及汤的保温饭盒和汤碗送到课室指定位置，并确保饭菜温热。</w:t>
      </w:r>
    </w:p>
    <w:p w14:paraId="0478D61E">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2.★中标人应确保配餐出品的品质，从饭菜煮熟到学生用餐的时间不超过2小时。</w:t>
      </w:r>
    </w:p>
    <w:p w14:paraId="4E7CCA67">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3.根据</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的要求设置一定数量的添加饭菜点，并在各楼层安排工作人员服务学生，指引学生用餐及时解决学生用餐问题。</w:t>
      </w:r>
    </w:p>
    <w:p w14:paraId="35DE0F08">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4.中标人须严格遵守</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关于送餐入校、收餐具及离校时间等要求。</w:t>
      </w:r>
    </w:p>
    <w:p w14:paraId="31363E1B">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5.学校开学期间工作日供餐，节假日停餐</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特殊情况除外</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。中标人应当保证每日在学校指定时间将配餐送达学校课室指定位置。</w:t>
      </w:r>
    </w:p>
    <w:p w14:paraId="54242BD6">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（三）</w:t>
      </w:r>
      <w:r>
        <w:rPr>
          <w:rFonts w:hint="eastAsia" w:ascii="宋体" w:hAnsi="宋体" w:eastAsia="宋体" w:cs="宋体"/>
          <w:b/>
          <w:bCs/>
          <w:sz w:val="22"/>
          <w:szCs w:val="22"/>
          <w:highlight w:val="none"/>
        </w:rPr>
        <w:t>配餐服务期及有关费用</w:t>
      </w:r>
    </w:p>
    <w:p w14:paraId="69E2A5CB">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1.配餐服务期限：一学年1签，如无违约责任，服务期限为3</w:t>
      </w:r>
      <w:r>
        <w:rPr>
          <w:rFonts w:hint="eastAsia" w:ascii="宋体" w:hAnsi="宋体" w:eastAsia="宋体" w:cs="宋体"/>
          <w:sz w:val="22"/>
          <w:szCs w:val="22"/>
          <w:highlight w:val="none"/>
          <w:lang w:val="en-US" w:eastAsia="zh-CN"/>
        </w:rPr>
        <w:t>学</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eastAsia="zh-CN"/>
        </w:rPr>
        <w:t>（2026年9月1日</w:t>
      </w:r>
      <w:r>
        <w:rPr>
          <w:rFonts w:hint="eastAsia" w:ascii="宋体" w:hAnsi="宋体" w:eastAsia="宋体" w:cs="宋体"/>
          <w:sz w:val="22"/>
          <w:szCs w:val="22"/>
          <w:highlight w:val="none"/>
        </w:rPr>
        <w:t>至</w:t>
      </w:r>
      <w:r>
        <w:rPr>
          <w:rFonts w:hint="eastAsia" w:ascii="宋体" w:hAnsi="宋体" w:eastAsia="宋体" w:cs="宋体"/>
          <w:sz w:val="22"/>
          <w:szCs w:val="22"/>
          <w:highlight w:val="none"/>
          <w:lang w:eastAsia="zh-CN"/>
        </w:rPr>
        <w:t>2028年8月31日）；</w:t>
      </w:r>
      <w:r>
        <w:rPr>
          <w:rFonts w:hint="eastAsia" w:ascii="宋体" w:hAnsi="宋体" w:eastAsia="宋体" w:cs="宋体"/>
          <w:sz w:val="22"/>
          <w:szCs w:val="22"/>
          <w:highlight w:val="none"/>
        </w:rPr>
        <w:t>禁止中途转包、转让、委托他人管理或以合作等任何方式交由他人管理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中标人直接控股的子公司或分支机构除外</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禁止组织违法活动。</w:t>
      </w:r>
    </w:p>
    <w:p w14:paraId="686E9583">
      <w:pPr>
        <w:pStyle w:val="6"/>
        <w:keepNext w:val="0"/>
        <w:keepLines w:val="0"/>
        <w:pageBreakBefore w:val="0"/>
        <w:widowControl w:val="0"/>
        <w:shd w:val="clear" w:color="auto"/>
        <w:kinsoku/>
        <w:wordWrap/>
        <w:overflowPunct/>
        <w:topLinePunct w:val="0"/>
        <w:autoSpaceDE w:val="0"/>
        <w:autoSpaceDN w:val="0"/>
        <w:bidi w:val="0"/>
        <w:adjustRightInd/>
        <w:snapToGrid/>
        <w:spacing w:before="0" w:beforeAutospacing="0" w:after="0" w:afterAutospacing="0" w:line="360" w:lineRule="auto"/>
        <w:ind w:firstLine="442" w:firstLineChars="200"/>
        <w:jc w:val="both"/>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2.★学生配餐质量需达到国家规定的学生营养标准。早餐为5元/人/餐，午、晚餐为10元/人/餐，不少于三菜</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提供一荤、一素、一肉菜混荤</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午、晚餐每餐主食125</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200克，畜禽肉类</w:t>
      </w:r>
      <w:r>
        <w:rPr>
          <w:rFonts w:hint="eastAsia" w:ascii="宋体" w:hAnsi="宋体" w:eastAsia="宋体" w:cs="宋体"/>
          <w:b/>
          <w:bCs/>
          <w:sz w:val="22"/>
          <w:szCs w:val="22"/>
          <w:highlight w:val="none"/>
          <w:lang w:val="en-US" w:eastAsia="zh-CN"/>
        </w:rPr>
        <w:t>100</w:t>
      </w:r>
      <w:r>
        <w:rPr>
          <w:rFonts w:hint="eastAsia" w:ascii="宋体" w:hAnsi="宋体" w:eastAsia="宋体" w:cs="宋体"/>
          <w:b/>
          <w:bCs/>
          <w:sz w:val="22"/>
          <w:szCs w:val="22"/>
          <w:highlight w:val="none"/>
        </w:rPr>
        <w:t>克</w:t>
      </w:r>
      <w:r>
        <w:rPr>
          <w:rFonts w:hint="eastAsia" w:ascii="宋体" w:hAnsi="宋体" w:eastAsia="宋体" w:cs="宋体"/>
          <w:b/>
          <w:bCs/>
          <w:sz w:val="22"/>
          <w:szCs w:val="22"/>
          <w:highlight w:val="none"/>
          <w:lang w:eastAsia="zh-CN"/>
        </w:rPr>
        <w:t>以上</w:t>
      </w:r>
      <w:r>
        <w:rPr>
          <w:rFonts w:hint="eastAsia" w:ascii="宋体" w:hAnsi="宋体" w:eastAsia="宋体" w:cs="宋体"/>
          <w:b/>
          <w:bCs/>
          <w:sz w:val="22"/>
          <w:szCs w:val="22"/>
          <w:highlight w:val="none"/>
        </w:rPr>
        <w:t>。教职工餐标可参照学生餐或学校用餐教职工代表议定。下午茶按需提供，具体事宜由中标</w:t>
      </w:r>
      <w:r>
        <w:rPr>
          <w:rFonts w:hint="eastAsia" w:ascii="宋体" w:hAnsi="宋体" w:eastAsia="宋体" w:cs="宋体"/>
          <w:b/>
          <w:bCs/>
          <w:sz w:val="22"/>
          <w:szCs w:val="22"/>
          <w:highlight w:val="none"/>
          <w:lang w:val="en-US" w:eastAsia="zh-CN"/>
        </w:rPr>
        <w:t>人</w:t>
      </w:r>
      <w:r>
        <w:rPr>
          <w:rFonts w:hint="eastAsia" w:ascii="宋体" w:hAnsi="宋体" w:eastAsia="宋体" w:cs="宋体"/>
          <w:b/>
          <w:bCs/>
          <w:sz w:val="22"/>
          <w:szCs w:val="22"/>
          <w:highlight w:val="none"/>
        </w:rPr>
        <w:t>与各学校自行协商约定。</w:t>
      </w:r>
    </w:p>
    <w:p w14:paraId="239F0C8A">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3.付款方式：用餐学校须每月15日前按照上一个月实际就餐人数向中标人结算相关费用。</w:t>
      </w:r>
    </w:p>
    <w:p w14:paraId="1B3240E0">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4.★中标人应在合同签订之日起一周内</w:t>
      </w:r>
      <w:r>
        <w:rPr>
          <w:rFonts w:hint="eastAsia" w:cs="宋体"/>
          <w:b/>
          <w:bCs/>
          <w:sz w:val="22"/>
          <w:szCs w:val="22"/>
          <w:highlight w:val="none"/>
          <w:lang w:val="en-US" w:eastAsia="zh-CN"/>
        </w:rPr>
        <w:t>为本项目</w:t>
      </w:r>
      <w:r>
        <w:rPr>
          <w:rFonts w:hint="eastAsia" w:ascii="宋体" w:hAnsi="宋体" w:eastAsia="宋体" w:cs="宋体"/>
          <w:b/>
          <w:bCs/>
          <w:sz w:val="22"/>
          <w:szCs w:val="22"/>
          <w:highlight w:val="none"/>
        </w:rPr>
        <w:t>购买保额为2000万元</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大写：贰仟万元</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或以上的食品安全责任险，</w:t>
      </w:r>
      <w:r>
        <w:rPr>
          <w:rFonts w:hint="eastAsia" w:cs="宋体"/>
          <w:b/>
          <w:bCs/>
          <w:sz w:val="22"/>
          <w:szCs w:val="22"/>
          <w:highlight w:val="none"/>
          <w:lang w:val="en-US" w:eastAsia="zh-CN"/>
        </w:rPr>
        <w:t>每人每次赔付额不少于50万元，</w:t>
      </w:r>
      <w:r>
        <w:rPr>
          <w:rFonts w:hint="eastAsia" w:ascii="宋体" w:hAnsi="宋体" w:eastAsia="宋体" w:cs="宋体"/>
          <w:b/>
          <w:bCs/>
          <w:sz w:val="22"/>
          <w:szCs w:val="22"/>
          <w:highlight w:val="none"/>
        </w:rPr>
        <w:t>并在提供配餐服务前1天将责任保险原件交给</w:t>
      </w:r>
      <w:r>
        <w:rPr>
          <w:rFonts w:hint="eastAsia" w:ascii="宋体" w:hAnsi="宋体" w:eastAsia="宋体" w:cs="宋体"/>
          <w:b/>
          <w:bCs/>
          <w:sz w:val="22"/>
          <w:szCs w:val="22"/>
          <w:highlight w:val="none"/>
          <w:lang w:eastAsia="zh-CN"/>
        </w:rPr>
        <w:t>采购人</w:t>
      </w:r>
      <w:r>
        <w:rPr>
          <w:rFonts w:hint="eastAsia" w:ascii="宋体" w:hAnsi="宋体" w:eastAsia="宋体" w:cs="宋体"/>
          <w:b/>
          <w:bCs/>
          <w:sz w:val="22"/>
          <w:szCs w:val="22"/>
          <w:highlight w:val="none"/>
        </w:rPr>
        <w:t>验明，同时向</w:t>
      </w:r>
      <w:r>
        <w:rPr>
          <w:rFonts w:hint="eastAsia" w:ascii="宋体" w:hAnsi="宋体" w:eastAsia="宋体" w:cs="宋体"/>
          <w:b/>
          <w:bCs/>
          <w:sz w:val="22"/>
          <w:szCs w:val="22"/>
          <w:highlight w:val="none"/>
          <w:lang w:eastAsia="zh-CN"/>
        </w:rPr>
        <w:t>采购人</w:t>
      </w:r>
      <w:r>
        <w:rPr>
          <w:rFonts w:hint="eastAsia" w:ascii="宋体" w:hAnsi="宋体" w:eastAsia="宋体" w:cs="宋体"/>
          <w:b/>
          <w:bCs/>
          <w:sz w:val="22"/>
          <w:szCs w:val="22"/>
          <w:highlight w:val="none"/>
        </w:rPr>
        <w:t>和所服务的学校提供责任保险复印件。</w:t>
      </w:r>
    </w:p>
    <w:p w14:paraId="4FF54112">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5.在停水、停电、设备故障等各种紧急情况下，能利用</w:t>
      </w:r>
      <w:r>
        <w:rPr>
          <w:rFonts w:hint="eastAsia" w:ascii="宋体" w:hAnsi="宋体" w:eastAsia="宋体" w:cs="宋体"/>
          <w:sz w:val="22"/>
          <w:szCs w:val="22"/>
          <w:highlight w:val="none"/>
          <w:lang w:val="en-US" w:eastAsia="zh-CN"/>
        </w:rPr>
        <w:t>中标人</w:t>
      </w:r>
      <w:r>
        <w:rPr>
          <w:rFonts w:hint="eastAsia" w:ascii="宋体" w:hAnsi="宋体" w:eastAsia="宋体" w:cs="宋体"/>
          <w:sz w:val="22"/>
          <w:szCs w:val="22"/>
          <w:highlight w:val="none"/>
        </w:rPr>
        <w:t>公司的资源，保证正常供餐。</w:t>
      </w:r>
    </w:p>
    <w:p w14:paraId="18D1ED37">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（四）</w:t>
      </w:r>
      <w:r>
        <w:rPr>
          <w:rFonts w:hint="eastAsia" w:ascii="宋体" w:hAnsi="宋体" w:eastAsia="宋体" w:cs="宋体"/>
          <w:b/>
          <w:bCs/>
          <w:sz w:val="22"/>
          <w:szCs w:val="22"/>
          <w:highlight w:val="none"/>
        </w:rPr>
        <w:t>配餐服务及管理</w:t>
      </w:r>
    </w:p>
    <w:p w14:paraId="0806F2A5">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1.中标人自主管理，自负盈亏。</w:t>
      </w:r>
    </w:p>
    <w:p w14:paraId="01D29508">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中标人自行负责原材料的采购、验收和配送，并保证品质；米、油等主要食材需采用符合市场准入制度并从合法供货商进货，米可参考以下品牌，可同等或优于：中山市穗浩园米业有限公司出品的中山贡米、中山市聚丰园粮油食品有限公司出品的上品油粘米、广东成泰米业有限公司出品的金熊粘米、中山市粮邦米业有限公司出品的大米；食用油要用纯花生油或纯玉米油，不能使用含转基因成</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和棕</w:t>
      </w:r>
      <w:r>
        <w:rPr>
          <w:rFonts w:hint="eastAsia" w:cs="宋体"/>
          <w:sz w:val="22"/>
          <w:szCs w:val="22"/>
          <w:highlight w:val="none"/>
          <w:lang w:eastAsia="zh-CN"/>
        </w:rPr>
        <w:t>榈成</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的油，食用油可参考以下品牌，可同等或优于：鹰唛、鲁花、刀唛、福临门、金龙鱼、长寿花；所有调料品不能使用散装品，需采用符合市场准入制度的</w:t>
      </w:r>
      <w:r>
        <w:rPr>
          <w:rFonts w:hint="eastAsia" w:cs="宋体"/>
          <w:sz w:val="22"/>
          <w:szCs w:val="22"/>
          <w:highlight w:val="none"/>
          <w:lang w:val="en-US" w:eastAsia="zh-CN"/>
        </w:rPr>
        <w:t>优质品牌</w:t>
      </w:r>
      <w:r>
        <w:rPr>
          <w:rFonts w:hint="eastAsia" w:ascii="宋体" w:hAnsi="宋体" w:eastAsia="宋体" w:cs="宋体"/>
          <w:sz w:val="22"/>
          <w:szCs w:val="22"/>
          <w:highlight w:val="none"/>
        </w:rPr>
        <w:t>物品，酱油可参考以下品牌，可同等或优于：李锦记、珠江桥牌、美味鲜、海天、厨邦；食堂洗洁用品不能使用散装品，必须使用</w:t>
      </w:r>
      <w:r>
        <w:rPr>
          <w:rFonts w:hint="eastAsia" w:cs="宋体"/>
          <w:sz w:val="22"/>
          <w:szCs w:val="22"/>
          <w:highlight w:val="none"/>
          <w:lang w:val="en-US" w:eastAsia="zh-CN"/>
        </w:rPr>
        <w:t>安全环保、</w:t>
      </w:r>
      <w:r>
        <w:rPr>
          <w:rFonts w:hint="eastAsia" w:ascii="宋体" w:hAnsi="宋体" w:eastAsia="宋体" w:cs="宋体"/>
          <w:sz w:val="22"/>
          <w:szCs w:val="22"/>
          <w:highlight w:val="none"/>
        </w:rPr>
        <w:t>符合国家标准的品牌商品。</w:t>
      </w:r>
    </w:p>
    <w:p w14:paraId="543E8484">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3.中标人</w:t>
      </w:r>
      <w:r>
        <w:rPr>
          <w:rFonts w:hint="eastAsia" w:ascii="宋体" w:hAnsi="宋体" w:eastAsia="宋体" w:cs="宋体"/>
          <w:sz w:val="22"/>
          <w:szCs w:val="22"/>
          <w:highlight w:val="none"/>
          <w:lang w:eastAsia="zh-CN"/>
        </w:rPr>
        <w:t>须</w:t>
      </w:r>
      <w:r>
        <w:rPr>
          <w:rFonts w:hint="eastAsia" w:ascii="宋体" w:hAnsi="宋体" w:eastAsia="宋体" w:cs="宋体"/>
          <w:sz w:val="22"/>
          <w:szCs w:val="22"/>
          <w:highlight w:val="none"/>
        </w:rPr>
        <w:t>严格执行《中华人民共和国食品安全法》、教育部、卫生部《学校食堂与学生集体用餐卫生管理规定》。</w:t>
      </w:r>
    </w:p>
    <w:p w14:paraId="68E712D3">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w:t>
      </w:r>
      <w:r>
        <w:rPr>
          <w:rFonts w:hint="eastAsia" w:ascii="宋体" w:hAnsi="宋体" w:eastAsia="宋体" w:cs="宋体"/>
          <w:sz w:val="22"/>
          <w:szCs w:val="22"/>
          <w:highlight w:val="none"/>
          <w:lang w:eastAsia="zh-CN"/>
        </w:rPr>
        <w:t>采购人</w:t>
      </w:r>
      <w:r>
        <w:rPr>
          <w:rFonts w:hint="eastAsia" w:cs="宋体"/>
          <w:sz w:val="22"/>
          <w:szCs w:val="22"/>
          <w:highlight w:val="none"/>
          <w:lang w:val="en-US" w:eastAsia="zh-CN"/>
        </w:rPr>
        <w:t>有权</w:t>
      </w:r>
      <w:r>
        <w:rPr>
          <w:rFonts w:hint="eastAsia" w:ascii="宋体" w:hAnsi="宋体" w:eastAsia="宋体" w:cs="宋体"/>
          <w:sz w:val="22"/>
          <w:szCs w:val="22"/>
          <w:highlight w:val="none"/>
        </w:rPr>
        <w:t>随时对中标人配餐</w:t>
      </w:r>
      <w:r>
        <w:rPr>
          <w:rFonts w:hint="eastAsia" w:cs="宋体"/>
          <w:sz w:val="22"/>
          <w:szCs w:val="22"/>
          <w:highlight w:val="none"/>
          <w:lang w:val="en-US" w:eastAsia="zh-CN"/>
        </w:rPr>
        <w:t>的</w:t>
      </w:r>
      <w:r>
        <w:rPr>
          <w:rFonts w:hint="eastAsia" w:ascii="宋体" w:hAnsi="宋体" w:eastAsia="宋体" w:cs="宋体"/>
          <w:sz w:val="22"/>
          <w:szCs w:val="22"/>
          <w:highlight w:val="none"/>
        </w:rPr>
        <w:t>价格、卫生、服务、菜品质量</w:t>
      </w:r>
      <w:r>
        <w:rPr>
          <w:rFonts w:hint="eastAsia" w:cs="宋体"/>
          <w:sz w:val="22"/>
          <w:szCs w:val="22"/>
          <w:highlight w:val="none"/>
          <w:lang w:val="en-US" w:eastAsia="zh-CN"/>
        </w:rPr>
        <w:t>进行</w:t>
      </w:r>
      <w:r>
        <w:rPr>
          <w:rFonts w:hint="eastAsia" w:ascii="宋体" w:hAnsi="宋体" w:eastAsia="宋体" w:cs="宋体"/>
          <w:sz w:val="22"/>
          <w:szCs w:val="22"/>
          <w:highlight w:val="none"/>
        </w:rPr>
        <w:t>抽样检查，</w:t>
      </w:r>
      <w:r>
        <w:rPr>
          <w:rFonts w:hint="eastAsia" w:cs="宋体"/>
          <w:sz w:val="22"/>
          <w:szCs w:val="22"/>
          <w:highlight w:val="none"/>
          <w:lang w:val="en-US" w:eastAsia="zh-CN"/>
        </w:rPr>
        <w:t>一经</w:t>
      </w:r>
      <w:r>
        <w:rPr>
          <w:rFonts w:hint="eastAsia" w:ascii="宋体" w:hAnsi="宋体" w:eastAsia="宋体" w:cs="宋体"/>
          <w:sz w:val="22"/>
          <w:szCs w:val="22"/>
          <w:highlight w:val="none"/>
        </w:rPr>
        <w:t>发现</w:t>
      </w:r>
      <w:r>
        <w:rPr>
          <w:rFonts w:hint="eastAsia" w:cs="宋体"/>
          <w:sz w:val="22"/>
          <w:szCs w:val="22"/>
          <w:highlight w:val="none"/>
          <w:lang w:val="en-US" w:eastAsia="zh-CN"/>
        </w:rPr>
        <w:t>不合格情形</w:t>
      </w:r>
      <w:r>
        <w:rPr>
          <w:rFonts w:hint="eastAsia" w:cs="宋体"/>
          <w:sz w:val="22"/>
          <w:szCs w:val="22"/>
          <w:highlight w:val="none"/>
          <w:lang w:eastAsia="zh-CN"/>
        </w:rPr>
        <w:t>，</w:t>
      </w:r>
      <w:r>
        <w:rPr>
          <w:rFonts w:hint="eastAsia" w:cs="宋体"/>
          <w:sz w:val="22"/>
          <w:szCs w:val="22"/>
          <w:highlight w:val="none"/>
          <w:lang w:val="en-US" w:eastAsia="zh-CN"/>
        </w:rPr>
        <w:t>可依规追究</w:t>
      </w:r>
      <w:r>
        <w:rPr>
          <w:rFonts w:hint="eastAsia" w:ascii="宋体" w:hAnsi="宋体" w:eastAsia="宋体" w:cs="宋体"/>
          <w:sz w:val="22"/>
          <w:szCs w:val="22"/>
          <w:highlight w:val="none"/>
        </w:rPr>
        <w:t>中标人违约责任</w:t>
      </w:r>
      <w:r>
        <w:rPr>
          <w:rFonts w:hint="eastAsia" w:cs="宋体"/>
          <w:sz w:val="22"/>
          <w:szCs w:val="22"/>
          <w:highlight w:val="none"/>
          <w:lang w:eastAsia="zh-CN"/>
        </w:rPr>
        <w:t>，</w:t>
      </w:r>
      <w:r>
        <w:rPr>
          <w:rFonts w:hint="eastAsia" w:cs="宋体"/>
          <w:sz w:val="22"/>
          <w:szCs w:val="22"/>
          <w:highlight w:val="none"/>
          <w:lang w:val="en-US" w:eastAsia="zh-CN"/>
        </w:rPr>
        <w:t>并</w:t>
      </w:r>
      <w:r>
        <w:rPr>
          <w:rFonts w:hint="eastAsia" w:ascii="宋体" w:hAnsi="宋体" w:eastAsia="宋体" w:cs="宋体"/>
          <w:sz w:val="22"/>
          <w:szCs w:val="22"/>
          <w:highlight w:val="none"/>
        </w:rPr>
        <w:t>要求</w:t>
      </w:r>
      <w:r>
        <w:rPr>
          <w:rFonts w:hint="eastAsia" w:cs="宋体"/>
          <w:sz w:val="22"/>
          <w:szCs w:val="22"/>
          <w:highlight w:val="none"/>
          <w:lang w:val="en-US" w:eastAsia="zh-CN"/>
        </w:rPr>
        <w:t>其</w:t>
      </w:r>
      <w:r>
        <w:rPr>
          <w:rFonts w:hint="eastAsia" w:ascii="宋体" w:hAnsi="宋体" w:eastAsia="宋体" w:cs="宋体"/>
          <w:sz w:val="22"/>
          <w:szCs w:val="22"/>
          <w:highlight w:val="none"/>
        </w:rPr>
        <w:t>对</w:t>
      </w:r>
      <w:r>
        <w:rPr>
          <w:rFonts w:hint="eastAsia" w:cs="宋体"/>
          <w:sz w:val="22"/>
          <w:szCs w:val="22"/>
          <w:highlight w:val="none"/>
          <w:lang w:val="en-US" w:eastAsia="zh-CN"/>
        </w:rPr>
        <w:t>相关问题</w:t>
      </w:r>
      <w:r>
        <w:rPr>
          <w:rFonts w:hint="eastAsia" w:ascii="宋体" w:hAnsi="宋体" w:eastAsia="宋体" w:cs="宋体"/>
          <w:sz w:val="22"/>
          <w:szCs w:val="22"/>
          <w:highlight w:val="none"/>
        </w:rPr>
        <w:t>限期</w:t>
      </w:r>
      <w:r>
        <w:rPr>
          <w:rFonts w:hint="eastAsia" w:cs="宋体"/>
          <w:sz w:val="22"/>
          <w:szCs w:val="22"/>
          <w:highlight w:val="none"/>
          <w:lang w:val="en-US" w:eastAsia="zh-CN"/>
        </w:rPr>
        <w:t>整改</w:t>
      </w:r>
      <w:r>
        <w:rPr>
          <w:rFonts w:hint="eastAsia" w:ascii="宋体" w:hAnsi="宋体" w:eastAsia="宋体" w:cs="宋体"/>
          <w:sz w:val="22"/>
          <w:szCs w:val="22"/>
          <w:highlight w:val="none"/>
        </w:rPr>
        <w:t>。</w:t>
      </w:r>
    </w:p>
    <w:p w14:paraId="4AA1149B">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有权对中标人的来料进行不定期的质量抽检，对于质量不达标的食品有权要求中标人退货并</w:t>
      </w:r>
      <w:r>
        <w:rPr>
          <w:rFonts w:hint="eastAsia" w:ascii="宋体" w:hAnsi="宋体" w:eastAsia="宋体" w:cs="宋体"/>
          <w:sz w:val="22"/>
          <w:szCs w:val="22"/>
          <w:highlight w:val="none"/>
          <w:lang w:val="en-US" w:eastAsia="zh-CN"/>
        </w:rPr>
        <w:t>立</w:t>
      </w:r>
      <w:r>
        <w:rPr>
          <w:rFonts w:hint="eastAsia" w:ascii="宋体" w:hAnsi="宋体" w:eastAsia="宋体" w:cs="宋体"/>
          <w:sz w:val="22"/>
          <w:szCs w:val="22"/>
          <w:highlight w:val="none"/>
        </w:rPr>
        <w:t>即更换；如上级行政部门或质量监察部门在食材质量抽检过程中鉴定食品安全不合格，</w:t>
      </w:r>
      <w:r>
        <w:rPr>
          <w:rFonts w:hint="eastAsia" w:cs="宋体"/>
          <w:sz w:val="22"/>
          <w:szCs w:val="22"/>
          <w:highlight w:val="none"/>
          <w:lang w:val="en-US" w:eastAsia="zh-CN"/>
        </w:rPr>
        <w:t>每</w:t>
      </w:r>
      <w:r>
        <w:rPr>
          <w:rFonts w:hint="eastAsia" w:ascii="宋体" w:hAnsi="宋体" w:eastAsia="宋体" w:cs="宋体"/>
          <w:sz w:val="22"/>
          <w:szCs w:val="22"/>
          <w:highlight w:val="none"/>
        </w:rPr>
        <w:t>发现一次，中标人须向当事学校缴纳师生健康补贴基金2万元。</w:t>
      </w:r>
    </w:p>
    <w:p w14:paraId="0D48144E">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6.配餐、分餐、收拾餐具、餐具消毒、饭堂清洁、分餐点的清洁</w:t>
      </w:r>
      <w:r>
        <w:rPr>
          <w:rFonts w:hint="eastAsia" w:cs="宋体"/>
          <w:sz w:val="22"/>
          <w:szCs w:val="22"/>
          <w:highlight w:val="none"/>
          <w:lang w:eastAsia="zh-CN"/>
        </w:rPr>
        <w:t>，</w:t>
      </w:r>
      <w:r>
        <w:rPr>
          <w:rFonts w:hint="eastAsia" w:ascii="宋体" w:hAnsi="宋体" w:eastAsia="宋体" w:cs="宋体"/>
          <w:sz w:val="22"/>
          <w:szCs w:val="22"/>
          <w:highlight w:val="none"/>
        </w:rPr>
        <w:t>每日菜品在学校的留样等均由中标人负责。</w:t>
      </w:r>
    </w:p>
    <w:p w14:paraId="5C508A7E">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7.中标人需保证供配餐正点、足量</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每份饭菜数量</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、优质</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质量保证体系</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、制作的菜肴需多样化，菜式搭配合理，调配比例均匀，味道可口，保证营养；禁止出售变质、变味以及剩饭菜，一经发现中标人须向当事校方缴纳师生健康补贴基金2万元。</w:t>
      </w:r>
    </w:p>
    <w:p w14:paraId="5DDC30A7">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8.中标人必须自备垃圾桶，不乱倒垃圾、剩饭菜，不得将垃圾及杂物倒入学校</w:t>
      </w:r>
      <w:r>
        <w:rPr>
          <w:rFonts w:hint="eastAsia" w:ascii="宋体" w:hAnsi="宋体" w:eastAsia="宋体" w:cs="宋体"/>
          <w:sz w:val="22"/>
          <w:szCs w:val="22"/>
          <w:highlight w:val="none"/>
          <w:lang w:eastAsia="zh-CN"/>
        </w:rPr>
        <w:t>垃圾桶</w:t>
      </w:r>
      <w:r>
        <w:rPr>
          <w:rFonts w:hint="eastAsia" w:ascii="宋体" w:hAnsi="宋体" w:eastAsia="宋体" w:cs="宋体"/>
          <w:sz w:val="22"/>
          <w:szCs w:val="22"/>
          <w:highlight w:val="none"/>
        </w:rPr>
        <w:t>或垃圾房，馊水要及时处理，中标人需要提供不锈钢制品的潴水回收车，保持课室周围环境清洁卫生。</w:t>
      </w:r>
    </w:p>
    <w:p w14:paraId="5350FD5C">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9.中标人的供餐必须使用新鲜食材，菜式丰富多样，一个星期内主菜不能重复。可</w:t>
      </w:r>
      <w:r>
        <w:rPr>
          <w:rFonts w:hint="eastAsia" w:ascii="宋体" w:hAnsi="宋体" w:eastAsia="宋体" w:cs="宋体"/>
          <w:sz w:val="22"/>
          <w:szCs w:val="22"/>
          <w:highlight w:val="none"/>
          <w:lang w:val="en-US" w:eastAsia="zh-CN"/>
        </w:rPr>
        <w:t>供应</w:t>
      </w:r>
      <w:r>
        <w:rPr>
          <w:rFonts w:hint="eastAsia" w:ascii="宋体" w:hAnsi="宋体" w:eastAsia="宋体" w:cs="宋体"/>
          <w:sz w:val="22"/>
          <w:szCs w:val="22"/>
          <w:highlight w:val="none"/>
        </w:rPr>
        <w:t>保质期内的鸡翅、鸡中翅等冷冻食品，但每星期只允许</w:t>
      </w:r>
      <w:r>
        <w:rPr>
          <w:rFonts w:hint="eastAsia" w:ascii="宋体" w:hAnsi="宋体" w:eastAsia="宋体" w:cs="宋体"/>
          <w:sz w:val="22"/>
          <w:szCs w:val="22"/>
          <w:highlight w:val="none"/>
          <w:lang w:val="en-US" w:eastAsia="zh-CN"/>
        </w:rPr>
        <w:t>供应</w:t>
      </w:r>
      <w:r>
        <w:rPr>
          <w:rFonts w:hint="eastAsia" w:ascii="宋体" w:hAnsi="宋体" w:eastAsia="宋体" w:cs="宋体"/>
          <w:sz w:val="22"/>
          <w:szCs w:val="22"/>
          <w:highlight w:val="none"/>
        </w:rPr>
        <w:t>一次，不能提供肠仔、火腿肠、鱼蛋等再生食品，菜谱必须提前一星期由营养师及学校主管领导确认</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特殊情况要提早和校方沟通</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。冷冻进口食材须提供《入境货物检验检疫证明》及《中华人民共和国海关进口货物报关单》。</w:t>
      </w:r>
    </w:p>
    <w:p w14:paraId="7E6A1FA7">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10.在一个学期之内，如在中标人提供给师生的饭菜中发现异物，经核实的确属实的</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有权单方终止合同。若</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决定给予中标人整改机会的，学校有权向中标人发出整改通知书，且</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扣除相应的履约保证金作为校方的师生健康补贴基金。如第一次发现，学校向中标人发出整改通知书给予整改，并扣除履约保证金1%作为师生健康补贴基金，第二次发现，学校向中标人发出第二次整改通知书给予整改，并扣除履约保证金3%作为师生健康补贴基金，第三次发现，</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有权终止合同。</w:t>
      </w:r>
    </w:p>
    <w:p w14:paraId="339FFE6F">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11.中标人应每周至少供应</w:t>
      </w:r>
      <w:r>
        <w:rPr>
          <w:rFonts w:hint="eastAsia" w:ascii="宋体" w:hAnsi="宋体" w:eastAsia="宋体" w:cs="宋体"/>
          <w:sz w:val="22"/>
          <w:szCs w:val="22"/>
          <w:highlight w:val="none"/>
          <w:lang w:eastAsia="zh-CN"/>
        </w:rPr>
        <w:t>两次</w:t>
      </w:r>
      <w:r>
        <w:rPr>
          <w:rFonts w:hint="eastAsia" w:ascii="宋体" w:hAnsi="宋体" w:eastAsia="宋体" w:cs="宋体"/>
          <w:sz w:val="22"/>
          <w:szCs w:val="22"/>
          <w:highlight w:val="none"/>
        </w:rPr>
        <w:t>水果，供应的水果须是新鲜时令水果，不能供应圣女果、小柑橘和打蜡的水果，杜绝供应腐烂、变质或清洁不干净水果，如出现以上情况，</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有权单方终止合同。若</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决定给予中标人整改机会的，学校有权向中标人发出整改通知书，且</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扣除相应的履约保证金作为校方的师生健康补贴基金。如第一次发现，学校向中标人发出整改通知书给予整改，并扣除履约保证金1%作为师生健康补贴基金，第二次发现，学校向中标人发出第二次整改通知书给予整改，并扣除履约保证金3%作为师生健康补贴基金，第三次发现，</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有权终止合同。</w:t>
      </w:r>
    </w:p>
    <w:p w14:paraId="2D9D57A5">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eastAsia="zh-CN"/>
        </w:rPr>
        <w:t>各</w:t>
      </w:r>
      <w:r>
        <w:rPr>
          <w:rFonts w:hint="eastAsia" w:ascii="宋体" w:hAnsi="宋体" w:eastAsia="宋体" w:cs="宋体"/>
          <w:sz w:val="22"/>
          <w:szCs w:val="22"/>
          <w:highlight w:val="none"/>
        </w:rPr>
        <w:t>学校收取的所有师生健康补贴基金在学校午餐以外开展活动时，以买水果或提供营养汤、糖水、粥点等形式返还给在校用餐的全体师生</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此费用返还形式由校方及校家委会共同确定并监管</w:t>
      </w:r>
      <w:r>
        <w:rPr>
          <w:rFonts w:hint="eastAsia" w:ascii="宋体" w:hAnsi="宋体" w:eastAsia="宋体" w:cs="宋体"/>
          <w:sz w:val="22"/>
          <w:szCs w:val="22"/>
          <w:highlight w:val="none"/>
          <w:lang w:eastAsia="zh-CN"/>
        </w:rPr>
        <w:t>）。</w:t>
      </w:r>
    </w:p>
    <w:p w14:paraId="33BA5583">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13.中标人对餐具洁净、消毒、肉菜的清洗、制作以及给学生打饭菜的过程需要配备监控，每月将录像提供校方监督。</w:t>
      </w:r>
    </w:p>
    <w:p w14:paraId="42B0C2C4">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（五）</w:t>
      </w:r>
      <w:r>
        <w:rPr>
          <w:rFonts w:hint="eastAsia" w:ascii="宋体" w:hAnsi="宋体" w:eastAsia="宋体" w:cs="宋体"/>
          <w:b/>
          <w:bCs/>
          <w:sz w:val="22"/>
          <w:szCs w:val="22"/>
          <w:highlight w:val="none"/>
        </w:rPr>
        <w:t>配餐工作人员</w:t>
      </w:r>
    </w:p>
    <w:p w14:paraId="53FAB9FB">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1.中标人自行负责所有配餐工作人员的招聘、任免、薪资、住宿、福利以及工伤保险、医疗保险等。</w:t>
      </w:r>
    </w:p>
    <w:p w14:paraId="27A5BF26">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2.中标人员工需遵循学校的相关制度，并配合、服从</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管理。</w:t>
      </w:r>
    </w:p>
    <w:p w14:paraId="481D9661">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3.中标人员工进驻</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场所服务之前，须到中山市三甲以上医院进行体检，并将结果反馈给</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，合格者方可为学校师生提供服务。</w:t>
      </w:r>
      <w:r>
        <w:rPr>
          <w:rFonts w:hint="eastAsia" w:cs="宋体"/>
          <w:sz w:val="22"/>
          <w:szCs w:val="22"/>
          <w:highlight w:val="none"/>
          <w:lang w:val="en-US" w:eastAsia="zh-CN"/>
        </w:rPr>
        <w:t>配备的服务人员必须</w:t>
      </w:r>
      <w:r>
        <w:rPr>
          <w:rFonts w:hint="eastAsia" w:ascii="宋体" w:hAnsi="宋体" w:eastAsia="宋体" w:cs="宋体"/>
          <w:sz w:val="22"/>
          <w:szCs w:val="22"/>
          <w:highlight w:val="none"/>
        </w:rPr>
        <w:t>每年进行健康检查并取得健康证明</w:t>
      </w:r>
      <w:r>
        <w:rPr>
          <w:rFonts w:hint="eastAsia" w:cs="宋体"/>
          <w:sz w:val="22"/>
          <w:szCs w:val="22"/>
          <w:highlight w:val="none"/>
          <w:lang w:eastAsia="zh-CN"/>
        </w:rPr>
        <w:t>。</w:t>
      </w:r>
    </w:p>
    <w:p w14:paraId="67A6A5E2">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4.中标人员工如有感冒、皮肤划伤及其他传染病等，不得带病上班；在工作期间患有传染病者，应立即调离工作岗位，康复后方可上岗。</w:t>
      </w:r>
    </w:p>
    <w:p w14:paraId="3740071E">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配餐工作人员在进行餐具洁净、消毒、饭菜制作以及给学生打饭菜过程中应该严格遵守工作卫生流程和要求，例如食材必须洗净、餐盘消毒达标、员工头发不能过长、严禁指甲过长或不戴口罩和头套等违背食堂卫生工作要求的情况；对于违背卫生工作流程和要求的情形，每次发现校方有权向中标人发出整改通知书，并扣除履约保证金0.3%作为校方的师生健康补贴基金。</w:t>
      </w:r>
    </w:p>
    <w:p w14:paraId="4EA3D02F">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6.中标人员工应文明用语，服务热情周到，不得与师生有言语冲突或</w:t>
      </w:r>
      <w:r>
        <w:rPr>
          <w:rFonts w:hint="eastAsia" w:ascii="宋体" w:hAnsi="宋体" w:eastAsia="宋体" w:cs="宋体"/>
          <w:sz w:val="22"/>
          <w:szCs w:val="22"/>
          <w:highlight w:val="none"/>
          <w:lang w:eastAsia="zh-CN"/>
        </w:rPr>
        <w:t>其他</w:t>
      </w:r>
      <w:r>
        <w:rPr>
          <w:rFonts w:hint="eastAsia" w:ascii="宋体" w:hAnsi="宋体" w:eastAsia="宋体" w:cs="宋体"/>
          <w:sz w:val="22"/>
          <w:szCs w:val="22"/>
          <w:highlight w:val="none"/>
        </w:rPr>
        <w:t>过激行为。一经发生尚未造成恶劣影响和后果的，</w:t>
      </w:r>
      <w:r>
        <w:rPr>
          <w:rFonts w:hint="eastAsia" w:ascii="宋体" w:hAnsi="宋体" w:eastAsia="宋体" w:cs="宋体"/>
          <w:sz w:val="22"/>
          <w:szCs w:val="22"/>
          <w:highlight w:val="none"/>
          <w:lang w:eastAsia="zh-CN"/>
        </w:rPr>
        <w:t>中标人</w:t>
      </w:r>
      <w:r>
        <w:rPr>
          <w:rFonts w:hint="eastAsia" w:ascii="宋体" w:hAnsi="宋体" w:eastAsia="宋体" w:cs="宋体"/>
          <w:sz w:val="22"/>
          <w:szCs w:val="22"/>
          <w:highlight w:val="none"/>
        </w:rPr>
        <w:t>须向校方相关</w:t>
      </w:r>
      <w:r>
        <w:rPr>
          <w:rFonts w:hint="eastAsia" w:ascii="宋体" w:hAnsi="宋体" w:eastAsia="宋体" w:cs="宋体"/>
          <w:sz w:val="22"/>
          <w:szCs w:val="22"/>
          <w:highlight w:val="none"/>
          <w:lang w:eastAsia="zh-CN"/>
        </w:rPr>
        <w:t>人员</w:t>
      </w:r>
      <w:r>
        <w:rPr>
          <w:rFonts w:hint="eastAsia" w:ascii="宋体" w:hAnsi="宋体" w:eastAsia="宋体" w:cs="宋体"/>
          <w:sz w:val="22"/>
          <w:szCs w:val="22"/>
          <w:highlight w:val="none"/>
        </w:rPr>
        <w:t>赔礼道歉；一经发生且造成恶劣影响和后果的，</w:t>
      </w:r>
      <w:r>
        <w:rPr>
          <w:rFonts w:hint="eastAsia" w:ascii="宋体" w:hAnsi="宋体" w:eastAsia="宋体" w:cs="宋体"/>
          <w:sz w:val="22"/>
          <w:szCs w:val="22"/>
          <w:highlight w:val="none"/>
          <w:lang w:eastAsia="zh-CN"/>
        </w:rPr>
        <w:t>中标人</w:t>
      </w:r>
      <w:r>
        <w:rPr>
          <w:rFonts w:hint="eastAsia" w:ascii="宋体" w:hAnsi="宋体" w:eastAsia="宋体" w:cs="宋体"/>
          <w:sz w:val="22"/>
          <w:szCs w:val="22"/>
          <w:highlight w:val="none"/>
        </w:rPr>
        <w:t>须解雇责任人，并依法承担相关民事或刑事责任。</w:t>
      </w:r>
    </w:p>
    <w:p w14:paraId="0FE11047">
      <w:pPr>
        <w:keepNext w:val="0"/>
        <w:keepLines w:val="0"/>
        <w:pageBreakBefore w:val="0"/>
        <w:shd w:val="clear"/>
        <w:tabs>
          <w:tab w:val="clear" w:pos="315"/>
        </w:tabs>
        <w:wordWrap/>
        <w:overflowPunct/>
        <w:topLinePunct w:val="0"/>
        <w:autoSpaceDE w:val="0"/>
        <w:autoSpaceDN w:val="0"/>
        <w:bidi w:val="0"/>
        <w:spacing w:line="360" w:lineRule="auto"/>
        <w:ind w:left="0" w:leftChars="0"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（六）</w:t>
      </w:r>
      <w:r>
        <w:rPr>
          <w:rFonts w:hint="eastAsia" w:ascii="宋体" w:hAnsi="宋体" w:eastAsia="宋体" w:cs="宋体"/>
          <w:b/>
          <w:bCs/>
          <w:sz w:val="22"/>
          <w:szCs w:val="22"/>
          <w:highlight w:val="none"/>
        </w:rPr>
        <w:t>合同终止及责任</w:t>
      </w:r>
    </w:p>
    <w:p w14:paraId="2C13DE8B">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在检查中发现中标人违反下列情况的，有权没收中标人的履约保证金</w:t>
      </w:r>
      <w:r>
        <w:rPr>
          <w:rFonts w:hint="eastAsia" w:ascii="宋体" w:hAnsi="宋体" w:eastAsia="宋体" w:cs="宋体"/>
          <w:sz w:val="22"/>
          <w:szCs w:val="22"/>
          <w:highlight w:val="none"/>
          <w:lang w:val="en-US" w:eastAsia="zh-CN"/>
        </w:rPr>
        <w:t>且</w:t>
      </w:r>
      <w:r>
        <w:rPr>
          <w:rFonts w:hint="eastAsia" w:ascii="宋体" w:hAnsi="宋体" w:eastAsia="宋体" w:cs="宋体"/>
          <w:sz w:val="22"/>
          <w:szCs w:val="22"/>
          <w:highlight w:val="none"/>
        </w:rPr>
        <w:t>解除与中标人签订的服务合同，要求中标人承担给学校造成损失的赔偿责任。</w:t>
      </w:r>
    </w:p>
    <w:p w14:paraId="721FE620">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（1）</w:t>
      </w:r>
      <w:r>
        <w:rPr>
          <w:rFonts w:hint="eastAsia" w:ascii="宋体" w:hAnsi="宋体" w:eastAsia="宋体" w:cs="宋体"/>
          <w:sz w:val="22"/>
          <w:szCs w:val="22"/>
          <w:highlight w:val="none"/>
        </w:rPr>
        <w:t>违反《中华人民共和国食品安全法》、一次以上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含本数</w:t>
      </w:r>
      <w:r>
        <w:rPr>
          <w:rFonts w:hint="eastAsia" w:ascii="宋体" w:hAnsi="宋体" w:eastAsia="宋体" w:cs="宋体"/>
          <w:sz w:val="22"/>
          <w:szCs w:val="22"/>
          <w:highlight w:val="none"/>
          <w:lang w:eastAsia="zh-CN"/>
        </w:rPr>
        <w:t>）</w:t>
      </w:r>
      <w:r>
        <w:rPr>
          <w:rFonts w:hint="eastAsia" w:cs="宋体"/>
          <w:sz w:val="22"/>
          <w:szCs w:val="22"/>
          <w:highlight w:val="none"/>
          <w:lang w:eastAsia="zh-CN"/>
        </w:rPr>
        <w:t>；</w:t>
      </w:r>
    </w:p>
    <w:p w14:paraId="59F644D9">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w:t>
      </w:r>
      <w:r>
        <w:rPr>
          <w:rFonts w:hint="eastAsia" w:ascii="宋体" w:hAnsi="宋体" w:eastAsia="宋体" w:cs="宋体"/>
          <w:sz w:val="22"/>
          <w:szCs w:val="22"/>
          <w:highlight w:val="none"/>
        </w:rPr>
        <w:t>违反省市有关学校饭堂管理的有关规定二次以上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含本数</w:t>
      </w:r>
      <w:r>
        <w:rPr>
          <w:rFonts w:hint="eastAsia" w:ascii="宋体" w:hAnsi="宋体" w:eastAsia="宋体" w:cs="宋体"/>
          <w:sz w:val="22"/>
          <w:szCs w:val="22"/>
          <w:highlight w:val="none"/>
          <w:lang w:eastAsia="zh-CN"/>
        </w:rPr>
        <w:t>）</w:t>
      </w:r>
      <w:r>
        <w:rPr>
          <w:rFonts w:hint="eastAsia" w:cs="宋体"/>
          <w:sz w:val="22"/>
          <w:szCs w:val="22"/>
          <w:highlight w:val="none"/>
          <w:lang w:eastAsia="zh-CN"/>
        </w:rPr>
        <w:t>；</w:t>
      </w:r>
    </w:p>
    <w:p w14:paraId="198471A3">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（3）</w:t>
      </w:r>
      <w:r>
        <w:rPr>
          <w:rFonts w:hint="eastAsia" w:ascii="宋体" w:hAnsi="宋体" w:eastAsia="宋体" w:cs="宋体"/>
          <w:sz w:val="22"/>
          <w:szCs w:val="22"/>
          <w:highlight w:val="none"/>
        </w:rPr>
        <w:t>违反质量标准三次以上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含本数</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等情况；</w:t>
      </w:r>
    </w:p>
    <w:p w14:paraId="0F8BCE6C">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（4）</w:t>
      </w:r>
      <w:r>
        <w:rPr>
          <w:rFonts w:hint="eastAsia" w:ascii="宋体" w:hAnsi="宋体" w:eastAsia="宋体" w:cs="宋体"/>
          <w:sz w:val="22"/>
          <w:szCs w:val="22"/>
          <w:highlight w:val="none"/>
        </w:rPr>
        <w:t>食品经营许可</w:t>
      </w:r>
      <w:r>
        <w:rPr>
          <w:rFonts w:hint="eastAsia" w:ascii="宋体" w:hAnsi="宋体" w:eastAsia="宋体" w:cs="宋体"/>
          <w:sz w:val="22"/>
          <w:szCs w:val="22"/>
          <w:highlight w:val="none"/>
          <w:lang w:val="en-US" w:eastAsia="zh-CN"/>
        </w:rPr>
        <w:t>证</w:t>
      </w:r>
      <w:r>
        <w:rPr>
          <w:rFonts w:hint="eastAsia" w:ascii="宋体" w:hAnsi="宋体" w:eastAsia="宋体" w:cs="宋体"/>
          <w:sz w:val="22"/>
          <w:szCs w:val="22"/>
          <w:highlight w:val="none"/>
        </w:rPr>
        <w:t>超过有效期的；</w:t>
      </w:r>
    </w:p>
    <w:p w14:paraId="21F04936">
      <w:pPr>
        <w:keepNext w:val="0"/>
        <w:keepLines w:val="0"/>
        <w:pageBreakBefore w:val="0"/>
        <w:shd w:val="clear"/>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（5）</w:t>
      </w:r>
      <w:r>
        <w:rPr>
          <w:rFonts w:hint="eastAsia" w:ascii="宋体" w:hAnsi="宋体" w:eastAsia="宋体" w:cs="宋体"/>
          <w:sz w:val="22"/>
          <w:szCs w:val="22"/>
          <w:highlight w:val="none"/>
        </w:rPr>
        <w:t>食品安全量化等级评定下降为C级的；</w:t>
      </w:r>
    </w:p>
    <w:p w14:paraId="6EB8AC78">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（6）</w:t>
      </w:r>
      <w:r>
        <w:rPr>
          <w:rFonts w:hint="eastAsia" w:ascii="宋体" w:hAnsi="宋体" w:eastAsia="宋体" w:cs="宋体"/>
          <w:sz w:val="22"/>
          <w:szCs w:val="22"/>
        </w:rPr>
        <w:t>发生较大或以上食品安全事故的；</w:t>
      </w:r>
    </w:p>
    <w:p w14:paraId="4C82F82D">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（7）</w:t>
      </w:r>
      <w:r>
        <w:rPr>
          <w:rFonts w:hint="eastAsia" w:ascii="宋体" w:hAnsi="宋体" w:eastAsia="宋体" w:cs="宋体"/>
          <w:sz w:val="22"/>
          <w:szCs w:val="22"/>
        </w:rPr>
        <w:t>因存在重大食品安全隐患受到市场监管部门或教育部门</w:t>
      </w:r>
      <w:r>
        <w:rPr>
          <w:rFonts w:hint="eastAsia" w:ascii="宋体" w:hAnsi="宋体" w:eastAsia="宋体" w:cs="宋体"/>
          <w:sz w:val="22"/>
          <w:szCs w:val="22"/>
          <w:lang w:eastAsia="zh-CN"/>
        </w:rPr>
        <w:t>（</w:t>
      </w:r>
      <w:r>
        <w:rPr>
          <w:rFonts w:hint="eastAsia" w:ascii="宋体" w:hAnsi="宋体" w:eastAsia="宋体" w:cs="宋体"/>
          <w:sz w:val="22"/>
          <w:szCs w:val="22"/>
        </w:rPr>
        <w:t>人社部门</w:t>
      </w:r>
      <w:r>
        <w:rPr>
          <w:rFonts w:hint="eastAsia" w:ascii="宋体" w:hAnsi="宋体" w:eastAsia="宋体" w:cs="宋体"/>
          <w:sz w:val="22"/>
          <w:szCs w:val="22"/>
          <w:lang w:eastAsia="zh-CN"/>
        </w:rPr>
        <w:t>）</w:t>
      </w:r>
      <w:r>
        <w:rPr>
          <w:rFonts w:hint="eastAsia" w:ascii="宋体" w:hAnsi="宋体" w:eastAsia="宋体" w:cs="宋体"/>
          <w:sz w:val="22"/>
          <w:szCs w:val="22"/>
        </w:rPr>
        <w:t>通报的；</w:t>
      </w:r>
    </w:p>
    <w:p w14:paraId="437C657A">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eastAsia="zh-CN"/>
        </w:rPr>
        <w:t>（8）</w:t>
      </w:r>
      <w:r>
        <w:rPr>
          <w:rFonts w:hint="eastAsia" w:ascii="宋体" w:hAnsi="宋体" w:eastAsia="宋体" w:cs="宋体"/>
          <w:sz w:val="22"/>
          <w:szCs w:val="22"/>
        </w:rPr>
        <w:t>中标人提供的服务不符合招标文件、投标文件或需求书规定的，除上述文件另有约定处理条款</w:t>
      </w:r>
      <w:r>
        <w:rPr>
          <w:rFonts w:hint="eastAsia" w:ascii="宋体" w:hAnsi="宋体" w:eastAsia="宋体" w:cs="宋体"/>
          <w:sz w:val="22"/>
          <w:szCs w:val="22"/>
          <w:lang w:val="en-US" w:eastAsia="zh-CN"/>
        </w:rPr>
        <w:t>的。</w:t>
      </w:r>
    </w:p>
    <w:p w14:paraId="3C52DCBF">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2.配餐学校每学期将组织对中标人配餐情况进行1次满意度的问卷调查，一学年共2次，调查对象为学校教职工和学生或家长，按教职工40%、学生或家长60%的权重，折算出每次的满意度值，满意度最低</w:t>
      </w:r>
      <w:r>
        <w:rPr>
          <w:rFonts w:hint="eastAsia" w:ascii="宋体" w:hAnsi="宋体" w:eastAsia="宋体" w:cs="宋体"/>
          <w:sz w:val="22"/>
          <w:szCs w:val="22"/>
          <w:lang w:val="en-US" w:eastAsia="zh-CN"/>
        </w:rPr>
        <w:t>标准</w:t>
      </w:r>
      <w:r>
        <w:rPr>
          <w:rFonts w:hint="eastAsia" w:ascii="宋体" w:hAnsi="宋体" w:eastAsia="宋体" w:cs="宋体"/>
          <w:sz w:val="22"/>
          <w:szCs w:val="22"/>
        </w:rPr>
        <w:t>值为80%。问卷调查出现一次满意度值低于最低标准的，中标人须向</w:t>
      </w:r>
      <w:r>
        <w:rPr>
          <w:rFonts w:hint="eastAsia" w:ascii="宋体" w:hAnsi="宋体" w:eastAsia="宋体" w:cs="宋体"/>
          <w:sz w:val="22"/>
          <w:szCs w:val="22"/>
          <w:lang w:eastAsia="zh-CN"/>
        </w:rPr>
        <w:t>采购人</w:t>
      </w:r>
      <w:r>
        <w:rPr>
          <w:rFonts w:hint="eastAsia" w:ascii="宋体" w:hAnsi="宋体" w:eastAsia="宋体" w:cs="宋体"/>
          <w:sz w:val="22"/>
          <w:szCs w:val="22"/>
        </w:rPr>
        <w:t>说明情况；出现第二次或某一次调查结果满意度低于</w:t>
      </w:r>
      <w:r>
        <w:rPr>
          <w:rFonts w:hint="eastAsia" w:cs="宋体"/>
          <w:sz w:val="22"/>
          <w:szCs w:val="22"/>
          <w:lang w:val="en-US" w:eastAsia="zh-CN"/>
        </w:rPr>
        <w:t>7</w:t>
      </w:r>
      <w:r>
        <w:rPr>
          <w:rFonts w:hint="eastAsia" w:ascii="宋体" w:hAnsi="宋体" w:eastAsia="宋体" w:cs="宋体"/>
          <w:sz w:val="22"/>
          <w:szCs w:val="22"/>
        </w:rPr>
        <w:t>0%的，学校有权终止合同，一切后果由中标人自负。合同终止后，该学校膳食委员会可选择本</w:t>
      </w:r>
      <w:r>
        <w:rPr>
          <w:rFonts w:hint="eastAsia" w:ascii="宋体" w:hAnsi="宋体" w:eastAsia="宋体" w:cs="宋体"/>
          <w:sz w:val="22"/>
          <w:szCs w:val="22"/>
          <w:lang w:val="en-US" w:eastAsia="zh-CN"/>
        </w:rPr>
        <w:t>项目</w:t>
      </w:r>
      <w:r>
        <w:rPr>
          <w:rFonts w:hint="eastAsia" w:ascii="宋体" w:hAnsi="宋体" w:eastAsia="宋体" w:cs="宋体"/>
          <w:sz w:val="22"/>
          <w:szCs w:val="22"/>
        </w:rPr>
        <w:t>其</w:t>
      </w:r>
      <w:r>
        <w:rPr>
          <w:rFonts w:hint="eastAsia" w:ascii="宋体" w:hAnsi="宋体" w:eastAsia="宋体" w:cs="宋体"/>
          <w:sz w:val="22"/>
          <w:szCs w:val="22"/>
          <w:lang w:val="en-US" w:eastAsia="zh-CN"/>
        </w:rPr>
        <w:t>他</w:t>
      </w:r>
      <w:r>
        <w:rPr>
          <w:rFonts w:hint="eastAsia" w:cs="宋体"/>
          <w:sz w:val="22"/>
          <w:szCs w:val="22"/>
          <w:lang w:val="en-US" w:eastAsia="zh-CN"/>
        </w:rPr>
        <w:t>标段</w:t>
      </w:r>
      <w:r>
        <w:rPr>
          <w:rFonts w:hint="eastAsia" w:ascii="宋体" w:hAnsi="宋体" w:eastAsia="宋体" w:cs="宋体"/>
          <w:sz w:val="22"/>
          <w:szCs w:val="22"/>
          <w:lang w:val="en-US" w:eastAsia="zh-CN"/>
        </w:rPr>
        <w:t>中标</w:t>
      </w:r>
      <w:r>
        <w:rPr>
          <w:rFonts w:hint="eastAsia" w:ascii="宋体" w:hAnsi="宋体" w:eastAsia="宋体" w:cs="宋体"/>
          <w:sz w:val="22"/>
          <w:szCs w:val="22"/>
        </w:rPr>
        <w:t>配餐单位为其提供服务，并按本要求进行考核。</w:t>
      </w:r>
    </w:p>
    <w:p w14:paraId="4619D981">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3.中标人负责承担配餐服务过程中所牵涉的一切经济、法律责任；</w:t>
      </w:r>
    </w:p>
    <w:p w14:paraId="5ED23E96">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4.中标人工作人员在工作期间出现任何安全事故，无论是校内、校外，均由中标人负责处理并承担赔偿责任；如出现不可抗力的事故，则按国家有关条例处理。</w:t>
      </w:r>
    </w:p>
    <w:p w14:paraId="4C8E2A01">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5.若因市场物价上涨的不可抗拒之因素，中标人的经营遭遇瓶颈，在保障膳食质量的前提下，中标人有权向学校提出价格调整申请，学校应及时组织相关人员进行市场调查，若中标人要求属实、合理，确定</w:t>
      </w:r>
      <w:r>
        <w:rPr>
          <w:rFonts w:hint="eastAsia" w:ascii="宋体" w:hAnsi="宋体" w:eastAsia="宋体" w:cs="宋体"/>
          <w:sz w:val="22"/>
          <w:szCs w:val="22"/>
          <w:lang w:eastAsia="zh-CN"/>
        </w:rPr>
        <w:t>采购人</w:t>
      </w:r>
      <w:r>
        <w:rPr>
          <w:rFonts w:hint="eastAsia" w:ascii="宋体" w:hAnsi="宋体" w:eastAsia="宋体" w:cs="宋体"/>
          <w:sz w:val="22"/>
          <w:szCs w:val="22"/>
        </w:rPr>
        <w:t>及学生家长代表同意后，方可变更双方认可的合理价位。</w:t>
      </w:r>
    </w:p>
    <w:p w14:paraId="4E6C05E1">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6.师生加餐和承接对外接待用餐时，若需开具发票，中标人应予以开具正式发票。</w:t>
      </w:r>
    </w:p>
    <w:p w14:paraId="14A62176">
      <w:pPr>
        <w:keepNext w:val="0"/>
        <w:keepLines w:val="0"/>
        <w:pageBreakBefore w:val="0"/>
        <w:tabs>
          <w:tab w:val="clear" w:pos="315"/>
        </w:tabs>
        <w:wordWrap/>
        <w:overflowPunct/>
        <w:topLinePunct w:val="0"/>
        <w:autoSpaceDE w:val="0"/>
        <w:autoSpaceDN w:val="0"/>
        <w:bidi w:val="0"/>
        <w:spacing w:line="360"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7.按上级扶贫政策采购份额内的扶贫产品。</w:t>
      </w:r>
    </w:p>
    <w:p w14:paraId="16B6DB2A">
      <w:pPr>
        <w:keepNext w:val="0"/>
        <w:keepLines w:val="0"/>
        <w:pageBreakBefore w:val="0"/>
        <w:widowControl w:val="0"/>
        <w:kinsoku/>
        <w:wordWrap/>
        <w:overflowPunct/>
        <w:topLinePunct w:val="0"/>
        <w:autoSpaceDE w:val="0"/>
        <w:autoSpaceDN w:val="0"/>
        <w:bidi w:val="0"/>
        <w:snapToGrid/>
        <w:spacing w:line="360" w:lineRule="auto"/>
        <w:textAlignment w:val="auto"/>
        <w:outlineLvl w:val="1"/>
        <w:rPr>
          <w:rFonts w:hint="eastAsia" w:ascii="宋体" w:hAnsi="宋体" w:eastAsia="宋体" w:cs="宋体"/>
          <w:sz w:val="22"/>
          <w:szCs w:val="22"/>
        </w:rPr>
      </w:pPr>
      <w:r>
        <w:rPr>
          <w:rFonts w:hint="eastAsia" w:ascii="宋体" w:hAnsi="宋体" w:eastAsia="宋体" w:cs="宋体"/>
          <w:b/>
          <w:bCs/>
          <w:spacing w:val="-4"/>
          <w:sz w:val="22"/>
          <w:szCs w:val="22"/>
          <w:lang w:val="en-US" w:eastAsia="zh-CN"/>
        </w:rPr>
        <w:t>三</w:t>
      </w:r>
      <w:r>
        <w:rPr>
          <w:rFonts w:hint="eastAsia" w:ascii="宋体" w:hAnsi="宋体" w:eastAsia="宋体" w:cs="宋体"/>
          <w:b/>
          <w:bCs/>
          <w:spacing w:val="-4"/>
          <w:sz w:val="22"/>
          <w:szCs w:val="22"/>
        </w:rPr>
        <w:t>、投标报价</w:t>
      </w:r>
    </w:p>
    <w:p w14:paraId="6FABFDCC">
      <w:pPr>
        <w:keepNext w:val="0"/>
        <w:keepLines w:val="0"/>
        <w:pageBreakBefore w:val="0"/>
        <w:widowControl w:val="0"/>
        <w:kinsoku/>
        <w:wordWrap/>
        <w:overflowPunct/>
        <w:topLinePunct w:val="0"/>
        <w:autoSpaceDE w:val="0"/>
        <w:autoSpaceDN w:val="0"/>
        <w:bidi w:val="0"/>
        <w:snapToGrid/>
        <w:spacing w:line="360" w:lineRule="auto"/>
        <w:ind w:left="480"/>
        <w:textAlignment w:val="auto"/>
        <w:rPr>
          <w:rFonts w:hint="eastAsia" w:ascii="宋体" w:hAnsi="宋体" w:eastAsia="宋体" w:cs="宋体"/>
          <w:sz w:val="22"/>
          <w:szCs w:val="22"/>
          <w:lang w:eastAsia="zh-CN"/>
        </w:rPr>
      </w:pPr>
      <w:r>
        <w:rPr>
          <w:rFonts w:hint="eastAsia" w:ascii="宋体" w:hAnsi="宋体" w:eastAsia="宋体" w:cs="宋体"/>
          <w:spacing w:val="7"/>
          <w:sz w:val="22"/>
          <w:szCs w:val="22"/>
        </w:rPr>
        <w:t>本项目采用固定价格采购，无须报价。合同履行期内按固定</w:t>
      </w:r>
      <w:r>
        <w:rPr>
          <w:rFonts w:hint="eastAsia" w:cs="宋体"/>
          <w:spacing w:val="7"/>
          <w:sz w:val="22"/>
          <w:szCs w:val="22"/>
          <w:lang w:val="en-US" w:eastAsia="zh-CN"/>
        </w:rPr>
        <w:t>餐标</w:t>
      </w:r>
      <w:r>
        <w:rPr>
          <w:rFonts w:hint="eastAsia" w:ascii="宋体" w:hAnsi="宋体" w:eastAsia="宋体" w:cs="宋体"/>
          <w:spacing w:val="7"/>
          <w:sz w:val="22"/>
          <w:szCs w:val="22"/>
        </w:rPr>
        <w:t>执行</w:t>
      </w:r>
      <w:r>
        <w:rPr>
          <w:rFonts w:hint="eastAsia" w:ascii="宋体" w:hAnsi="宋体" w:eastAsia="宋体" w:cs="宋体"/>
          <w:spacing w:val="7"/>
          <w:sz w:val="22"/>
          <w:szCs w:val="22"/>
          <w:lang w:eastAsia="zh-CN"/>
        </w:rPr>
        <w:t>。</w:t>
      </w:r>
    </w:p>
    <w:p w14:paraId="28BFC668">
      <w:pPr>
        <w:keepNext w:val="0"/>
        <w:keepLines w:val="0"/>
        <w:pageBreakBefore w:val="0"/>
        <w:widowControl w:val="0"/>
        <w:kinsoku/>
        <w:wordWrap/>
        <w:overflowPunct/>
        <w:topLinePunct w:val="0"/>
        <w:autoSpaceDE w:val="0"/>
        <w:autoSpaceDN w:val="0"/>
        <w:bidi w:val="0"/>
        <w:snapToGrid/>
        <w:spacing w:line="360" w:lineRule="auto"/>
        <w:textAlignment w:val="auto"/>
        <w:outlineLvl w:val="1"/>
        <w:rPr>
          <w:rFonts w:hint="eastAsia" w:ascii="宋体" w:hAnsi="宋体" w:eastAsia="宋体" w:cs="宋体"/>
          <w:sz w:val="22"/>
          <w:szCs w:val="22"/>
        </w:rPr>
      </w:pPr>
      <w:r>
        <w:rPr>
          <w:rFonts w:hint="eastAsia" w:ascii="宋体" w:hAnsi="宋体" w:eastAsia="宋体" w:cs="宋体"/>
          <w:b/>
          <w:bCs/>
          <w:spacing w:val="-3"/>
          <w:sz w:val="22"/>
          <w:szCs w:val="22"/>
          <w:lang w:val="en-US" w:eastAsia="zh-CN"/>
        </w:rPr>
        <w:t>四</w:t>
      </w:r>
      <w:r>
        <w:rPr>
          <w:rFonts w:hint="eastAsia" w:ascii="宋体" w:hAnsi="宋体" w:eastAsia="宋体" w:cs="宋体"/>
          <w:b/>
          <w:bCs/>
          <w:spacing w:val="-3"/>
          <w:sz w:val="22"/>
          <w:szCs w:val="22"/>
        </w:rPr>
        <w:t>、未尽事宜</w:t>
      </w:r>
    </w:p>
    <w:p w14:paraId="3868795A">
      <w:pPr>
        <w:keepNext w:val="0"/>
        <w:keepLines w:val="0"/>
        <w:pageBreakBefore w:val="0"/>
        <w:widowControl w:val="0"/>
        <w:kinsoku/>
        <w:wordWrap/>
        <w:overflowPunct/>
        <w:topLinePunct w:val="0"/>
        <w:autoSpaceDE w:val="0"/>
        <w:autoSpaceDN w:val="0"/>
        <w:bidi w:val="0"/>
        <w:snapToGrid/>
        <w:spacing w:line="360" w:lineRule="auto"/>
        <w:ind w:firstLine="472" w:firstLineChars="200"/>
        <w:textAlignment w:val="auto"/>
        <w:rPr>
          <w:rFonts w:hint="eastAsia" w:ascii="宋体" w:hAnsi="宋体" w:eastAsia="宋体" w:cs="宋体"/>
          <w:sz w:val="22"/>
          <w:szCs w:val="22"/>
        </w:rPr>
      </w:pPr>
      <w:r>
        <w:rPr>
          <w:rFonts w:hint="eastAsia" w:ascii="宋体" w:hAnsi="宋体" w:eastAsia="宋体" w:cs="宋体"/>
          <w:spacing w:val="8"/>
          <w:sz w:val="22"/>
          <w:szCs w:val="22"/>
        </w:rPr>
        <w:t>未尽事宜，国家法律法规有规定的，按照国家相关法律法规执行，其他则由双方另行协商。</w:t>
      </w:r>
    </w:p>
    <w:p w14:paraId="47092E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935EF"/>
    <w:rsid w:val="53B935EF"/>
    <w:rsid w:val="68E01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tabs>
        <w:tab w:val="decimal" w:pos="315"/>
        <w:tab w:val="left" w:pos="630"/>
      </w:tabs>
      <w:autoSpaceDE w:val="0"/>
      <w:autoSpaceDN w:val="0"/>
    </w:pPr>
    <w:rPr>
      <w:rFonts w:ascii="宋体" w:hAnsi="宋体" w:eastAsia="宋体" w:cs="宋体"/>
      <w:sz w:val="22"/>
      <w:szCs w:val="22"/>
      <w:lang w:val="zh-CN" w:eastAsia="zh-CN" w:bidi="zh-CN"/>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cs="Times New Roman"/>
      <w:sz w:val="20"/>
      <w:szCs w:val="24"/>
    </w:rPr>
  </w:style>
  <w:style w:type="paragraph" w:styleId="3">
    <w:name w:val="Body Text"/>
    <w:basedOn w:val="1"/>
    <w:qFormat/>
    <w:uiPriority w:val="1"/>
    <w:rPr>
      <w:sz w:val="24"/>
      <w:szCs w:val="24"/>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widowControl/>
      <w:snapToGrid w:val="0"/>
      <w:spacing w:line="240" w:lineRule="atLeast"/>
    </w:pPr>
    <w:rPr>
      <w:rFonts w:ascii="Arial" w:hAnsi="Arial" w:cs="Arial"/>
      <w:kern w:val="0"/>
      <w:szCs w:val="21"/>
    </w:rPr>
  </w:style>
  <w:style w:type="paragraph" w:styleId="6">
    <w:name w:val="Normal (Web)"/>
    <w:basedOn w:val="1"/>
    <w:qFormat/>
    <w:uiPriority w:val="0"/>
    <w:pPr>
      <w:spacing w:before="100" w:beforeAutospacing="1" w:after="100" w:afterAutospacing="1"/>
    </w:pPr>
    <w:rPr>
      <w:rFonts w:cs="Times New Roman"/>
      <w:sz w:val="24"/>
      <w:lang w:val="en-US" w:bidi="ar-SA"/>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3"/>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13">
    <w:name w:val="表格文字（两侧对齐）"/>
    <w:basedOn w:val="1"/>
    <w:qFormat/>
    <w:uiPriority w:val="0"/>
    <w:pPr>
      <w:snapToGrid w:val="0"/>
    </w:pPr>
    <w:rPr>
      <w:rFonts w:ascii="Calibri" w:hAnsi="Calibri"/>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6667</Words>
  <Characters>6907</Characters>
  <Lines>0</Lines>
  <Paragraphs>0</Paragraphs>
  <TotalTime>0</TotalTime>
  <ScaleCrop>false</ScaleCrop>
  <LinksUpToDate>false</LinksUpToDate>
  <CharactersWithSpaces>6913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2026-07-01T06:44:00Z</dcterms:created>
  <dc:creator>智林招标-项目组</dc:creator>
  <cp:lastModifiedBy>智林招标-项目组</cp:lastModifiedBy>
  <cp:lastPrinted>2026-07-01T06:49:41Z</cp:lastPrinted>
  <dcterms:modified xsi:type="dcterms:W3CDTF">2026-07-01T06:49:47Z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7B46D3E5E86242B9AED72120ED4C753E_11</vt:lpwstr>
  </property>
  <property fmtid="{D5CDD505-2E9C-101B-9397-08002B2CF9AE}" pid="4" name="KSOTemplateDocerSaveRecord">
    <vt:lpwstr>eyJoZGlkIjoiZTgzNTdiY2NmZjFhNjMxMzYwMjg0MTEyODE0YmI4MTciLCJ1c2VySWQiOiI2NDgzMjE0NzYifQ==</vt:lpwstr>
  </property>
</Properties>
</file>