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442000-2025-04316</w:t>
      </w:r>
    </w:p>
    <w:p>
      <w:pPr>
        <w:pStyle w:val="null3"/>
        <w:jc w:val="center"/>
        <w:outlineLvl w:val="3"/>
      </w:pPr>
      <w:r>
        <w:rPr>
          <w:sz w:val="24"/>
          <w:b/>
        </w:rPr>
        <w:t>采购项目编号：</w:t>
      </w:r>
      <w:r>
        <w:rPr>
          <w:sz w:val="24"/>
          <w:b/>
        </w:rPr>
        <w:t>442000-2025-04316</w:t>
      </w:r>
    </w:p>
    <w:p>
      <w:pPr>
        <w:pStyle w:val="null3"/>
        <w:jc w:val="center"/>
        <w:outlineLvl w:val="3"/>
      </w:pPr>
      <w:r>
        <w:rPr>
          <w:sz w:val="24"/>
          <w:b/>
        </w:rPr>
        <w:t>项目名称：</w:t>
      </w:r>
      <w:r>
        <w:rPr>
          <w:sz w:val="24"/>
          <w:b/>
        </w:rPr>
        <w:t>中山市中医院2025-2028年保安服务项目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中山市中医院</w:t>
      </w:r>
      <w:r>
        <w:rPr/>
        <w:t>的委托，采用</w:t>
      </w:r>
      <w:r>
        <w:rPr/>
        <w:t>公开招标</w:t>
      </w:r>
      <w:r>
        <w:rPr/>
        <w:t>方式组织采购</w:t>
      </w:r>
      <w:r>
        <w:rPr/>
        <w:t>中山市中医院2025-2028年保安服务项目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中山市中医院2025-2028年保安服务项目</w:t>
      </w:r>
    </w:p>
    <w:p>
      <w:pPr>
        <w:pStyle w:val="null3"/>
        <w:ind w:firstLine="480"/>
      </w:pPr>
      <w:r>
        <w:rPr/>
        <w:t>采购计划编号：</w:t>
      </w:r>
      <w:r>
        <w:rPr/>
        <w:t>442000-2025-04316</w:t>
      </w:r>
    </w:p>
    <w:p>
      <w:pPr>
        <w:pStyle w:val="null3"/>
        <w:ind w:firstLine="480"/>
      </w:pPr>
      <w:r>
        <w:rPr/>
        <w:t>采购项目编号：</w:t>
      </w:r>
      <w:r>
        <w:rPr/>
        <w:t>442000-2025-04316</w:t>
      </w:r>
    </w:p>
    <w:p>
      <w:pPr>
        <w:pStyle w:val="null3"/>
        <w:ind w:firstLine="480"/>
      </w:pPr>
      <w:r>
        <w:rPr/>
        <w:t>采购方式：</w:t>
      </w:r>
      <w:r>
        <w:rPr/>
        <w:t>公开招标</w:t>
      </w:r>
    </w:p>
    <w:p>
      <w:pPr>
        <w:pStyle w:val="null3"/>
        <w:ind w:firstLine="480"/>
      </w:pPr>
      <w:r>
        <w:rPr/>
        <w:t>预算金额：</w:t>
      </w:r>
      <w:r>
        <w:rPr/>
        <w:t>35,556,752.00</w:t>
      </w:r>
      <w:r>
        <w:rPr/>
        <w:t>元</w:t>
      </w:r>
    </w:p>
    <w:p>
      <w:pPr>
        <w:pStyle w:val="null3"/>
        <w:outlineLvl w:val="3"/>
      </w:pPr>
      <w:r>
        <w:rPr>
          <w:sz w:val="24"/>
          <w:b/>
        </w:rPr>
        <w:t>2.项目内容及需求情况（采购项目技术规格、参数及要求）</w:t>
      </w:r>
    </w:p>
    <w:p>
      <w:pPr>
        <w:pStyle w:val="null3"/>
      </w:pPr>
      <w:r>
        <w:rPr/>
        <w:t>采购包1(中山市中医院2025-2028年保安服务项目):</w:t>
      </w:r>
    </w:p>
    <w:p>
      <w:pPr>
        <w:pStyle w:val="null3"/>
      </w:pPr>
      <w:r>
        <w:rPr/>
        <w:t>采购包预算金额：35,556,752.00元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保安服务</w:t>
            </w:r>
          </w:p>
        </w:tc>
        <w:tc>
          <w:tcPr>
            <w:tcW w:type="dxa" w:w="2136"/>
          </w:tcPr>
          <w:p>
            <w:pPr>
              <w:pStyle w:val="null3"/>
            </w:pPr>
            <w:r>
              <w:rPr/>
              <w:t>保安服务项目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合同履行期限：自合同约定生效之日起三年。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采购包1（中山市中医院2025-2028年保安服务项目）：</w:t>
      </w:r>
      <w:r>
        <w:rPr/>
        <w:t>无</w:t>
      </w:r>
    </w:p>
    <w:p>
      <w:pPr>
        <w:pStyle w:val="null3"/>
        <w:outlineLvl w:val="3"/>
      </w:pPr>
      <w:r>
        <w:rPr>
          <w:sz w:val="24"/>
          <w:b/>
        </w:rPr>
        <w:t>3.本项目特定的资格要求：</w:t>
      </w:r>
    </w:p>
    <w:p>
      <w:pPr>
        <w:pStyle w:val="null3"/>
      </w:pPr>
      <w:r>
        <w:rPr/>
        <w:t>采购包1（中山市中医院2025-2028年保安服务项目）：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pPr>
      <w:r>
        <w:rPr/>
        <w:t>3)投标人必须具备由公安机关颁发且在有效期内的《保安服务许可证》。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w:t>
      </w:r>
      <w:r>
        <w:rPr>
          <w:sz w:val="22"/>
        </w:rPr>
        <w:t>项目名称：</w:t>
      </w:r>
      <w:r>
        <w:rPr>
          <w:sz w:val="22"/>
        </w:rPr>
        <w:t>中山市中医院</w:t>
      </w:r>
      <w:r>
        <w:rPr>
          <w:sz w:val="22"/>
        </w:rPr>
        <w:t>2025-2028年保安服务项目</w:t>
      </w:r>
    </w:p>
    <w:p>
      <w:pPr>
        <w:pStyle w:val="null3"/>
        <w:jc w:val="both"/>
      </w:pPr>
      <w:r>
        <w:rPr>
          <w:sz w:val="22"/>
        </w:rPr>
        <w:t>2.</w:t>
      </w:r>
      <w:r>
        <w:rPr>
          <w:sz w:val="22"/>
        </w:rPr>
        <w:t>采购计划编号：</w:t>
      </w:r>
      <w:r>
        <w:rPr>
          <w:sz w:val="22"/>
        </w:rPr>
        <w:t>442000-2025-04316</w:t>
      </w:r>
    </w:p>
    <w:p>
      <w:pPr>
        <w:pStyle w:val="null3"/>
        <w:jc w:val="both"/>
      </w:pPr>
      <w:r>
        <w:rPr>
          <w:sz w:val="22"/>
        </w:rPr>
        <w:t>3.</w:t>
      </w:r>
      <w:r>
        <w:rPr>
          <w:sz w:val="22"/>
        </w:rPr>
        <w:t>采购项目编号：</w:t>
      </w:r>
      <w:r>
        <w:rPr>
          <w:sz w:val="22"/>
        </w:rPr>
        <w:t>442000-2025-04316</w:t>
      </w:r>
    </w:p>
    <w:p>
      <w:pPr>
        <w:pStyle w:val="null3"/>
        <w:jc w:val="both"/>
      </w:pPr>
      <w:r>
        <w:rPr>
          <w:sz w:val="22"/>
        </w:rPr>
        <w:t>4.</w:t>
      </w:r>
      <w:r>
        <w:rPr>
          <w:sz w:val="22"/>
        </w:rPr>
        <w:t>采购方式：公开招标</w:t>
      </w:r>
    </w:p>
    <w:p>
      <w:pPr>
        <w:pStyle w:val="null3"/>
        <w:jc w:val="both"/>
      </w:pPr>
      <w:r>
        <w:rPr>
          <w:sz w:val="22"/>
        </w:rPr>
        <w:t>5.</w:t>
      </w:r>
      <w:r>
        <w:rPr>
          <w:sz w:val="22"/>
        </w:rPr>
        <w:t>预算金额：</w:t>
      </w:r>
      <w:r>
        <w:rPr>
          <w:sz w:val="22"/>
        </w:rPr>
        <w:t>35,556,752.00</w:t>
      </w:r>
      <w:r>
        <w:rPr>
          <w:sz w:val="22"/>
        </w:rPr>
        <w:t>元</w:t>
      </w:r>
    </w:p>
    <w:p>
      <w:pPr>
        <w:pStyle w:val="null3"/>
        <w:jc w:val="both"/>
      </w:pPr>
      <w:r>
        <w:rPr>
          <w:sz w:val="22"/>
        </w:rPr>
        <w:t>6.本项目不属于专门面向中小企业项目。</w:t>
      </w:r>
    </w:p>
    <w:p>
      <w:pPr>
        <w:pStyle w:val="null3"/>
        <w:jc w:val="both"/>
      </w:pPr>
      <w:r>
        <w:rPr>
          <w:sz w:val="22"/>
        </w:rPr>
        <w:t>6</w:t>
      </w:r>
      <w:r>
        <w:rPr>
          <w:sz w:val="22"/>
        </w:rPr>
        <w:t>.1.本项目属于服务类项目，采购标的对应的中小企业划分标准所属行业为：租赁和商务服务行业。</w:t>
      </w:r>
    </w:p>
    <w:p>
      <w:pPr>
        <w:pStyle w:val="null3"/>
        <w:jc w:val="both"/>
      </w:pPr>
      <w:r>
        <w:rPr>
          <w:sz w:val="22"/>
        </w:rPr>
        <w:t>6</w:t>
      </w:r>
      <w:r>
        <w:rPr>
          <w:sz w:val="22"/>
        </w:rPr>
        <w:t>.2.本项目的投标人根据招标公告附件《中小企业划型标准规定》及《广东省财政厅关于进一步规范政府采购活动中落实促进中小企业发展政策的通知》要求自行判定是否属于租赁和商务服务行业的小微企业，符合小微企业类型的方可享受《政府采购促进中小企业发展管理办法》规定的中小企业扶持政策；</w:t>
      </w:r>
    </w:p>
    <w:p>
      <w:pPr>
        <w:pStyle w:val="null3"/>
        <w:jc w:val="both"/>
      </w:pPr>
      <w:r>
        <w:rPr>
          <w:sz w:val="22"/>
        </w:rPr>
        <w:t>6.3</w:t>
      </w:r>
      <w:r>
        <w:rPr>
          <w:sz w:val="22"/>
        </w:rPr>
        <w:t>.</w:t>
      </w:r>
      <w:r>
        <w:rPr>
          <w:sz w:val="22"/>
        </w:rPr>
        <w:t>本项目属于服务类项目，采购标的对应的中小企业划分标准所属行业为：</w:t>
      </w:r>
      <w:r>
        <w:rPr>
          <w:sz w:val="22"/>
        </w:rPr>
        <w:t>租赁和商务服务业</w:t>
      </w:r>
      <w:r>
        <w:rPr>
          <w:sz w:val="22"/>
        </w:rPr>
        <w:t>。</w:t>
      </w:r>
    </w:p>
    <w:p>
      <w:pPr>
        <w:pStyle w:val="null3"/>
        <w:jc w:val="both"/>
      </w:pPr>
      <w:r>
        <w:rPr>
          <w:sz w:val="22"/>
        </w:rPr>
        <w:t>7</w:t>
      </w:r>
      <w:r>
        <w:rPr>
          <w:sz w:val="22"/>
        </w:rPr>
        <w:t>.</w:t>
      </w:r>
      <w:r>
        <w:rPr>
          <w:sz w:val="22"/>
        </w:rPr>
        <w:t>本项目不接受联合体投标。</w:t>
      </w:r>
    </w:p>
    <w:p>
      <w:pPr>
        <w:pStyle w:val="null3"/>
        <w:jc w:val="both"/>
      </w:pPr>
      <w:r>
        <w:rPr>
          <w:sz w:val="22"/>
        </w:rPr>
        <w:t>8.</w:t>
      </w:r>
      <w:r>
        <w:rPr>
          <w:sz w:val="22"/>
        </w:rPr>
        <w:t>合同履行期限：</w:t>
      </w:r>
      <w:r>
        <w:rPr>
          <w:sz w:val="22"/>
        </w:rPr>
        <w:t>自合同约定生效之日起三年。</w:t>
      </w:r>
    </w:p>
    <w:p>
      <w:pPr>
        <w:pStyle w:val="null3"/>
        <w:jc w:val="both"/>
      </w:pPr>
      <w:r>
        <w:rPr>
          <w:sz w:val="22"/>
        </w:rPr>
        <w:t>9.</w:t>
      </w:r>
      <w:r>
        <w:rPr>
          <w:sz w:val="22"/>
        </w:rPr>
        <w:t>根据《政府采购货物和服务招标投标管理办法》财政部令第</w:t>
      </w:r>
      <w:r>
        <w:rPr>
          <w:sz w:val="22"/>
        </w:rPr>
        <w:t>87号 第六十条评标委员会认为投标人的报价明显低于其他通过符合性审查投标人的报价，有可能影响服务质量或者不能诚信履约的，应当要求其在评标现场合理的时间内提供书面说明，必要时提交相关证明材料（投标人可根据以下几种方式进行说明：提供详细的项目计划和预算；说明材料和设备的选择；提供公司的经验和能力；提供关于税收、补贴、环保方面的法规和政策；提供投标人同类项目过往的报价依据等以证明其报价是符合法规和政策的）；投标人不能证明其报价合理性的，评标委员会应当将其作为无效投标处理。投标人必须根据法规规定，结合自身运营成本进行合理报价。如评标委员会认为有必要的，可参照《关于在相关自由贸易试验区和自由贸易港开展推动解决政府采购异常低价问题试点工作的通知》进行异常低价问题处理。</w:t>
      </w:r>
    </w:p>
    <w:p>
      <w:pPr>
        <w:pStyle w:val="null3"/>
        <w:jc w:val="both"/>
      </w:pPr>
      <w:r>
        <w:rPr>
          <w:sz w:val="22"/>
        </w:rPr>
        <w:t>10.</w:t>
      </w:r>
      <w:r>
        <w:rPr>
          <w:sz w:val="22"/>
        </w:rPr>
        <w:t>采购人有权在签订合同时对项目内容作适当修改调整或对服务内容作适量增加或减少，但不得对招标文件约定的条款作出实质性的变更。</w:t>
      </w:r>
    </w:p>
    <w:p>
      <w:pPr>
        <w:pStyle w:val="null3"/>
        <w:jc w:val="both"/>
      </w:pPr>
      <w:r>
        <w:rPr>
          <w:sz w:val="22"/>
          <w:b/>
        </w:rPr>
        <w:t>1</w:t>
      </w:r>
      <w:r>
        <w:rPr>
          <w:sz w:val="22"/>
          <w:b/>
        </w:rPr>
        <w:t>1</w:t>
      </w:r>
      <w:r>
        <w:rPr>
          <w:sz w:val="22"/>
          <w:b/>
        </w:rPr>
        <w:t>.</w:t>
      </w:r>
      <w:r>
        <w:rPr>
          <w:sz w:val="22"/>
          <w:b/>
        </w:rPr>
        <w:t>招标文件中凡有</w:t>
      </w:r>
      <w:r>
        <w:rPr>
          <w:sz w:val="22"/>
          <w:b/>
        </w:rPr>
        <w:t>“★”标识的内容条款为关键条款，投标人必须对此作全面响应和满足，任何负偏离则将被视为无效投标。</w:t>
      </w:r>
    </w:p>
    <w:p>
      <w:pPr>
        <w:pStyle w:val="null3"/>
        <w:jc w:val="both"/>
      </w:pPr>
      <w:r>
        <w:rPr>
          <w:sz w:val="22"/>
          <w:b/>
        </w:rPr>
        <w:t>1</w:t>
      </w:r>
      <w:r>
        <w:rPr>
          <w:sz w:val="22"/>
          <w:b/>
        </w:rPr>
        <w:t>2</w:t>
      </w:r>
      <w:r>
        <w:rPr>
          <w:sz w:val="22"/>
          <w:b/>
        </w:rPr>
        <w:t>.</w:t>
      </w:r>
      <w:r>
        <w:rPr>
          <w:sz w:val="22"/>
          <w:b/>
        </w:rPr>
        <w:t>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2"/>
          <w:b/>
        </w:rPr>
        <w:t>1</w:t>
      </w:r>
      <w:r>
        <w:rPr>
          <w:sz w:val="22"/>
          <w:b/>
        </w:rPr>
        <w:t>3</w:t>
      </w:r>
      <w:r>
        <w:rPr>
          <w:sz w:val="22"/>
          <w:b/>
        </w:rPr>
        <w:t>.</w:t>
      </w:r>
      <w:r>
        <w:rPr>
          <w:sz w:val="22"/>
          <w:b/>
        </w:rPr>
        <w:t>重要说明</w:t>
      </w:r>
    </w:p>
    <w:p>
      <w:pPr>
        <w:pStyle w:val="null3"/>
        <w:ind w:firstLine="440"/>
        <w:jc w:val="both"/>
      </w:pPr>
      <w:r>
        <w:rPr>
          <w:sz w:val="22"/>
        </w:rPr>
        <w:t>如投标人认为本招标文件中存在</w:t>
      </w:r>
      <w:r>
        <w:rPr>
          <w:sz w:val="22"/>
        </w:rPr>
        <w:t>“不合理的条件对供应商实行差别待遇或者歧视待遇”，或有其它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left"/>
      </w:pPr>
      <w:r>
        <w:rPr>
          <w:sz w:val="22"/>
          <w:b/>
        </w:rPr>
        <w:t>1</w:t>
      </w:r>
      <w:r>
        <w:rPr>
          <w:sz w:val="22"/>
          <w:b/>
        </w:rPr>
        <w:t>4</w:t>
      </w:r>
      <w:r>
        <w:rPr>
          <w:sz w:val="22"/>
          <w:b/>
        </w:rPr>
        <w:t>.投标人需参照以下格式在投标文件中出具《无围标、串标行为承诺书》。</w:t>
      </w:r>
    </w:p>
    <w:p>
      <w:pPr>
        <w:pStyle w:val="null3"/>
        <w:jc w:val="both"/>
      </w:pPr>
      <w:r>
        <w:rPr/>
        <w:t xml:space="preserve"> </w:t>
      </w:r>
    </w:p>
    <w:p>
      <w:pPr>
        <w:pStyle w:val="null3"/>
        <w:jc w:val="center"/>
      </w:pPr>
      <w:r>
        <w:rPr>
          <w:sz w:val="22"/>
          <w:b/>
        </w:rPr>
        <w:t>无围标、串标行为承诺书</w:t>
      </w:r>
    </w:p>
    <w:p>
      <w:pPr>
        <w:pStyle w:val="null3"/>
        <w:ind w:firstLine="420"/>
        <w:jc w:val="left"/>
      </w:pPr>
      <w:r>
        <w:rPr>
          <w:sz w:val="22"/>
        </w:rPr>
        <w:t>本公司郑重承诺：本公司在参加本次</w:t>
      </w:r>
      <w:r>
        <w:rPr>
          <w:sz w:val="22"/>
          <w:u w:val="single"/>
        </w:rPr>
        <w:t>中山市中医院</w:t>
      </w:r>
      <w:r>
        <w:rPr>
          <w:sz w:val="22"/>
          <w:u w:val="single"/>
        </w:rPr>
        <w:t>2025-2028年保安服务项目</w:t>
      </w:r>
      <w:r>
        <w:rPr>
          <w:u w:val="single"/>
        </w:rPr>
        <w:t xml:space="preserve">  </w:t>
      </w:r>
      <w:r>
        <w:rPr>
          <w:sz w:val="22"/>
        </w:rPr>
        <w:t>[采购项目编号：</w:t>
      </w:r>
      <w:r>
        <w:rPr>
          <w:u w:val="single"/>
        </w:rPr>
        <w:t xml:space="preserve"> </w:t>
      </w:r>
      <w:r>
        <w:rPr>
          <w:sz w:val="22"/>
          <w:u w:val="single"/>
        </w:rPr>
        <w:t>442000-2025-04316</w:t>
      </w:r>
      <w:r>
        <w:rPr>
          <w:u w:val="single"/>
        </w:rPr>
        <w:t xml:space="preserve"> </w:t>
      </w:r>
      <w:r>
        <w:rPr>
          <w:sz w:val="22"/>
        </w:rPr>
        <w:t>]活动中，无以下围标、串标行为。</w:t>
      </w:r>
    </w:p>
    <w:p>
      <w:pPr>
        <w:pStyle w:val="null3"/>
        <w:jc w:val="left"/>
      </w:pPr>
      <w:r>
        <w:rPr>
          <w:sz w:val="22"/>
        </w:rPr>
        <w:t xml:space="preserve">    </w:t>
      </w:r>
      <w:r>
        <w:rPr>
          <w:sz w:val="22"/>
        </w:rPr>
        <w:t>1）不同供应商的投标文件由同一单位或者个人编制；</w:t>
      </w:r>
    </w:p>
    <w:p>
      <w:pPr>
        <w:pStyle w:val="null3"/>
        <w:jc w:val="left"/>
      </w:pPr>
      <w:r>
        <w:rPr>
          <w:sz w:val="22"/>
        </w:rPr>
        <w:t xml:space="preserve">    </w:t>
      </w:r>
      <w:r>
        <w:rPr>
          <w:sz w:val="22"/>
        </w:rPr>
        <w:t>2）不同供应商委托同一单位或者个人办理投标事宜；</w:t>
      </w:r>
    </w:p>
    <w:p>
      <w:pPr>
        <w:pStyle w:val="null3"/>
        <w:jc w:val="left"/>
      </w:pPr>
      <w:r>
        <w:rPr>
          <w:sz w:val="22"/>
        </w:rPr>
        <w:t xml:space="preserve">    </w:t>
      </w:r>
      <w:r>
        <w:rPr>
          <w:sz w:val="22"/>
        </w:rPr>
        <w:t>3）不同供应商的投标文件载明的项目管理成员或者联系人员为同一人；</w:t>
      </w:r>
    </w:p>
    <w:p>
      <w:pPr>
        <w:pStyle w:val="null3"/>
        <w:jc w:val="left"/>
      </w:pPr>
      <w:r>
        <w:rPr>
          <w:sz w:val="22"/>
        </w:rPr>
        <w:t xml:space="preserve">    </w:t>
      </w:r>
      <w:r>
        <w:rPr>
          <w:sz w:val="22"/>
        </w:rPr>
        <w:t>4）不同供应商的投标文件异常一致或者投标报价呈规律性差异；</w:t>
      </w:r>
    </w:p>
    <w:p>
      <w:pPr>
        <w:pStyle w:val="null3"/>
        <w:jc w:val="left"/>
      </w:pPr>
      <w:r>
        <w:rPr>
          <w:sz w:val="22"/>
        </w:rPr>
        <w:t xml:space="preserve">    </w:t>
      </w:r>
      <w:r>
        <w:rPr>
          <w:sz w:val="22"/>
        </w:rPr>
        <w:t>5）不同供应商的投标文件相互混装；</w:t>
      </w:r>
    </w:p>
    <w:p>
      <w:pPr>
        <w:pStyle w:val="null3"/>
        <w:jc w:val="left"/>
      </w:pPr>
      <w:r>
        <w:rPr>
          <w:sz w:val="22"/>
        </w:rPr>
        <w:t xml:space="preserve">    </w:t>
      </w:r>
      <w:r>
        <w:rPr>
          <w:sz w:val="22"/>
        </w:rPr>
        <w:t>6）不同供应商的投标保证金从同一单位或者个人的账户转出；</w:t>
      </w:r>
    </w:p>
    <w:p>
      <w:pPr>
        <w:pStyle w:val="null3"/>
        <w:jc w:val="left"/>
      </w:pPr>
      <w:r>
        <w:rPr>
          <w:sz w:val="22"/>
        </w:rPr>
        <w:t xml:space="preserve">    </w:t>
      </w:r>
      <w:r>
        <w:rPr>
          <w:sz w:val="22"/>
        </w:rPr>
        <w:t>7）单位负责人为同一人或者存在控股、管理关系的不同单位参加同一招标项目投标；</w:t>
      </w:r>
    </w:p>
    <w:p>
      <w:pPr>
        <w:pStyle w:val="null3"/>
        <w:jc w:val="left"/>
      </w:pPr>
      <w:r>
        <w:rPr>
          <w:sz w:val="22"/>
        </w:rPr>
        <w:t xml:space="preserve">    </w:t>
      </w:r>
      <w:r>
        <w:rPr>
          <w:sz w:val="22"/>
        </w:rPr>
        <w:t>8）法律法规界定的其他围标串标行为。</w:t>
      </w:r>
    </w:p>
    <w:p>
      <w:pPr>
        <w:pStyle w:val="null3"/>
        <w:ind w:firstLine="420"/>
        <w:jc w:val="left"/>
      </w:pPr>
      <w:r>
        <w:rPr>
          <w:sz w:val="22"/>
        </w:rPr>
        <w:t>如有发现我公司存在围标、串标行为，我公司愿承担一切法律责任。</w:t>
      </w:r>
    </w:p>
    <w:p>
      <w:pPr>
        <w:pStyle w:val="null3"/>
        <w:ind w:firstLine="420"/>
        <w:jc w:val="left"/>
      </w:pPr>
      <w:r>
        <w:rPr>
          <w:sz w:val="22"/>
        </w:rPr>
        <w:t>特此承诺。</w:t>
      </w:r>
    </w:p>
    <w:p>
      <w:pPr>
        <w:pStyle w:val="null3"/>
        <w:jc w:val="left"/>
      </w:pPr>
      <w:r>
        <w:rPr>
          <w:sz w:val="22"/>
        </w:rPr>
        <w:t>投标人法定代表人（或法定代表人授权代表）签字或盖章：</w:t>
      </w:r>
      <w:r>
        <w:rPr>
          <w:sz w:val="22"/>
        </w:rPr>
        <w:t>__________________</w:t>
      </w:r>
    </w:p>
    <w:p>
      <w:pPr>
        <w:pStyle w:val="null3"/>
        <w:jc w:val="right"/>
      </w:pPr>
      <w:r>
        <w:rPr>
          <w:sz w:val="22"/>
        </w:rPr>
        <w:t>投标人名称（盖章）：</w:t>
      </w:r>
      <w:r>
        <w:rPr>
          <w:sz w:val="22"/>
        </w:rPr>
        <w:t>__________________</w:t>
      </w:r>
    </w:p>
    <w:p>
      <w:pPr>
        <w:pStyle w:val="null3"/>
        <w:jc w:val="right"/>
      </w:pPr>
      <w:r>
        <w:rPr>
          <w:sz w:val="22"/>
        </w:rPr>
        <w:t>日期：</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pPr>
      <w:r>
        <w:rPr/>
        <w:t>采购包1（中山市中医院2025-2028年保安服务项目）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自合同约定生效之日起三年。</w:t>
            </w:r>
          </w:p>
        </w:tc>
      </w:tr>
      <w:tr>
        <w:tc>
          <w:tcPr>
            <w:tcW w:type="dxa" w:w="4153"/>
          </w:tcPr>
          <w:p>
            <w:pPr>
              <w:pStyle w:val="null3"/>
            </w:pPr>
            <w:r>
              <w:rPr/>
              <w:t>标的提供的地点</w:t>
            </w:r>
          </w:p>
        </w:tc>
        <w:tc>
          <w:tcPr>
            <w:tcW w:type="dxa" w:w="4153"/>
          </w:tcPr>
          <w:p>
            <w:pPr>
              <w:pStyle w:val="null3"/>
            </w:pPr>
            <w:r>
              <w:rPr/>
              <w:t>以采购人指定地点为准。</w:t>
            </w:r>
          </w:p>
        </w:tc>
      </w:tr>
      <w:tr>
        <w:tc>
          <w:tcPr>
            <w:tcW w:type="dxa" w:w="4153"/>
          </w:tcPr>
          <w:p>
            <w:pPr>
              <w:pStyle w:val="null3"/>
            </w:pPr>
            <w:r>
              <w:rPr/>
              <w:t>付款方式</w:t>
            </w:r>
          </w:p>
        </w:tc>
        <w:tc>
          <w:tcPr>
            <w:tcW w:type="dxa" w:w="4153"/>
          </w:tcPr>
          <w:p>
            <w:pPr>
              <w:pStyle w:val="null3"/>
            </w:pPr>
            <w:r>
              <w:rPr/>
              <w:t>1期：支付比例100%,每月结算一次，月服务费=合同总价÷36－扣罚金额（如有）±当月增加/减少岗位数×对应单价（如有）。（注：如因岗位增减使对应月份实际服务不足完整月度的，则按对应岗位的月度服务费用/对应月份天数*实际服务天数计算）。中标供应商于每月10日前提交上月服务费的请款资料，包括但不限于符合采购人财务要求的等额发票、服务质量考核表等，采购人于60个自然日内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1期：由采购人根据合同和招标文件、投标文件组织验收，详见《中山市中医院2025-2028年保安服务项目质量考核表》。</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账号：138021516010003053</w:t>
            </w:r>
          </w:p>
          <w:p>
            <w:pPr>
              <w:pStyle w:val="null3"/>
            </w:pPr>
            <w:r>
              <w:rPr/>
              <w:t>户名：中山市中医院</w:t>
            </w:r>
          </w:p>
          <w:p>
            <w:pPr>
              <w:pStyle w:val="null3"/>
            </w:pPr>
            <w:r>
              <w:rPr/>
              <w:t>开户行：广发银行中山分行营业部</w:t>
            </w:r>
          </w:p>
          <w:p>
            <w:pPr>
              <w:pStyle w:val="null3"/>
            </w:pPr>
            <w:r>
              <w:rPr/>
              <w:t>支票提交方式：现场提交</w:t>
            </w:r>
          </w:p>
          <w:p>
            <w:pPr>
              <w:pStyle w:val="null3"/>
            </w:pPr>
            <w:r>
              <w:rPr/>
              <w:t>汇票、本票提交方式：现场提交</w:t>
            </w:r>
          </w:p>
          <w:p>
            <w:pPr>
              <w:pStyle w:val="null3"/>
            </w:pPr>
            <w:r>
              <w:rPr/>
              <w:t>说明：合同签订后，中标供应商须于10个工作日内以支票、汇票、本票或者金融机构、担保机构出具的保函等非现金形式向采购人提交履约保证金。 2、若中标供应商不履行或不适当履行其合同义务导致采购人蒙受损失的，采购人有权直接从履约保证金中扣除相应违约金或损失赔偿款项；违约金或给采购人造成的损失超过履约保证金数额的，中标供应商应对超出部分给予赔偿；若中标供应商没有违约行为，履约保证金在合同履行期限结束后由采购人无息退还中标供应商。</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1.按总价报价，投标总价不得超过项目预算金额，否则视为无效报价。 2.投标人须在投标文件中对拟投入服务岗位配置进行分项报价，报价时应详细列出各类岗位平均每月服务单价、每月总服务费和整个项目三年总费用，各分项报价合计金额应等于总价金额。分项报价不作格式限制，由投标人自行编写。 3.本项目报价应包括但不限于派驻人员工资、福利、保险、服装、通信工具、社保、医保、税费及合同实施过程中可预见和不可预见的一切费用，合同期内采购人不再额外支付任何费用。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保安服务</w:t>
            </w:r>
          </w:p>
        </w:tc>
        <w:tc>
          <w:tcPr>
            <w:tcW w:type="dxa" w:w="933"/>
          </w:tcPr>
          <w:p>
            <w:pPr>
              <w:pStyle w:val="null3"/>
              <w:jc w:val="left"/>
            </w:pPr>
            <w:r>
              <w:rPr/>
              <w:t>保安服务项目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35,556,752.00</w:t>
            </w:r>
          </w:p>
        </w:tc>
        <w:tc>
          <w:tcPr>
            <w:tcW w:type="dxa" w:w="933"/>
          </w:tcPr>
          <w:p>
            <w:pPr>
              <w:pStyle w:val="null3"/>
              <w:jc w:val="right"/>
            </w:pPr>
            <w:r>
              <w:rPr/>
              <w:t>35,556,752.00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保安服务项目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color w:val="000000"/>
              </w:rPr>
              <w:t>一、项目概况</w:t>
            </w:r>
          </w:p>
          <w:p>
            <w:pPr>
              <w:pStyle w:val="null3"/>
              <w:ind w:firstLine="440"/>
              <w:jc w:val="both"/>
            </w:pPr>
            <w:r>
              <w:rPr>
                <w:sz w:val="22"/>
                <w:color w:val="000000"/>
              </w:rPr>
              <w:t>1.医院本部：位于中山市西区康欣路3号，占地面积约260亩，建筑面积约26万平方米</w:t>
            </w:r>
            <w:r>
              <w:rPr>
                <w:sz w:val="22"/>
                <w:color w:val="000000"/>
              </w:rPr>
              <w:t>，现有汽车停车位</w:t>
            </w:r>
            <w:r>
              <w:rPr>
                <w:sz w:val="22"/>
                <w:color w:val="000000"/>
              </w:rPr>
              <w:t>约</w:t>
            </w:r>
            <w:r>
              <w:rPr>
                <w:sz w:val="22"/>
                <w:color w:val="000000"/>
              </w:rPr>
              <w:t>2671个</w:t>
            </w:r>
            <w:r>
              <w:rPr>
                <w:sz w:val="22"/>
                <w:color w:val="000000"/>
              </w:rPr>
              <w:t>。</w:t>
            </w:r>
          </w:p>
          <w:p>
            <w:pPr>
              <w:pStyle w:val="null3"/>
              <w:ind w:firstLine="440"/>
              <w:jc w:val="both"/>
            </w:pPr>
            <w:r>
              <w:rPr>
                <w:sz w:val="22"/>
                <w:color w:val="000000"/>
              </w:rPr>
              <w:t>2.悦来门诊部：位于石岐区悦来上街2号，占地面积约10000㎡、建筑面积约30000㎡，现有汽车停车位约137个。</w:t>
            </w:r>
          </w:p>
          <w:p>
            <w:pPr>
              <w:pStyle w:val="null3"/>
              <w:ind w:firstLine="440"/>
              <w:jc w:val="both"/>
            </w:pPr>
            <w:r>
              <w:rPr>
                <w:sz w:val="22"/>
                <w:color w:val="000000"/>
              </w:rPr>
              <w:t>3.岐江门诊部：位于中山市孙文西路步行街侧，约800㎡。</w:t>
            </w:r>
          </w:p>
          <w:p>
            <w:pPr>
              <w:pStyle w:val="null3"/>
              <w:ind w:firstLine="440"/>
              <w:jc w:val="both"/>
            </w:pPr>
            <w:r>
              <w:rPr>
                <w:sz w:val="22"/>
                <w:color w:val="000000"/>
              </w:rPr>
              <w:t>4.弓箭巷宿舍：位于中山市弓箭巷9号，建筑面积约800㎡。</w:t>
            </w:r>
          </w:p>
          <w:p>
            <w:pPr>
              <w:pStyle w:val="null3"/>
              <w:jc w:val="both"/>
            </w:pPr>
            <w:r>
              <w:rPr>
                <w:sz w:val="22"/>
                <w:b/>
                <w:color w:val="000000"/>
              </w:rPr>
              <w:t>二、</w:t>
            </w:r>
            <w:r>
              <w:rPr>
                <w:sz w:val="22"/>
                <w:b/>
                <w:color w:val="000000"/>
              </w:rPr>
              <w:t>服务内容</w:t>
            </w:r>
          </w:p>
          <w:p>
            <w:pPr>
              <w:pStyle w:val="null3"/>
              <w:ind w:firstLine="440"/>
              <w:jc w:val="both"/>
            </w:pPr>
            <w:r>
              <w:rPr>
                <w:sz w:val="22"/>
                <w:color w:val="000000"/>
              </w:rPr>
              <w:t>1.由医院保卫科负责监督，中标供应商负责医院内消防、治安、交通等方面的安全保卫服务工作，维护医院工作秩序和安全。</w:t>
            </w:r>
          </w:p>
          <w:p>
            <w:pPr>
              <w:pStyle w:val="null3"/>
              <w:ind w:firstLine="440"/>
              <w:jc w:val="left"/>
            </w:pPr>
            <w:r>
              <w:rPr>
                <w:sz w:val="22"/>
                <w:color w:val="000000"/>
              </w:rPr>
              <w:t>2.负责医院本部及悦来门诊部区域内24小时门卫、守护、巡逻服务、</w:t>
            </w:r>
            <w:r>
              <w:rPr>
                <w:sz w:val="22"/>
                <w:color w:val="000000"/>
              </w:rPr>
              <w:t>院内交通秩序、车辆停放管理服务</w:t>
            </w:r>
            <w:r>
              <w:rPr>
                <w:sz w:val="22"/>
                <w:color w:val="000000"/>
              </w:rPr>
              <w:t>等安全保卫、秩序维护工作，对管理区域内发生的不法侵害、治安和自然灾害事故及时报告采购人并采取措施防止事态扩大。</w:t>
            </w:r>
            <w:r>
              <w:rPr>
                <w:sz w:val="22"/>
                <w:color w:val="000000"/>
              </w:rPr>
              <w:t>保安人员须严格遵守医院安全制度、消防制度及保安工作细则等一切规章制度。</w:t>
            </w:r>
          </w:p>
          <w:p>
            <w:pPr>
              <w:pStyle w:val="null3"/>
              <w:ind w:firstLine="440"/>
              <w:jc w:val="both"/>
            </w:pPr>
            <w:r>
              <w:rPr>
                <w:sz w:val="22"/>
                <w:color w:val="000000"/>
              </w:rPr>
              <w:t>3.负责岐江门诊部及弓箭巷宿舍的日常巡逻服务等安全保卫工作。</w:t>
            </w:r>
          </w:p>
          <w:p>
            <w:pPr>
              <w:pStyle w:val="null3"/>
              <w:ind w:firstLine="440"/>
              <w:jc w:val="left"/>
            </w:pPr>
            <w:r>
              <w:rPr>
                <w:sz w:val="22"/>
                <w:color w:val="000000"/>
              </w:rPr>
              <w:t>4.负责医院的防火、防盗、防破坏、防群体事件和自然灾害防范工作。医院各项设施设备如因服务工作不到位而被盗或被破坏，使医院受到损失时，中标供应商必须承担相应的赔偿责任，并按医院要求进行整改。</w:t>
            </w:r>
          </w:p>
          <w:p>
            <w:pPr>
              <w:pStyle w:val="null3"/>
              <w:ind w:firstLine="440"/>
              <w:jc w:val="left"/>
            </w:pPr>
            <w:r>
              <w:rPr>
                <w:sz w:val="22"/>
                <w:color w:val="000000"/>
              </w:rPr>
              <w:t>5.要求</w:t>
            </w:r>
            <w:r>
              <w:rPr>
                <w:sz w:val="22"/>
                <w:color w:val="000000"/>
              </w:rPr>
              <w:t>保安队伍兼任医院消防队，由医院保卫科组织日常消防检查等工作，发生火灾时，人员由医院保卫科直接调用。在发生火灾、爆炸等突发事件时，按医院《突发事件应急预案》《消防安全应急预案》的要求立即上报，同时第一时间进行安全疏散和维护现场秩序工作，并协助医院其他部门进行抢险救助及善后转移工作。</w:t>
            </w:r>
          </w:p>
          <w:p>
            <w:pPr>
              <w:pStyle w:val="null3"/>
              <w:ind w:firstLine="440"/>
              <w:jc w:val="left"/>
            </w:pPr>
            <w:r>
              <w:rPr>
                <w:sz w:val="22"/>
                <w:color w:val="000000"/>
              </w:rPr>
              <w:t>6.如电梯发生故障、困人等突发事件时，值班保安应迅速赶赴现场，第一时间通知电梯维保人员，及时反映故障电梯的具体方位、电梯编号、停留层数等信息，并立即报告值班领导；按照《电梯紧急处理程序》开展救援工作，维持现场秩序。</w:t>
            </w:r>
          </w:p>
          <w:p>
            <w:pPr>
              <w:pStyle w:val="null3"/>
              <w:ind w:firstLine="440"/>
              <w:jc w:val="left"/>
            </w:pPr>
            <w:r>
              <w:rPr>
                <w:sz w:val="22"/>
                <w:color w:val="000000"/>
              </w:rPr>
              <w:t>7.负责落实医院防火防盗巡查签到制度。落实重点防火部位每2小时1次巡查签到及个别部位每天3次巡查签到。巡查部位路线报医院保卫科审核通过后执行。</w:t>
            </w:r>
          </w:p>
          <w:p>
            <w:pPr>
              <w:pStyle w:val="null3"/>
              <w:ind w:firstLine="440"/>
              <w:jc w:val="left"/>
            </w:pPr>
            <w:r>
              <w:rPr>
                <w:sz w:val="22"/>
                <w:color w:val="000000"/>
              </w:rPr>
              <w:t>8.负责管理进入医院的快递员、送餐员等外来人员；按需配合医院做好悦来门诊部标本运送工作。</w:t>
            </w:r>
          </w:p>
          <w:p>
            <w:pPr>
              <w:pStyle w:val="null3"/>
              <w:ind w:firstLine="440"/>
              <w:jc w:val="left"/>
            </w:pPr>
            <w:r>
              <w:rPr>
                <w:sz w:val="22"/>
                <w:color w:val="000000"/>
              </w:rPr>
              <w:t>9.建立完善的应急处理预案，加强突发事件的处理能力，如出现医闹、医疗纠纷等情况及时协助采购人维持现场秩序，对蓄意扰乱工作秩序、恶意闹事者给予强制性制止，保证医护人员及周围群众的生命财产安全。</w:t>
            </w:r>
          </w:p>
          <w:p>
            <w:pPr>
              <w:pStyle w:val="null3"/>
              <w:ind w:firstLine="440"/>
              <w:jc w:val="left"/>
            </w:pPr>
            <w:r>
              <w:rPr>
                <w:sz w:val="22"/>
                <w:color w:val="000000"/>
              </w:rPr>
              <w:t>10.中标供应商派驻的人员需</w:t>
            </w:r>
            <w:r>
              <w:rPr>
                <w:sz w:val="22"/>
                <w:color w:val="000000"/>
              </w:rPr>
              <w:t>熟悉使用微型消防站内的灭火器、水枪、水带、对讲机、消防头盔、灭火防护服、防护靴、破拆工具等灭火器材，认真落实维护保养工作，设置台账，定期清点消防器材的数量并保证器材完好状态。</w:t>
            </w:r>
          </w:p>
          <w:p>
            <w:pPr>
              <w:pStyle w:val="null3"/>
              <w:ind w:firstLine="440"/>
              <w:jc w:val="left"/>
            </w:pPr>
            <w:r>
              <w:rPr>
                <w:sz w:val="22"/>
                <w:color w:val="000000"/>
              </w:rPr>
              <w:t>11.如出现火灾，在</w:t>
            </w:r>
            <w:r>
              <w:rPr>
                <w:sz w:val="22"/>
                <w:color w:val="000000"/>
              </w:rPr>
              <w:t>接到火警信息后，须在</w:t>
            </w:r>
            <w:r>
              <w:rPr>
                <w:sz w:val="22"/>
                <w:color w:val="000000"/>
              </w:rPr>
              <w:t>1分钟内赶赴现场处置，</w:t>
            </w:r>
            <w:r>
              <w:rPr>
                <w:sz w:val="22"/>
                <w:color w:val="000000"/>
              </w:rPr>
              <w:t>派驻人员需</w:t>
            </w:r>
            <w:r>
              <w:rPr>
                <w:sz w:val="22"/>
                <w:color w:val="000000"/>
              </w:rPr>
              <w:t>熟悉初期火灾扑救和人员疏散程序。</w:t>
            </w:r>
          </w:p>
          <w:p>
            <w:pPr>
              <w:pStyle w:val="null3"/>
              <w:ind w:firstLine="440"/>
              <w:jc w:val="left"/>
            </w:pPr>
            <w:r>
              <w:rPr>
                <w:sz w:val="22"/>
                <w:color w:val="000000"/>
              </w:rPr>
              <w:t>12.消防控制中心须安排24小时专人值班，每班不得少于2人，负责对各类消防监控设备的监视和运用；值班人员应取得公安机关消防机构核发的《自动消防系统操作人员资格证》，须严格遵守消防监控中心的各项安全操作规程和各项消防安全管理制度，确保及时发现并准确处置火灾和故障报警；每日检查火灾报警控制器的自检、消音、复位功能以及主备电源切换功能，及时发现和处理设备故障，并做好系统维修跟进及登记详细工作记录。</w:t>
            </w:r>
          </w:p>
          <w:p>
            <w:pPr>
              <w:pStyle w:val="null3"/>
              <w:ind w:firstLine="440"/>
              <w:jc w:val="left"/>
            </w:pPr>
            <w:r>
              <w:rPr>
                <w:sz w:val="22"/>
                <w:color w:val="000000"/>
              </w:rPr>
              <w:t>13.负责各个特殊位置定时开放时段的看守，包括但不限于：住院楼高楼层、安检入口人员高峰时间、身心健康门诊就诊高峰时间、观光梯后面送货时间、观光梯后面送快餐时间、1号电梯开放时间、16号电梯开放时间。</w:t>
            </w:r>
          </w:p>
          <w:p>
            <w:pPr>
              <w:pStyle w:val="null3"/>
              <w:ind w:firstLine="442"/>
              <w:jc w:val="left"/>
            </w:pPr>
            <w:r>
              <w:rPr>
                <w:sz w:val="22"/>
                <w:b/>
                <w:color w:val="000000"/>
                <w:shd w:fill="DDDDDD" w:val="clear"/>
              </w:rPr>
              <w:t>★14.</w:t>
            </w:r>
            <w:r>
              <w:rPr>
                <w:sz w:val="22"/>
                <w:b/>
                <w:shd w:fill="DDDDDD" w:val="clear"/>
              </w:rPr>
              <w:t>中标供应商应根据采购人需求承接医院现有“汽车服务中心”，并承担相应折旧费用</w:t>
            </w:r>
            <w:r>
              <w:rPr>
                <w:sz w:val="22"/>
                <w:b/>
                <w:shd w:fill="DDDDDD" w:val="clear"/>
              </w:rPr>
              <w:t>87</w:t>
            </w:r>
            <w:r>
              <w:rPr>
                <w:sz w:val="22"/>
                <w:b/>
                <w:shd w:fill="DDDDDD" w:val="clear"/>
              </w:rPr>
              <w:t>,</w:t>
            </w:r>
            <w:r>
              <w:rPr>
                <w:sz w:val="22"/>
                <w:b/>
                <w:shd w:fill="DDDDDD" w:val="clear"/>
              </w:rPr>
              <w:t>840.6</w:t>
            </w:r>
            <w:r>
              <w:rPr>
                <w:sz w:val="22"/>
                <w:b/>
                <w:shd w:fill="DDDDDD" w:val="clear"/>
              </w:rPr>
              <w:t>元</w:t>
            </w:r>
            <w:r>
              <w:rPr>
                <w:sz w:val="22"/>
                <w:b/>
                <w:shd w:fill="DDDDDD" w:val="clear"/>
              </w:rPr>
              <w:t>，</w:t>
            </w:r>
            <w:r>
              <w:rPr>
                <w:sz w:val="22"/>
                <w:b/>
                <w:shd w:fill="DDDDDD" w:val="clear"/>
              </w:rPr>
              <w:t>由中标供应商支付给采购人上一期服务商。汽车服务中心由中标供应商自主运营，自负盈亏。</w:t>
            </w:r>
          </w:p>
          <w:p>
            <w:pPr>
              <w:pStyle w:val="null3"/>
              <w:ind w:firstLine="442"/>
              <w:jc w:val="left"/>
            </w:pPr>
            <w:r>
              <w:rPr>
                <w:sz w:val="22"/>
                <w:b/>
                <w:color w:val="000000"/>
                <w:shd w:fill="DDDDDD" w:val="clear"/>
              </w:rPr>
              <w:t>★15.服务期内，中标供应商须为本项目购买停车场公众责任险，累计赔偿限额不少于 1000万元/年，每次事故赔偿限额不少于100万元。在本项目停车场区域内，因中标供应商过失导致的车辆剐蹭被损、被盗的，由保险公司和中标供应商承担赔偿责任。</w:t>
            </w:r>
          </w:p>
          <w:p>
            <w:pPr>
              <w:pStyle w:val="null3"/>
              <w:ind w:firstLine="442"/>
              <w:jc w:val="left"/>
            </w:pPr>
            <w:r>
              <w:rPr>
                <w:sz w:val="22"/>
                <w:b/>
                <w:color w:val="000000"/>
                <w:shd w:fill="DDDDDD" w:val="clear"/>
              </w:rPr>
              <w:t>★16.服务期内，中标供应商负责本项目停车场“车位引导系统”和“停车管理系统”的维修维护，并承担所产生的一切费用（包括但不限于零配件），设备老化严重无法维修须更新的除外。</w:t>
            </w:r>
          </w:p>
          <w:p>
            <w:pPr>
              <w:pStyle w:val="null3"/>
              <w:ind w:firstLine="440"/>
              <w:jc w:val="left"/>
            </w:pPr>
            <w:r>
              <w:rPr>
                <w:sz w:val="22"/>
                <w:color w:val="000000"/>
              </w:rPr>
              <w:t>17.完成采购人交办的其他工作任务。如遇突发事件，视事件级别和影响程度增配队员，被安排队员必须无条件服从安排，如事件紧急、影响重大，如有需要则安排全部队员到岗参与处突工作。</w:t>
            </w:r>
          </w:p>
          <w:p>
            <w:pPr>
              <w:pStyle w:val="null3"/>
              <w:jc w:val="both"/>
            </w:pPr>
            <w:r>
              <w:rPr>
                <w:sz w:val="22"/>
                <w:b/>
                <w:color w:val="000000"/>
              </w:rPr>
              <w:t>三、服务岗位设置</w:t>
            </w:r>
          </w:p>
          <w:p>
            <w:pPr>
              <w:pStyle w:val="null3"/>
              <w:jc w:val="both"/>
            </w:pPr>
            <w:r>
              <w:rPr>
                <w:sz w:val="22"/>
                <w:color w:val="000000"/>
              </w:rPr>
              <w:t xml:space="preserve"> </w:t>
            </w:r>
            <w:r>
              <w:rPr>
                <w:sz w:val="22"/>
                <w:color w:val="000000"/>
              </w:rPr>
              <w:t>1.医院本部保安岗位</w:t>
            </w:r>
          </w:p>
          <w:tbl>
            <w:tblPr>
              <w:tblBorders>
                <w:top w:val="none" w:color="000000" w:sz="4"/>
                <w:left w:val="none" w:color="000000" w:sz="4"/>
                <w:bottom w:val="none" w:color="000000" w:sz="4"/>
                <w:right w:val="none" w:color="000000" w:sz="4"/>
                <w:insideH w:val="none"/>
                <w:insideV w:val="none"/>
              </w:tblBorders>
            </w:tblPr>
            <w:tblGrid>
              <w:gridCol w:w="525"/>
              <w:gridCol w:w="1203"/>
              <w:gridCol w:w="935"/>
              <w:gridCol w:w="980"/>
              <w:gridCol w:w="935"/>
              <w:gridCol w:w="998"/>
            </w:tblGrid>
            <w:tr>
              <w:tc>
                <w:tcPr>
                  <w:tcW w:type="dxa" w:w="525"/>
                  <w:tcBorders>
                    <w:top w:val="single" w:color="000000" w:sz="8"/>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序号</w:t>
                  </w:r>
                </w:p>
              </w:tc>
              <w:tc>
                <w:tcPr>
                  <w:tcW w:type="dxa" w:w="1203"/>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岗</w:t>
                  </w:r>
                  <w:r>
                    <w:rPr>
                      <w:sz w:val="22"/>
                      <w:color w:val="000000"/>
                    </w:rPr>
                    <w:t>位</w:t>
                  </w:r>
                </w:p>
              </w:tc>
              <w:tc>
                <w:tcPr>
                  <w:tcW w:type="dxa" w:w="935"/>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早班（</w:t>
                  </w:r>
                  <w:r>
                    <w:rPr>
                      <w:sz w:val="22"/>
                      <w:color w:val="000000"/>
                    </w:rPr>
                    <w:t>7点至15点）</w:t>
                  </w:r>
                </w:p>
              </w:tc>
              <w:tc>
                <w:tcPr>
                  <w:tcW w:type="dxa" w:w="980"/>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中班（</w:t>
                  </w:r>
                  <w:r>
                    <w:rPr>
                      <w:sz w:val="22"/>
                      <w:color w:val="000000"/>
                    </w:rPr>
                    <w:t>15点至23点）</w:t>
                  </w:r>
                </w:p>
              </w:tc>
              <w:tc>
                <w:tcPr>
                  <w:tcW w:type="dxa" w:w="935"/>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夜班（</w:t>
                  </w:r>
                  <w:r>
                    <w:rPr>
                      <w:sz w:val="22"/>
                      <w:color w:val="000000"/>
                    </w:rPr>
                    <w:t>23点至7点）</w:t>
                  </w:r>
                </w:p>
              </w:tc>
              <w:tc>
                <w:tcPr>
                  <w:tcW w:type="dxa" w:w="998"/>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服务岗位总数</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项目经理</w:t>
                  </w:r>
                </w:p>
              </w:tc>
              <w:tc>
                <w:tcPr>
                  <w:tcW w:type="dxa" w:w="2850"/>
                  <w:gridSpan w:val="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1人（周一至周五，8：00-12：00、14：00-18：00）</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项目主管</w:t>
                  </w:r>
                </w:p>
              </w:tc>
              <w:tc>
                <w:tcPr>
                  <w:tcW w:type="dxa" w:w="2850"/>
                  <w:gridSpan w:val="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1人（周一至周五，8：00-12：00、14：00-18：00）</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3</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文化馆</w:t>
                  </w:r>
                </w:p>
              </w:tc>
              <w:tc>
                <w:tcPr>
                  <w:tcW w:type="dxa" w:w="2850"/>
                  <w:gridSpan w:val="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1人（周一至周五，9：00-17：00）</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住院部</w:t>
                  </w:r>
                  <w:r>
                    <w:rPr>
                      <w:sz w:val="22"/>
                      <w:color w:val="000000"/>
                    </w:rPr>
                    <w:t>14至19楼</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35"/>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98"/>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5</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住院部</w:t>
                  </w:r>
                  <w:r>
                    <w:rPr>
                      <w:sz w:val="22"/>
                      <w:color w:val="000000"/>
                    </w:rPr>
                    <w:t>5至12楼</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6</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住院部</w:t>
                  </w:r>
                  <w:r>
                    <w:rPr>
                      <w:sz w:val="22"/>
                      <w:color w:val="000000"/>
                    </w:rPr>
                    <w:t>13层</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7</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住院部入口安检岗</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4（6点至14点）</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2（14点至22点）</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1（22点至6点）</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9.55</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8</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住院部北面观光梯岗</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5.45</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9</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超市通道安检岗</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0.5（15点至19点）</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2.05</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10</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住院部负一楼入口安检岗</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2（6点至14点）</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2（14点至22点）</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5.45</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11</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门诊部入口安检岗</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8.18</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12</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行政楼大堂岗</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0.5（15点至19点）</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2.05</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13</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门诊部南入口安检岗</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1.5</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8.86</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14</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急诊科护士站岗</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15</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急诊入口安检岗</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13.</w:t>
                  </w:r>
                  <w:r>
                    <w:rPr>
                      <w:sz w:val="22"/>
                      <w:color w:val="000000"/>
                    </w:rPr>
                    <w:t>64</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16</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发热门诊岗</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2（15点至22点）</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6.82</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17</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17、18号电梯负一楼安检岗</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8.18</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18</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19、20号电梯负一楼安检岗</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19</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学生宿舍一楼岗</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20</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消防监控设备检查岗</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1.36</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21</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消防控制中心</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8.18</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22</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微型消防站巡逻岗</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16.36</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23</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护院队</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13.64</w:t>
                  </w:r>
                </w:p>
              </w:tc>
            </w:tr>
            <w:tr>
              <w:tc>
                <w:tcPr>
                  <w:tcW w:type="dxa" w:w="52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24</w:t>
                  </w:r>
                </w:p>
              </w:tc>
              <w:tc>
                <w:tcPr>
                  <w:tcW w:type="dxa" w:w="120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班长</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8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4578"/>
                  <w:gridSpan w:val="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合计</w:t>
                  </w:r>
                </w:p>
              </w:tc>
              <w:tc>
                <w:tcPr>
                  <w:tcW w:type="dxa" w:w="9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141.40</w:t>
                  </w:r>
                </w:p>
              </w:tc>
            </w:tr>
          </w:tbl>
          <w:p>
            <w:pPr>
              <w:pStyle w:val="null3"/>
              <w:jc w:val="left"/>
            </w:pPr>
            <w:r>
              <w:rPr>
                <w:sz w:val="22"/>
                <w:color w:val="000000"/>
              </w:rPr>
              <w:t>备注：按每周</w:t>
            </w:r>
            <w:r>
              <w:rPr>
                <w:sz w:val="22"/>
                <w:color w:val="000000"/>
              </w:rPr>
              <w:t>5天,每天8小时进行设岗，</w:t>
            </w:r>
            <w:r>
              <w:rPr>
                <w:sz w:val="22"/>
                <w:color w:val="000000"/>
              </w:rPr>
              <w:t>服务</w:t>
            </w:r>
            <w:r>
              <w:rPr>
                <w:sz w:val="22"/>
                <w:color w:val="000000"/>
              </w:rPr>
              <w:t>岗位总数</w:t>
            </w:r>
            <w:r>
              <w:rPr>
                <w:sz w:val="22"/>
                <w:color w:val="000000"/>
              </w:rPr>
              <w:t>共</w:t>
            </w:r>
            <w:r>
              <w:rPr>
                <w:sz w:val="22"/>
                <w:color w:val="000000"/>
              </w:rPr>
              <w:t>141。</w:t>
            </w:r>
          </w:p>
          <w:p>
            <w:pPr>
              <w:pStyle w:val="null3"/>
              <w:jc w:val="left"/>
            </w:pPr>
            <w:r>
              <w:rPr>
                <w:sz w:val="22"/>
                <w:color w:val="000000"/>
              </w:rPr>
              <w:t>2.</w:t>
            </w:r>
            <w:r>
              <w:rPr>
                <w:sz w:val="22"/>
                <w:color w:val="000000"/>
              </w:rPr>
              <w:t>停车管理岗位</w:t>
            </w:r>
          </w:p>
          <w:tbl>
            <w:tblPr>
              <w:tblBorders>
                <w:top w:val="none" w:color="000000" w:sz="4"/>
                <w:left w:val="none" w:color="000000" w:sz="4"/>
                <w:bottom w:val="none" w:color="000000" w:sz="4"/>
                <w:right w:val="none" w:color="000000" w:sz="4"/>
                <w:insideH w:val="none"/>
                <w:insideV w:val="none"/>
              </w:tblBorders>
            </w:tblPr>
            <w:tblGrid>
              <w:gridCol w:w="408"/>
              <w:gridCol w:w="1235"/>
              <w:gridCol w:w="1084"/>
              <w:gridCol w:w="1075"/>
              <w:gridCol w:w="817"/>
              <w:gridCol w:w="959"/>
            </w:tblGrid>
            <w:tr>
              <w:tc>
                <w:tcPr>
                  <w:tcW w:type="dxa" w:w="408"/>
                  <w:tcBorders>
                    <w:top w:val="single" w:color="000000" w:sz="8"/>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序号</w:t>
                  </w:r>
                </w:p>
              </w:tc>
              <w:tc>
                <w:tcPr>
                  <w:tcW w:type="dxa" w:w="1235"/>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岗</w:t>
                  </w:r>
                  <w:r>
                    <w:rPr>
                      <w:sz w:val="22"/>
                      <w:color w:val="000000"/>
                    </w:rPr>
                    <w:t>位</w:t>
                  </w:r>
                </w:p>
              </w:tc>
              <w:tc>
                <w:tcPr>
                  <w:tcW w:type="dxa" w:w="1084"/>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早班（</w:t>
                  </w:r>
                  <w:r>
                    <w:rPr>
                      <w:sz w:val="22"/>
                      <w:color w:val="000000"/>
                    </w:rPr>
                    <w:t>7点至15点）</w:t>
                  </w:r>
                </w:p>
              </w:tc>
              <w:tc>
                <w:tcPr>
                  <w:tcW w:type="dxa" w:w="1075"/>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中班（</w:t>
                  </w:r>
                  <w:r>
                    <w:rPr>
                      <w:sz w:val="22"/>
                      <w:color w:val="000000"/>
                    </w:rPr>
                    <w:t>15点至23点）</w:t>
                  </w:r>
                </w:p>
              </w:tc>
              <w:tc>
                <w:tcPr>
                  <w:tcW w:type="dxa" w:w="817"/>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夜班（</w:t>
                  </w:r>
                  <w:r>
                    <w:rPr>
                      <w:sz w:val="22"/>
                      <w:color w:val="000000"/>
                    </w:rPr>
                    <w:t>23点至7点）</w:t>
                  </w:r>
                </w:p>
              </w:tc>
              <w:tc>
                <w:tcPr>
                  <w:tcW w:type="dxa" w:w="959"/>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服务岗位总数</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东</w:t>
                  </w:r>
                  <w:r>
                    <w:rPr>
                      <w:sz w:val="22"/>
                      <w:color w:val="000000"/>
                    </w:rPr>
                    <w:t>1门收费岗</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东</w:t>
                  </w:r>
                  <w:r>
                    <w:rPr>
                      <w:sz w:val="22"/>
                      <w:color w:val="000000"/>
                    </w:rPr>
                    <w:t>2门收费岗</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3</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南门收费岗</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西门收费岗</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5</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住院部门口路面</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6</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急诊门口路面</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2.73</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7</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门诊门口路面</w:t>
                  </w:r>
                  <w:r>
                    <w:rPr>
                      <w:sz w:val="22"/>
                      <w:color w:val="000000"/>
                    </w:rPr>
                    <w:t>1</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1.36</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8</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门诊门口路面</w:t>
                  </w:r>
                  <w:r>
                    <w:rPr>
                      <w:sz w:val="22"/>
                      <w:color w:val="000000"/>
                    </w:rPr>
                    <w:t>2</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7:00至12:00；14：00至17:00</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1.36</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9</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停车楼入口</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7:00至12:00；14：00至17:00</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1.36</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10</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地库</w:t>
                  </w:r>
                  <w:r>
                    <w:rPr>
                      <w:sz w:val="22"/>
                      <w:color w:val="000000"/>
                    </w:rPr>
                    <w:t>C出入口</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0.5（5小时）</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7:00至12:00</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0.68</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11</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篮球场交叉路口</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7:00至12:00；14：00至17:00</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1.36</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12</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行政楼交叉路口</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7:00至12:00；14：00至17:00</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1.36</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13</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地库</w:t>
                  </w:r>
                  <w:r>
                    <w:rPr>
                      <w:sz w:val="22"/>
                      <w:color w:val="000000"/>
                    </w:rPr>
                    <w:t>A入口</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7:00至12:00；14：00至17:00</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1.36</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14</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地库</w:t>
                  </w:r>
                  <w:r>
                    <w:rPr>
                      <w:sz w:val="22"/>
                      <w:color w:val="000000"/>
                    </w:rPr>
                    <w:t>B出口</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0.5（4小时）</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8:00至12:00</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0.68</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15</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地库巡逻引导</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2.73</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16</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西北角路面</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17</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北面单车棚</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18</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地库</w:t>
                  </w:r>
                  <w:r>
                    <w:rPr>
                      <w:sz w:val="22"/>
                      <w:color w:val="000000"/>
                    </w:rPr>
                    <w:t>A区</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19</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西门车场出口岗</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4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20</w:t>
                  </w:r>
                </w:p>
              </w:tc>
              <w:tc>
                <w:tcPr>
                  <w:tcW w:type="dxa" w:w="123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悦来门诊门口出口收费岗</w:t>
                  </w:r>
                </w:p>
              </w:tc>
              <w:tc>
                <w:tcPr>
                  <w:tcW w:type="dxa" w:w="108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7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81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1.36</w:t>
                  </w:r>
                </w:p>
              </w:tc>
            </w:tr>
            <w:tr>
              <w:tc>
                <w:tcPr>
                  <w:tcW w:type="dxa" w:w="4619"/>
                  <w:gridSpan w:val="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合计</w:t>
                  </w:r>
                </w:p>
              </w:tc>
              <w:tc>
                <w:tcPr>
                  <w:tcW w:type="dxa" w:w="95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53.15</w:t>
                  </w:r>
                </w:p>
              </w:tc>
            </w:tr>
          </w:tbl>
          <w:p>
            <w:pPr>
              <w:pStyle w:val="null3"/>
              <w:jc w:val="left"/>
            </w:pPr>
            <w:r>
              <w:rPr>
                <w:sz w:val="22"/>
                <w:color w:val="000000"/>
              </w:rPr>
              <w:t>备注：按每周</w:t>
            </w:r>
            <w:r>
              <w:rPr>
                <w:sz w:val="22"/>
                <w:color w:val="000000"/>
              </w:rPr>
              <w:t>5天，每天8小时进行设岗，服务岗位总数共53。</w:t>
            </w:r>
          </w:p>
          <w:p>
            <w:pPr>
              <w:pStyle w:val="null3"/>
              <w:jc w:val="left"/>
            </w:pPr>
            <w:r>
              <w:rPr>
                <w:sz w:val="22"/>
                <w:color w:val="000000"/>
              </w:rPr>
              <w:t>3.</w:t>
            </w:r>
            <w:r>
              <w:rPr>
                <w:sz w:val="22"/>
                <w:color w:val="000000"/>
              </w:rPr>
              <w:t>悦来门诊部</w:t>
            </w:r>
            <w:r>
              <w:rPr>
                <w:sz w:val="22"/>
                <w:color w:val="000000"/>
              </w:rPr>
              <w:t>保安岗位</w:t>
            </w:r>
          </w:p>
          <w:tbl>
            <w:tblPr>
              <w:tblBorders>
                <w:top w:val="none" w:color="000000" w:sz="4"/>
                <w:left w:val="none" w:color="000000" w:sz="4"/>
                <w:bottom w:val="none" w:color="000000" w:sz="4"/>
                <w:right w:val="none" w:color="000000" w:sz="4"/>
                <w:insideH w:val="none"/>
                <w:insideV w:val="none"/>
              </w:tblBorders>
            </w:tblPr>
            <w:tblGrid>
              <w:gridCol w:w="586"/>
              <w:gridCol w:w="1005"/>
              <w:gridCol w:w="1030"/>
              <w:gridCol w:w="804"/>
              <w:gridCol w:w="829"/>
              <w:gridCol w:w="762"/>
              <w:gridCol w:w="544"/>
            </w:tblGrid>
            <w:tr>
              <w:tc>
                <w:tcPr>
                  <w:tcW w:type="dxa" w:w="586"/>
                  <w:tcBorders>
                    <w:top w:val="single" w:color="000000" w:sz="8"/>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序号</w:t>
                  </w:r>
                </w:p>
              </w:tc>
              <w:tc>
                <w:tcPr>
                  <w:tcW w:type="dxa" w:w="1005"/>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岗位</w:t>
                  </w:r>
                </w:p>
              </w:tc>
              <w:tc>
                <w:tcPr>
                  <w:tcW w:type="dxa" w:w="1030"/>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both"/>
                  </w:pPr>
                  <w:r>
                    <w:rPr>
                      <w:sz w:val="22"/>
                      <w:color w:val="000000"/>
                    </w:rPr>
                    <w:t>早班（</w:t>
                  </w:r>
                  <w:r>
                    <w:rPr>
                      <w:sz w:val="22"/>
                      <w:color w:val="000000"/>
                    </w:rPr>
                    <w:t>7点至15点）</w:t>
                  </w:r>
                </w:p>
              </w:tc>
              <w:tc>
                <w:tcPr>
                  <w:tcW w:type="dxa" w:w="804"/>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中班（</w:t>
                  </w:r>
                  <w:r>
                    <w:rPr>
                      <w:sz w:val="22"/>
                      <w:color w:val="000000"/>
                    </w:rPr>
                    <w:t>15点至23点）</w:t>
                  </w:r>
                </w:p>
              </w:tc>
              <w:tc>
                <w:tcPr>
                  <w:tcW w:type="dxa" w:w="829"/>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夜班（</w:t>
                  </w:r>
                  <w:r>
                    <w:rPr>
                      <w:sz w:val="22"/>
                      <w:color w:val="000000"/>
                    </w:rPr>
                    <w:t>23点至7点）</w:t>
                  </w:r>
                </w:p>
              </w:tc>
              <w:tc>
                <w:tcPr>
                  <w:tcW w:type="dxa" w:w="762"/>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上岗时间</w:t>
                  </w:r>
                </w:p>
              </w:tc>
              <w:tc>
                <w:tcPr>
                  <w:tcW w:type="dxa" w:w="544"/>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服务岗位总数</w:t>
                  </w:r>
                </w:p>
              </w:tc>
            </w:tr>
            <w:tr>
              <w:tc>
                <w:tcPr>
                  <w:tcW w:type="dxa" w:w="5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消防监控中心岗</w:t>
                  </w:r>
                </w:p>
              </w:tc>
              <w:tc>
                <w:tcPr>
                  <w:tcW w:type="dxa" w:w="103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80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8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7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周一至周日</w:t>
                  </w:r>
                </w:p>
              </w:tc>
              <w:tc>
                <w:tcPr>
                  <w:tcW w:type="dxa" w:w="5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8.18</w:t>
                  </w:r>
                </w:p>
              </w:tc>
            </w:tr>
            <w:tr>
              <w:tc>
                <w:tcPr>
                  <w:tcW w:type="dxa" w:w="5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1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门诊大厅</w:t>
                  </w:r>
                </w:p>
              </w:tc>
              <w:tc>
                <w:tcPr>
                  <w:tcW w:type="dxa" w:w="103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0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7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周一至周六</w:t>
                  </w:r>
                </w:p>
              </w:tc>
              <w:tc>
                <w:tcPr>
                  <w:tcW w:type="dxa" w:w="5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2.36</w:t>
                  </w:r>
                </w:p>
              </w:tc>
            </w:tr>
            <w:tr>
              <w:tc>
                <w:tcPr>
                  <w:tcW w:type="dxa" w:w="5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3</w:t>
                  </w:r>
                </w:p>
              </w:tc>
              <w:tc>
                <w:tcPr>
                  <w:tcW w:type="dxa" w:w="1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门诊入口安检岗</w:t>
                  </w:r>
                </w:p>
              </w:tc>
              <w:tc>
                <w:tcPr>
                  <w:tcW w:type="dxa" w:w="2663"/>
                  <w:gridSpan w:val="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2人（8:00至12:30、14：30至18:00）</w:t>
                  </w:r>
                </w:p>
              </w:tc>
              <w:tc>
                <w:tcPr>
                  <w:tcW w:type="dxa" w:w="7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周一至周六</w:t>
                  </w:r>
                </w:p>
              </w:tc>
              <w:tc>
                <w:tcPr>
                  <w:tcW w:type="dxa" w:w="5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2.36</w:t>
                  </w:r>
                </w:p>
              </w:tc>
            </w:tr>
            <w:tr>
              <w:tc>
                <w:tcPr>
                  <w:tcW w:type="dxa" w:w="5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w:t>
                  </w:r>
                </w:p>
              </w:tc>
              <w:tc>
                <w:tcPr>
                  <w:tcW w:type="dxa" w:w="1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标本护送</w:t>
                  </w:r>
                  <w:r>
                    <w:rPr>
                      <w:sz w:val="22"/>
                      <w:color w:val="000000"/>
                    </w:rPr>
                    <w:t>岗</w:t>
                  </w:r>
                </w:p>
              </w:tc>
              <w:tc>
                <w:tcPr>
                  <w:tcW w:type="dxa" w:w="2663"/>
                  <w:gridSpan w:val="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2人（8:00至12:30、14：30至18:00）</w:t>
                  </w:r>
                </w:p>
              </w:tc>
              <w:tc>
                <w:tcPr>
                  <w:tcW w:type="dxa" w:w="7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周一至周六</w:t>
                  </w:r>
                </w:p>
              </w:tc>
              <w:tc>
                <w:tcPr>
                  <w:tcW w:type="dxa" w:w="5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2.36</w:t>
                  </w:r>
                </w:p>
              </w:tc>
            </w:tr>
            <w:tr>
              <w:tc>
                <w:tcPr>
                  <w:tcW w:type="dxa" w:w="5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5</w:t>
                  </w:r>
                </w:p>
              </w:tc>
              <w:tc>
                <w:tcPr>
                  <w:tcW w:type="dxa" w:w="1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外围大门岗</w:t>
                  </w:r>
                </w:p>
              </w:tc>
              <w:tc>
                <w:tcPr>
                  <w:tcW w:type="dxa" w:w="103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0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762"/>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周一至周日</w:t>
                  </w:r>
                </w:p>
              </w:tc>
              <w:tc>
                <w:tcPr>
                  <w:tcW w:type="dxa" w:w="544"/>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5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6</w:t>
                  </w:r>
                </w:p>
              </w:tc>
              <w:tc>
                <w:tcPr>
                  <w:tcW w:type="dxa" w:w="1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项目副主管</w:t>
                  </w:r>
                </w:p>
              </w:tc>
              <w:tc>
                <w:tcPr>
                  <w:tcW w:type="dxa" w:w="2663"/>
                  <w:gridSpan w:val="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1人（8：00-12：00、14：00-18：00）</w:t>
                  </w:r>
                </w:p>
              </w:tc>
              <w:tc>
                <w:tcPr>
                  <w:tcW w:type="dxa" w:w="7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周一至周五</w:t>
                  </w:r>
                </w:p>
              </w:tc>
              <w:tc>
                <w:tcPr>
                  <w:tcW w:type="dxa" w:w="5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r>
            <w:tr>
              <w:tc>
                <w:tcPr>
                  <w:tcW w:type="dxa" w:w="5016"/>
                  <w:gridSpan w:val="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合计</w:t>
                  </w:r>
                </w:p>
              </w:tc>
              <w:tc>
                <w:tcPr>
                  <w:tcW w:type="dxa" w:w="5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20.35</w:t>
                  </w:r>
                </w:p>
              </w:tc>
            </w:tr>
          </w:tbl>
          <w:p>
            <w:pPr>
              <w:pStyle w:val="null3"/>
              <w:jc w:val="left"/>
            </w:pPr>
            <w:r>
              <w:rPr>
                <w:sz w:val="22"/>
                <w:color w:val="000000"/>
              </w:rPr>
              <w:t>备注：（</w:t>
            </w:r>
            <w:r>
              <w:rPr>
                <w:sz w:val="22"/>
                <w:color w:val="000000"/>
              </w:rPr>
              <w:t>1）按每周5天</w:t>
            </w:r>
            <w:r>
              <w:rPr>
                <w:sz w:val="22"/>
                <w:color w:val="000000"/>
              </w:rPr>
              <w:t>，每天</w:t>
            </w:r>
            <w:r>
              <w:rPr>
                <w:sz w:val="22"/>
                <w:color w:val="000000"/>
              </w:rPr>
              <w:t>8小时进行设岗，</w:t>
            </w:r>
            <w:r>
              <w:rPr>
                <w:sz w:val="22"/>
                <w:color w:val="000000"/>
              </w:rPr>
              <w:t>服务岗位总数</w:t>
            </w:r>
            <w:r>
              <w:rPr>
                <w:sz w:val="22"/>
                <w:color w:val="000000"/>
              </w:rPr>
              <w:t>共</w:t>
            </w:r>
            <w:r>
              <w:rPr>
                <w:sz w:val="22"/>
                <w:color w:val="000000"/>
              </w:rPr>
              <w:t>20。</w:t>
            </w:r>
          </w:p>
          <w:p>
            <w:pPr>
              <w:pStyle w:val="null3"/>
              <w:jc w:val="left"/>
            </w:pPr>
            <w:r>
              <w:rPr>
                <w:sz w:val="22"/>
                <w:color w:val="000000"/>
              </w:rPr>
              <w:t>（</w:t>
            </w:r>
            <w:r>
              <w:rPr>
                <w:sz w:val="22"/>
                <w:color w:val="000000"/>
              </w:rPr>
              <w:t>2）兼顾</w:t>
            </w:r>
            <w:r>
              <w:rPr>
                <w:sz w:val="22"/>
                <w:color w:val="000000"/>
              </w:rPr>
              <w:t>岐江门诊部及弓箭巷宿舍的日常巡逻服务等安全保卫工作。</w:t>
            </w:r>
          </w:p>
          <w:p>
            <w:pPr>
              <w:pStyle w:val="null3"/>
              <w:jc w:val="left"/>
            </w:pPr>
            <w:r>
              <w:rPr>
                <w:sz w:val="22"/>
                <w:color w:val="000000"/>
              </w:rPr>
              <w:t>4.</w:t>
            </w:r>
            <w:r>
              <w:rPr>
                <w:sz w:val="22"/>
                <w:color w:val="000000"/>
              </w:rPr>
              <w:t>综合楼保安岗位</w:t>
            </w:r>
          </w:p>
          <w:tbl>
            <w:tblPr>
              <w:tblBorders>
                <w:top w:val="none" w:color="000000" w:sz="4"/>
                <w:left w:val="none" w:color="000000" w:sz="4"/>
                <w:bottom w:val="none" w:color="000000" w:sz="4"/>
                <w:right w:val="none" w:color="000000" w:sz="4"/>
                <w:insideH w:val="none"/>
                <w:insideV w:val="none"/>
              </w:tblBorders>
            </w:tblPr>
            <w:tblGrid>
              <w:gridCol w:w="406"/>
              <w:gridCol w:w="1470"/>
              <w:gridCol w:w="1121"/>
              <w:gridCol w:w="921"/>
              <w:gridCol w:w="888"/>
              <w:gridCol w:w="772"/>
            </w:tblGrid>
            <w:tr>
              <w:tc>
                <w:tcPr>
                  <w:tcW w:type="dxa" w:w="406"/>
                  <w:tcBorders>
                    <w:top w:val="single" w:color="000000" w:sz="8"/>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序号</w:t>
                  </w:r>
                </w:p>
              </w:tc>
              <w:tc>
                <w:tcPr>
                  <w:tcW w:type="dxa" w:w="1470"/>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岗</w:t>
                  </w:r>
                  <w:r>
                    <w:rPr>
                      <w:sz w:val="22"/>
                      <w:color w:val="000000"/>
                    </w:rPr>
                    <w:t>位</w:t>
                  </w:r>
                </w:p>
              </w:tc>
              <w:tc>
                <w:tcPr>
                  <w:tcW w:type="dxa" w:w="1121"/>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早班（</w:t>
                  </w:r>
                  <w:r>
                    <w:rPr>
                      <w:sz w:val="22"/>
                      <w:color w:val="000000"/>
                    </w:rPr>
                    <w:t>7点至15点）</w:t>
                  </w:r>
                </w:p>
              </w:tc>
              <w:tc>
                <w:tcPr>
                  <w:tcW w:type="dxa" w:w="921"/>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中班（</w:t>
                  </w:r>
                  <w:r>
                    <w:rPr>
                      <w:sz w:val="22"/>
                      <w:color w:val="000000"/>
                    </w:rPr>
                    <w:t>15点至23点）</w:t>
                  </w:r>
                </w:p>
              </w:tc>
              <w:tc>
                <w:tcPr>
                  <w:tcW w:type="dxa" w:w="888"/>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夜班（</w:t>
                  </w:r>
                  <w:r>
                    <w:rPr>
                      <w:sz w:val="22"/>
                      <w:color w:val="000000"/>
                    </w:rPr>
                    <w:t>23点至7点）</w:t>
                  </w:r>
                </w:p>
              </w:tc>
              <w:tc>
                <w:tcPr>
                  <w:tcW w:type="dxa" w:w="772"/>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服务岗位总数</w:t>
                  </w:r>
                </w:p>
              </w:tc>
            </w:tr>
            <w:tr>
              <w:tc>
                <w:tcPr>
                  <w:tcW w:type="dxa" w:w="40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47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综合楼</w:t>
                  </w:r>
                  <w:r>
                    <w:rPr>
                      <w:sz w:val="22"/>
                      <w:color w:val="000000"/>
                    </w:rPr>
                    <w:t>12至17楼</w:t>
                  </w:r>
                </w:p>
              </w:tc>
              <w:tc>
                <w:tcPr>
                  <w:tcW w:type="dxa" w:w="112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2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77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40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147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综合楼</w:t>
                  </w:r>
                  <w:r>
                    <w:rPr>
                      <w:sz w:val="22"/>
                      <w:color w:val="000000"/>
                    </w:rPr>
                    <w:t>6至11楼</w:t>
                  </w:r>
                </w:p>
              </w:tc>
              <w:tc>
                <w:tcPr>
                  <w:tcW w:type="dxa" w:w="112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2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77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4.09</w:t>
                  </w:r>
                </w:p>
              </w:tc>
            </w:tr>
            <w:tr>
              <w:tc>
                <w:tcPr>
                  <w:tcW w:type="dxa" w:w="40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3</w:t>
                  </w:r>
                </w:p>
              </w:tc>
              <w:tc>
                <w:tcPr>
                  <w:tcW w:type="dxa" w:w="147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综合楼</w:t>
                  </w:r>
                  <w:r>
                    <w:rPr>
                      <w:sz w:val="22"/>
                      <w:color w:val="000000"/>
                    </w:rPr>
                    <w:t>2至5楼</w:t>
                  </w:r>
                </w:p>
              </w:tc>
              <w:tc>
                <w:tcPr>
                  <w:tcW w:type="dxa" w:w="112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92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8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77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2.73</w:t>
                  </w:r>
                </w:p>
              </w:tc>
            </w:tr>
            <w:tr>
              <w:tc>
                <w:tcPr>
                  <w:tcW w:type="dxa" w:w="40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w:t>
                  </w:r>
                </w:p>
              </w:tc>
              <w:tc>
                <w:tcPr>
                  <w:tcW w:type="dxa" w:w="147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综合楼</w:t>
                  </w:r>
                  <w:r>
                    <w:rPr>
                      <w:sz w:val="22"/>
                      <w:color w:val="000000"/>
                    </w:rPr>
                    <w:t>1楼入口安检岗</w:t>
                  </w:r>
                </w:p>
              </w:tc>
              <w:tc>
                <w:tcPr>
                  <w:tcW w:type="dxa" w:w="112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4（6点至14点）</w:t>
                  </w:r>
                </w:p>
              </w:tc>
              <w:tc>
                <w:tcPr>
                  <w:tcW w:type="dxa" w:w="92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2（14点至22点）</w:t>
                  </w:r>
                </w:p>
              </w:tc>
              <w:tc>
                <w:tcPr>
                  <w:tcW w:type="dxa" w:w="8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2（22点至6点）</w:t>
                  </w:r>
                </w:p>
              </w:tc>
              <w:tc>
                <w:tcPr>
                  <w:tcW w:type="dxa" w:w="77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10.90</w:t>
                  </w:r>
                </w:p>
              </w:tc>
            </w:tr>
            <w:tr>
              <w:tc>
                <w:tcPr>
                  <w:tcW w:type="dxa" w:w="40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5</w:t>
                  </w:r>
                </w:p>
              </w:tc>
              <w:tc>
                <w:tcPr>
                  <w:tcW w:type="dxa" w:w="147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综合楼负</w:t>
                  </w:r>
                  <w:r>
                    <w:rPr>
                      <w:sz w:val="22"/>
                      <w:color w:val="000000"/>
                    </w:rPr>
                    <w:t>1楼安检岗</w:t>
                  </w:r>
                </w:p>
              </w:tc>
              <w:tc>
                <w:tcPr>
                  <w:tcW w:type="dxa" w:w="112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2（6点至14点）</w:t>
                  </w:r>
                </w:p>
              </w:tc>
              <w:tc>
                <w:tcPr>
                  <w:tcW w:type="dxa" w:w="92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2（14点至22点）</w:t>
                  </w:r>
                </w:p>
              </w:tc>
              <w:tc>
                <w:tcPr>
                  <w:tcW w:type="dxa" w:w="8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77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5.45</w:t>
                  </w:r>
                </w:p>
              </w:tc>
            </w:tr>
            <w:tr>
              <w:tc>
                <w:tcPr>
                  <w:tcW w:type="dxa" w:w="40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6</w:t>
                  </w:r>
                </w:p>
              </w:tc>
              <w:tc>
                <w:tcPr>
                  <w:tcW w:type="dxa" w:w="147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综合楼负</w:t>
                  </w:r>
                  <w:r>
                    <w:rPr>
                      <w:sz w:val="22"/>
                      <w:color w:val="000000"/>
                    </w:rPr>
                    <w:t>2楼安检岗</w:t>
                  </w:r>
                </w:p>
              </w:tc>
              <w:tc>
                <w:tcPr>
                  <w:tcW w:type="dxa" w:w="112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2（6点至14点）</w:t>
                  </w:r>
                </w:p>
              </w:tc>
              <w:tc>
                <w:tcPr>
                  <w:tcW w:type="dxa" w:w="92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2（14点至22点）</w:t>
                  </w:r>
                </w:p>
              </w:tc>
              <w:tc>
                <w:tcPr>
                  <w:tcW w:type="dxa" w:w="8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77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5.</w:t>
                  </w:r>
                  <w:r>
                    <w:rPr>
                      <w:sz w:val="22"/>
                      <w:color w:val="000000"/>
                    </w:rPr>
                    <w:t>45</w:t>
                  </w:r>
                </w:p>
              </w:tc>
            </w:tr>
            <w:tr>
              <w:tc>
                <w:tcPr>
                  <w:tcW w:type="dxa" w:w="40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7</w:t>
                  </w:r>
                </w:p>
              </w:tc>
              <w:tc>
                <w:tcPr>
                  <w:tcW w:type="dxa" w:w="147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综合楼连廊安检岗</w:t>
                  </w:r>
                </w:p>
                <w:p>
                  <w:pPr>
                    <w:pStyle w:val="null3"/>
                    <w:jc w:val="center"/>
                  </w:pPr>
                  <w:r>
                    <w:rPr>
                      <w:sz w:val="22"/>
                      <w:color w:val="000000"/>
                    </w:rPr>
                    <w:t>（靠后勤楼）</w:t>
                  </w:r>
                </w:p>
              </w:tc>
              <w:tc>
                <w:tcPr>
                  <w:tcW w:type="dxa" w:w="112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92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8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0</w:t>
                  </w:r>
                </w:p>
              </w:tc>
              <w:tc>
                <w:tcPr>
                  <w:tcW w:type="dxa" w:w="77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5.45</w:t>
                  </w:r>
                </w:p>
              </w:tc>
            </w:tr>
            <w:tr>
              <w:tc>
                <w:tcPr>
                  <w:tcW w:type="dxa" w:w="4806"/>
                  <w:gridSpan w:val="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 xml:space="preserve"> </w:t>
                  </w:r>
                  <w:r>
                    <w:rPr>
                      <w:sz w:val="22"/>
                      <w:color w:val="000000"/>
                    </w:rPr>
                    <w:t>合计</w:t>
                  </w:r>
                </w:p>
              </w:tc>
              <w:tc>
                <w:tcPr>
                  <w:tcW w:type="dxa" w:w="77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38.16</w:t>
                  </w:r>
                </w:p>
              </w:tc>
            </w:tr>
          </w:tbl>
          <w:p>
            <w:pPr>
              <w:pStyle w:val="null3"/>
              <w:jc w:val="both"/>
            </w:pPr>
            <w:r>
              <w:rPr>
                <w:sz w:val="22"/>
                <w:color w:val="000000"/>
              </w:rPr>
              <w:t>备注：按每周</w:t>
            </w:r>
            <w:r>
              <w:rPr>
                <w:sz w:val="22"/>
                <w:color w:val="000000"/>
              </w:rPr>
              <w:t>5天，每天8小时进行设岗，服务</w:t>
            </w:r>
            <w:r>
              <w:rPr>
                <w:sz w:val="22"/>
                <w:color w:val="000000"/>
              </w:rPr>
              <w:t>岗位总数</w:t>
            </w:r>
            <w:r>
              <w:rPr>
                <w:sz w:val="22"/>
                <w:color w:val="000000"/>
              </w:rPr>
              <w:t>共</w:t>
            </w:r>
            <w:r>
              <w:rPr>
                <w:sz w:val="22"/>
                <w:color w:val="000000"/>
              </w:rPr>
              <w:t>38。</w:t>
            </w:r>
          </w:p>
          <w:p>
            <w:pPr>
              <w:pStyle w:val="null3"/>
              <w:jc w:val="left"/>
            </w:pPr>
            <w:r>
              <w:rPr>
                <w:sz w:val="22"/>
                <w:b/>
                <w:color w:val="000000"/>
              </w:rPr>
              <w:t>四、</w:t>
            </w:r>
            <w:r>
              <w:rPr>
                <w:sz w:val="22"/>
                <w:b/>
                <w:color w:val="000000"/>
              </w:rPr>
              <w:t>停车场现有设备设施</w:t>
            </w:r>
          </w:p>
          <w:tbl>
            <w:tblPr>
              <w:tblBorders>
                <w:top w:val="none" w:color="000000" w:sz="4"/>
                <w:left w:val="none" w:color="000000" w:sz="4"/>
                <w:bottom w:val="none" w:color="000000" w:sz="4"/>
                <w:right w:val="none" w:color="000000" w:sz="4"/>
                <w:insideH w:val="none"/>
                <w:insideV w:val="none"/>
              </w:tblBorders>
            </w:tblPr>
            <w:tblGrid>
              <w:gridCol w:w="380"/>
              <w:gridCol w:w="1132"/>
              <w:gridCol w:w="1331"/>
              <w:gridCol w:w="388"/>
              <w:gridCol w:w="429"/>
              <w:gridCol w:w="1910"/>
            </w:tblGrid>
            <w:tr>
              <w:tc>
                <w:tcPr>
                  <w:tcW w:type="dxa" w:w="380"/>
                  <w:tcBorders>
                    <w:top w:val="single" w:color="000000" w:sz="8"/>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序号</w:t>
                  </w:r>
                </w:p>
              </w:tc>
              <w:tc>
                <w:tcPr>
                  <w:tcW w:type="dxa" w:w="1132"/>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名称</w:t>
                  </w:r>
                </w:p>
              </w:tc>
              <w:tc>
                <w:tcPr>
                  <w:tcW w:type="dxa" w:w="1331"/>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型号</w:t>
                  </w:r>
                </w:p>
              </w:tc>
              <w:tc>
                <w:tcPr>
                  <w:tcW w:type="dxa" w:w="388"/>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数量</w:t>
                  </w:r>
                </w:p>
              </w:tc>
              <w:tc>
                <w:tcPr>
                  <w:tcW w:type="dxa" w:w="429"/>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单位</w:t>
                  </w:r>
                </w:p>
              </w:tc>
              <w:tc>
                <w:tcPr>
                  <w:tcW w:type="dxa" w:w="1910"/>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备注</w:t>
                  </w:r>
                </w:p>
              </w:tc>
            </w:tr>
            <w:tr>
              <w:tc>
                <w:tcPr>
                  <w:tcW w:type="dxa" w:w="5570"/>
                  <w:gridSpan w:val="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停车管理系统</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132"/>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一体式控制机</w:t>
                  </w:r>
                </w:p>
              </w:tc>
              <w:tc>
                <w:tcPr>
                  <w:tcW w:type="dxa" w:w="1331"/>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GIA-18Y-M30S-BW</w:t>
                  </w:r>
                </w:p>
              </w:tc>
              <w:tc>
                <w:tcPr>
                  <w:tcW w:type="dxa" w:w="388"/>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18</w:t>
                  </w:r>
                </w:p>
              </w:tc>
              <w:tc>
                <w:tcPr>
                  <w:tcW w:type="dxa" w:w="429"/>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台</w:t>
                  </w:r>
                </w:p>
              </w:tc>
              <w:tc>
                <w:tcPr>
                  <w:tcW w:type="dxa" w:w="1910"/>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3秒机芯，直杆3米，道闸[左定]。</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113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一体式控制机</w:t>
                  </w:r>
                </w:p>
              </w:tc>
              <w:tc>
                <w:tcPr>
                  <w:tcW w:type="dxa" w:w="133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GIA-18Y-M30S-BW</w:t>
                  </w:r>
                </w:p>
              </w:tc>
              <w:tc>
                <w:tcPr>
                  <w:tcW w:type="dxa" w:w="3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9</w:t>
                  </w:r>
                </w:p>
              </w:tc>
              <w:tc>
                <w:tcPr>
                  <w:tcW w:type="dxa" w:w="4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台</w:t>
                  </w:r>
                </w:p>
              </w:tc>
              <w:tc>
                <w:tcPr>
                  <w:tcW w:type="dxa" w:w="19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3秒机芯，直杆3米，道闸[右定]。</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3</w:t>
                  </w:r>
                </w:p>
              </w:tc>
              <w:tc>
                <w:tcPr>
                  <w:tcW w:type="dxa" w:w="113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一体式控制机</w:t>
                  </w:r>
                </w:p>
              </w:tc>
              <w:tc>
                <w:tcPr>
                  <w:tcW w:type="dxa" w:w="133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GIA-18Y-M30S-BW</w:t>
                  </w:r>
                </w:p>
              </w:tc>
              <w:tc>
                <w:tcPr>
                  <w:tcW w:type="dxa" w:w="3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4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台</w:t>
                  </w:r>
                </w:p>
              </w:tc>
              <w:tc>
                <w:tcPr>
                  <w:tcW w:type="dxa" w:w="19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3秒机芯，直杆3米，道闸[左定]。同进同出。</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w:t>
                  </w:r>
                </w:p>
              </w:tc>
              <w:tc>
                <w:tcPr>
                  <w:tcW w:type="dxa" w:w="113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PMS控制器</w:t>
                  </w:r>
                </w:p>
              </w:tc>
              <w:tc>
                <w:tcPr>
                  <w:tcW w:type="dxa" w:w="133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SAC-18N</w:t>
                  </w:r>
                </w:p>
              </w:tc>
              <w:tc>
                <w:tcPr>
                  <w:tcW w:type="dxa" w:w="3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4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台</w:t>
                  </w:r>
                </w:p>
              </w:tc>
              <w:tc>
                <w:tcPr>
                  <w:tcW w:type="dxa" w:w="19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同进同出。</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5</w:t>
                  </w:r>
                </w:p>
              </w:tc>
              <w:tc>
                <w:tcPr>
                  <w:tcW w:type="dxa" w:w="113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主控总成</w:t>
                  </w:r>
                </w:p>
              </w:tc>
              <w:tc>
                <w:tcPr>
                  <w:tcW w:type="dxa" w:w="133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MBC-13</w:t>
                  </w:r>
                </w:p>
              </w:tc>
              <w:tc>
                <w:tcPr>
                  <w:tcW w:type="dxa" w:w="3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14</w:t>
                  </w:r>
                </w:p>
              </w:tc>
              <w:tc>
                <w:tcPr>
                  <w:tcW w:type="dxa" w:w="4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块</w:t>
                  </w:r>
                </w:p>
              </w:tc>
              <w:tc>
                <w:tcPr>
                  <w:tcW w:type="dxa" w:w="19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控制系统、含主控板、核心板。</w:t>
                  </w:r>
                </w:p>
              </w:tc>
            </w:tr>
            <w:tr>
              <w:tc>
                <w:tcPr>
                  <w:tcW w:type="dxa" w:w="5570"/>
                  <w:gridSpan w:val="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车位引导系统</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1132"/>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LED模组总成</w:t>
                  </w:r>
                </w:p>
              </w:tc>
              <w:tc>
                <w:tcPr>
                  <w:tcW w:type="dxa" w:w="1331"/>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DHM-12R102RGO-16P16</w:t>
                  </w:r>
                </w:p>
              </w:tc>
              <w:tc>
                <w:tcPr>
                  <w:tcW w:type="dxa" w:w="388"/>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8</w:t>
                  </w:r>
                </w:p>
              </w:tc>
              <w:tc>
                <w:tcPr>
                  <w:tcW w:type="dxa" w:w="429"/>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块</w:t>
                  </w:r>
                </w:p>
              </w:tc>
              <w:tc>
                <w:tcPr>
                  <w:tcW w:type="dxa" w:w="1910"/>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color w:val="000000"/>
                    </w:rPr>
                    <w:t>半户外使用，同屏可显</w:t>
                  </w:r>
                  <w:r>
                    <w:rPr>
                      <w:sz w:val="22"/>
                      <w:color w:val="000000"/>
                    </w:rPr>
                    <w:t>4个数字，红绿双色显示，512*256（mm），含LED模组、开关电源、模组安装配件，RS485通信。</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w:t>
                  </w:r>
                </w:p>
              </w:tc>
              <w:tc>
                <w:tcPr>
                  <w:tcW w:type="dxa" w:w="113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LED模组总成</w:t>
                  </w:r>
                </w:p>
              </w:tc>
              <w:tc>
                <w:tcPr>
                  <w:tcW w:type="dxa" w:w="133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DHM-12R102R</w:t>
                  </w:r>
                </w:p>
              </w:tc>
              <w:tc>
                <w:tcPr>
                  <w:tcW w:type="dxa" w:w="3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8</w:t>
                  </w:r>
                </w:p>
              </w:tc>
              <w:tc>
                <w:tcPr>
                  <w:tcW w:type="dxa" w:w="4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块</w:t>
                  </w:r>
                </w:p>
              </w:tc>
              <w:tc>
                <w:tcPr>
                  <w:tcW w:type="dxa" w:w="19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半户外使用，同屏可显</w:t>
                  </w:r>
                  <w:r>
                    <w:rPr>
                      <w:sz w:val="22"/>
                      <w:color w:val="000000"/>
                    </w:rPr>
                    <w:t>4个数字，红色显示，400*200（mm），含LED模组、开关电源、模组安装配件，RS486通信。</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3</w:t>
                  </w:r>
                </w:p>
              </w:tc>
              <w:tc>
                <w:tcPr>
                  <w:tcW w:type="dxa" w:w="113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大门口立式灯箱</w:t>
                  </w:r>
                </w:p>
              </w:tc>
              <w:tc>
                <w:tcPr>
                  <w:tcW w:type="dxa" w:w="133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2500cm*750cm*150cm</w:t>
                  </w:r>
                </w:p>
              </w:tc>
              <w:tc>
                <w:tcPr>
                  <w:tcW w:type="dxa" w:w="3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5</w:t>
                  </w:r>
                </w:p>
              </w:tc>
              <w:tc>
                <w:tcPr>
                  <w:tcW w:type="dxa" w:w="4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台</w:t>
                  </w:r>
                </w:p>
              </w:tc>
              <w:tc>
                <w:tcPr>
                  <w:tcW w:type="dxa" w:w="19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4</w:t>
                  </w:r>
                </w:p>
              </w:tc>
              <w:tc>
                <w:tcPr>
                  <w:tcW w:type="dxa" w:w="113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停车楼入口立式灯箱</w:t>
                  </w:r>
                </w:p>
              </w:tc>
              <w:tc>
                <w:tcPr>
                  <w:tcW w:type="dxa" w:w="133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2590cm*1206cm*306cm</w:t>
                  </w:r>
                </w:p>
              </w:tc>
              <w:tc>
                <w:tcPr>
                  <w:tcW w:type="dxa" w:w="3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4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台</w:t>
                  </w:r>
                </w:p>
              </w:tc>
              <w:tc>
                <w:tcPr>
                  <w:tcW w:type="dxa" w:w="19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5</w:t>
                  </w:r>
                </w:p>
              </w:tc>
              <w:tc>
                <w:tcPr>
                  <w:tcW w:type="dxa" w:w="113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引导服务器</w:t>
                  </w:r>
                </w:p>
              </w:tc>
              <w:tc>
                <w:tcPr>
                  <w:tcW w:type="dxa" w:w="133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MPGS-CN11</w:t>
                  </w:r>
                </w:p>
              </w:tc>
              <w:tc>
                <w:tcPr>
                  <w:tcW w:type="dxa" w:w="3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w:t>
                  </w:r>
                </w:p>
              </w:tc>
              <w:tc>
                <w:tcPr>
                  <w:tcW w:type="dxa" w:w="4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台</w:t>
                  </w:r>
                </w:p>
              </w:tc>
              <w:tc>
                <w:tcPr>
                  <w:tcW w:type="dxa" w:w="19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6</w:t>
                  </w:r>
                </w:p>
              </w:tc>
              <w:tc>
                <w:tcPr>
                  <w:tcW w:type="dxa" w:w="113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视频探测（单）</w:t>
                  </w:r>
                </w:p>
              </w:tc>
              <w:tc>
                <w:tcPr>
                  <w:tcW w:type="dxa" w:w="133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PVD-15N</w:t>
                  </w:r>
                </w:p>
              </w:tc>
              <w:tc>
                <w:tcPr>
                  <w:tcW w:type="dxa" w:w="3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78</w:t>
                  </w:r>
                </w:p>
              </w:tc>
              <w:tc>
                <w:tcPr>
                  <w:tcW w:type="dxa" w:w="429"/>
                  <w:tcBorders>
                    <w:top w:val="none" w:color="000000" w:sz="4"/>
                    <w:left w:val="none" w:color="000000" w:sz="4"/>
                    <w:bottom w:val="single" w:color="000000" w:sz="8"/>
                    <w:right w:val="single" w:color="000000" w:sz="8"/>
                  </w:tcBorders>
                  <w:shd w:fill="FFFFFF"/>
                  <w:tcMar>
                    <w:top w:type="dxa" w:w="15"/>
                    <w:left w:type="dxa" w:w="15"/>
                    <w:bottom w:type="dxa" w:w="15"/>
                    <w:right w:type="dxa" w:w="15"/>
                  </w:tcMar>
                  <w:vAlign w:val="top"/>
                </w:tcPr>
                <w:p>
                  <w:pPr>
                    <w:pStyle w:val="null3"/>
                    <w:jc w:val="center"/>
                  </w:pPr>
                  <w:r>
                    <w:rPr>
                      <w:sz w:val="22"/>
                      <w:color w:val="000000"/>
                    </w:rPr>
                    <w:t>个</w:t>
                  </w:r>
                </w:p>
              </w:tc>
              <w:tc>
                <w:tcPr>
                  <w:tcW w:type="dxa" w:w="19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color w:val="000000"/>
                    </w:rPr>
                    <w:t>单摄像头，一个探测器最多可监控</w:t>
                  </w:r>
                  <w:r>
                    <w:rPr>
                      <w:sz w:val="22"/>
                      <w:color w:val="000000"/>
                    </w:rPr>
                    <w:t>3个车位，有线RJ45通信，带蓝牙定位。</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7</w:t>
                  </w:r>
                </w:p>
              </w:tc>
              <w:tc>
                <w:tcPr>
                  <w:tcW w:type="dxa" w:w="113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视频探测（双）</w:t>
                  </w:r>
                </w:p>
              </w:tc>
              <w:tc>
                <w:tcPr>
                  <w:tcW w:type="dxa" w:w="133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PVD-16N</w:t>
                  </w:r>
                </w:p>
              </w:tc>
              <w:tc>
                <w:tcPr>
                  <w:tcW w:type="dxa" w:w="3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134</w:t>
                  </w:r>
                </w:p>
              </w:tc>
              <w:tc>
                <w:tcPr>
                  <w:tcW w:type="dxa" w:w="429"/>
                  <w:tcBorders>
                    <w:top w:val="none" w:color="000000" w:sz="4"/>
                    <w:left w:val="none" w:color="000000" w:sz="4"/>
                    <w:bottom w:val="single" w:color="000000" w:sz="8"/>
                    <w:right w:val="single" w:color="000000" w:sz="8"/>
                  </w:tcBorders>
                  <w:shd w:fill="FFFFFF"/>
                  <w:tcMar>
                    <w:top w:type="dxa" w:w="15"/>
                    <w:left w:type="dxa" w:w="15"/>
                    <w:bottom w:type="dxa" w:w="15"/>
                    <w:right w:type="dxa" w:w="15"/>
                  </w:tcMar>
                  <w:vAlign w:val="top"/>
                </w:tcPr>
                <w:p>
                  <w:pPr>
                    <w:pStyle w:val="null3"/>
                    <w:jc w:val="center"/>
                  </w:pPr>
                  <w:r>
                    <w:rPr>
                      <w:sz w:val="22"/>
                      <w:color w:val="000000"/>
                    </w:rPr>
                    <w:t>个</w:t>
                  </w:r>
                </w:p>
              </w:tc>
              <w:tc>
                <w:tcPr>
                  <w:tcW w:type="dxa" w:w="19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color w:val="000000"/>
                    </w:rPr>
                    <w:t>双摄像头，一个探测器最多可监控</w:t>
                  </w:r>
                  <w:r>
                    <w:rPr>
                      <w:sz w:val="22"/>
                      <w:color w:val="000000"/>
                    </w:rPr>
                    <w:t>6个车位，有线RJ45通信，带蓝牙定位。</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8</w:t>
                  </w:r>
                </w:p>
              </w:tc>
              <w:tc>
                <w:tcPr>
                  <w:tcW w:type="dxa" w:w="113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开关电源箱</w:t>
                  </w:r>
                </w:p>
              </w:tc>
              <w:tc>
                <w:tcPr>
                  <w:tcW w:type="dxa" w:w="133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SPS-350</w:t>
                  </w:r>
                </w:p>
              </w:tc>
              <w:tc>
                <w:tcPr>
                  <w:tcW w:type="dxa" w:w="3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14</w:t>
                  </w:r>
                </w:p>
              </w:tc>
              <w:tc>
                <w:tcPr>
                  <w:tcW w:type="dxa" w:w="429"/>
                  <w:tcBorders>
                    <w:top w:val="none" w:color="000000" w:sz="4"/>
                    <w:left w:val="none" w:color="000000" w:sz="4"/>
                    <w:bottom w:val="single" w:color="000000" w:sz="8"/>
                    <w:right w:val="single" w:color="000000" w:sz="8"/>
                  </w:tcBorders>
                  <w:shd w:fill="FFFFFF"/>
                  <w:tcMar>
                    <w:top w:type="dxa" w:w="15"/>
                    <w:left w:type="dxa" w:w="15"/>
                    <w:bottom w:type="dxa" w:w="15"/>
                    <w:right w:type="dxa" w:w="15"/>
                  </w:tcMar>
                  <w:vAlign w:val="top"/>
                </w:tcPr>
                <w:p>
                  <w:pPr>
                    <w:pStyle w:val="null3"/>
                    <w:jc w:val="center"/>
                  </w:pPr>
                  <w:r>
                    <w:rPr>
                      <w:sz w:val="22"/>
                      <w:color w:val="000000"/>
                    </w:rPr>
                    <w:t>台</w:t>
                  </w:r>
                </w:p>
              </w:tc>
              <w:tc>
                <w:tcPr>
                  <w:tcW w:type="dxa" w:w="19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color w:val="000000"/>
                    </w:rPr>
                    <w:t>双路</w:t>
                  </w:r>
                  <w:r>
                    <w:rPr>
                      <w:sz w:val="22"/>
                      <w:color w:val="000000"/>
                    </w:rPr>
                    <w:t>350W电源DC24V输出，每路可负载14个有线视频探测器。</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9</w:t>
                  </w:r>
                </w:p>
              </w:tc>
              <w:tc>
                <w:tcPr>
                  <w:tcW w:type="dxa" w:w="113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灯箱式引导屏</w:t>
                  </w:r>
                </w:p>
              </w:tc>
              <w:tc>
                <w:tcPr>
                  <w:tcW w:type="dxa" w:w="133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DIB-15(HN）10(1.5)RGO</w:t>
                  </w:r>
                </w:p>
              </w:tc>
              <w:tc>
                <w:tcPr>
                  <w:tcW w:type="dxa" w:w="3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13</w:t>
                  </w:r>
                </w:p>
              </w:tc>
              <w:tc>
                <w:tcPr>
                  <w:tcW w:type="dxa" w:w="429"/>
                  <w:tcBorders>
                    <w:top w:val="none" w:color="000000" w:sz="4"/>
                    <w:left w:val="none" w:color="000000" w:sz="4"/>
                    <w:bottom w:val="single" w:color="000000" w:sz="8"/>
                    <w:right w:val="single" w:color="000000" w:sz="8"/>
                  </w:tcBorders>
                  <w:shd w:fill="FFFFFF"/>
                  <w:tcMar>
                    <w:top w:type="dxa" w:w="15"/>
                    <w:left w:type="dxa" w:w="15"/>
                    <w:bottom w:type="dxa" w:w="15"/>
                    <w:right w:type="dxa" w:w="15"/>
                  </w:tcMar>
                  <w:vAlign w:val="top"/>
                </w:tcPr>
                <w:p>
                  <w:pPr>
                    <w:pStyle w:val="null3"/>
                    <w:jc w:val="center"/>
                  </w:pPr>
                  <w:r>
                    <w:rPr>
                      <w:sz w:val="22"/>
                      <w:color w:val="000000"/>
                    </w:rPr>
                    <w:t>块</w:t>
                  </w:r>
                </w:p>
              </w:tc>
              <w:tc>
                <w:tcPr>
                  <w:tcW w:type="dxa" w:w="19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color w:val="000000"/>
                    </w:rPr>
                    <w:t>宽</w:t>
                  </w:r>
                  <w:r>
                    <w:rPr>
                      <w:sz w:val="22"/>
                      <w:color w:val="000000"/>
                    </w:rPr>
                    <w:t>*高：2400*300（mm），红绿双色屏，可显示1个方向，有线RJ45。</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10</w:t>
                  </w:r>
                </w:p>
              </w:tc>
              <w:tc>
                <w:tcPr>
                  <w:tcW w:type="dxa" w:w="113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灯箱式引导屏</w:t>
                  </w:r>
                </w:p>
              </w:tc>
              <w:tc>
                <w:tcPr>
                  <w:tcW w:type="dxa" w:w="133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DIB-15(HN）103RGO</w:t>
                  </w:r>
                </w:p>
              </w:tc>
              <w:tc>
                <w:tcPr>
                  <w:tcW w:type="dxa" w:w="3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18</w:t>
                  </w:r>
                </w:p>
              </w:tc>
              <w:tc>
                <w:tcPr>
                  <w:tcW w:type="dxa" w:w="429"/>
                  <w:tcBorders>
                    <w:top w:val="none" w:color="000000" w:sz="4"/>
                    <w:left w:val="none" w:color="000000" w:sz="4"/>
                    <w:bottom w:val="single" w:color="000000" w:sz="8"/>
                    <w:right w:val="single" w:color="000000" w:sz="8"/>
                  </w:tcBorders>
                  <w:shd w:fill="FFFFFF"/>
                  <w:tcMar>
                    <w:top w:type="dxa" w:w="15"/>
                    <w:left w:type="dxa" w:w="15"/>
                    <w:bottom w:type="dxa" w:w="15"/>
                    <w:right w:type="dxa" w:w="15"/>
                  </w:tcMar>
                  <w:vAlign w:val="top"/>
                </w:tcPr>
                <w:p>
                  <w:pPr>
                    <w:pStyle w:val="null3"/>
                    <w:jc w:val="center"/>
                  </w:pPr>
                  <w:r>
                    <w:rPr>
                      <w:sz w:val="22"/>
                      <w:color w:val="000000"/>
                    </w:rPr>
                    <w:t>块</w:t>
                  </w:r>
                </w:p>
              </w:tc>
              <w:tc>
                <w:tcPr>
                  <w:tcW w:type="dxa" w:w="19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color w:val="000000"/>
                    </w:rPr>
                    <w:t>宽</w:t>
                  </w:r>
                  <w:r>
                    <w:rPr>
                      <w:sz w:val="22"/>
                      <w:color w:val="000000"/>
                    </w:rPr>
                    <w:t>*高：2400*300（mm），红绿双色屏，可显示2个方向，有线RJ45。</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11</w:t>
                  </w:r>
                </w:p>
              </w:tc>
              <w:tc>
                <w:tcPr>
                  <w:tcW w:type="dxa" w:w="113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高清车牌识别摄像机</w:t>
                  </w:r>
                </w:p>
              </w:tc>
              <w:tc>
                <w:tcPr>
                  <w:tcW w:type="dxa" w:w="133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GCDV-22</w:t>
                  </w:r>
                </w:p>
              </w:tc>
              <w:tc>
                <w:tcPr>
                  <w:tcW w:type="dxa" w:w="3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14</w:t>
                  </w:r>
                </w:p>
              </w:tc>
              <w:tc>
                <w:tcPr>
                  <w:tcW w:type="dxa" w:w="429"/>
                  <w:tcBorders>
                    <w:top w:val="none" w:color="000000" w:sz="4"/>
                    <w:left w:val="none" w:color="000000" w:sz="4"/>
                    <w:bottom w:val="single" w:color="000000" w:sz="8"/>
                    <w:right w:val="single" w:color="000000" w:sz="8"/>
                  </w:tcBorders>
                  <w:shd w:fill="FFFFFF"/>
                  <w:tcMar>
                    <w:top w:type="dxa" w:w="15"/>
                    <w:left w:type="dxa" w:w="15"/>
                    <w:bottom w:type="dxa" w:w="15"/>
                    <w:right w:type="dxa" w:w="15"/>
                  </w:tcMar>
                  <w:vAlign w:val="top"/>
                </w:tcPr>
                <w:p>
                  <w:pPr>
                    <w:pStyle w:val="null3"/>
                    <w:jc w:val="center"/>
                  </w:pPr>
                  <w:r>
                    <w:rPr>
                      <w:sz w:val="22"/>
                      <w:color w:val="000000"/>
                    </w:rPr>
                    <w:t>台</w:t>
                  </w:r>
                </w:p>
              </w:tc>
              <w:tc>
                <w:tcPr>
                  <w:tcW w:type="dxa" w:w="19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color w:val="000000"/>
                    </w:rPr>
                    <w:t>AC220供电，有线以太网通信。</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12</w:t>
                  </w:r>
                </w:p>
              </w:tc>
              <w:tc>
                <w:tcPr>
                  <w:tcW w:type="dxa" w:w="113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室内信息屏（双向）</w:t>
                  </w:r>
                </w:p>
              </w:tc>
              <w:tc>
                <w:tcPr>
                  <w:tcW w:type="dxa" w:w="133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DIS-13R108RGO</w:t>
                  </w:r>
                </w:p>
              </w:tc>
              <w:tc>
                <w:tcPr>
                  <w:tcW w:type="dxa" w:w="3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7</w:t>
                  </w:r>
                </w:p>
              </w:tc>
              <w:tc>
                <w:tcPr>
                  <w:tcW w:type="dxa" w:w="429"/>
                  <w:tcBorders>
                    <w:top w:val="none" w:color="000000" w:sz="4"/>
                    <w:left w:val="none" w:color="000000" w:sz="4"/>
                    <w:bottom w:val="single" w:color="000000" w:sz="8"/>
                    <w:right w:val="single" w:color="000000" w:sz="8"/>
                  </w:tcBorders>
                  <w:shd w:fill="FFFFFF"/>
                  <w:tcMar>
                    <w:top w:type="dxa" w:w="15"/>
                    <w:left w:type="dxa" w:w="15"/>
                    <w:bottom w:type="dxa" w:w="15"/>
                    <w:right w:type="dxa" w:w="15"/>
                  </w:tcMar>
                  <w:vAlign w:val="top"/>
                </w:tcPr>
                <w:p>
                  <w:pPr>
                    <w:pStyle w:val="null3"/>
                    <w:jc w:val="center"/>
                  </w:pPr>
                  <w:r>
                    <w:rPr>
                      <w:sz w:val="22"/>
                      <w:color w:val="000000"/>
                    </w:rPr>
                    <w:t>块</w:t>
                  </w:r>
                </w:p>
              </w:tc>
              <w:tc>
                <w:tcPr>
                  <w:tcW w:type="dxa" w:w="19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color w:val="000000"/>
                    </w:rPr>
                    <w:t>室内使用，红绿双色屏，可显示两个方向，有线</w:t>
                  </w:r>
                  <w:r>
                    <w:rPr>
                      <w:sz w:val="22"/>
                      <w:color w:val="000000"/>
                    </w:rPr>
                    <w:t>RS485通信。</w:t>
                  </w:r>
                </w:p>
              </w:tc>
            </w:tr>
            <w:tr>
              <w:tc>
                <w:tcPr>
                  <w:tcW w:type="dxa" w:w="380"/>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13</w:t>
                  </w:r>
                </w:p>
              </w:tc>
              <w:tc>
                <w:tcPr>
                  <w:tcW w:type="dxa" w:w="113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寻车查询机</w:t>
                  </w:r>
                </w:p>
              </w:tc>
              <w:tc>
                <w:tcPr>
                  <w:tcW w:type="dxa" w:w="1331"/>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DCO-17N22H</w:t>
                  </w:r>
                </w:p>
              </w:tc>
              <w:tc>
                <w:tcPr>
                  <w:tcW w:type="dxa" w:w="38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color w:val="000000"/>
                    </w:rPr>
                    <w:t>5</w:t>
                  </w:r>
                </w:p>
              </w:tc>
              <w:tc>
                <w:tcPr>
                  <w:tcW w:type="dxa" w:w="429"/>
                  <w:tcBorders>
                    <w:top w:val="none" w:color="000000" w:sz="4"/>
                    <w:left w:val="none" w:color="000000" w:sz="4"/>
                    <w:bottom w:val="single" w:color="000000" w:sz="8"/>
                    <w:right w:val="single" w:color="000000" w:sz="8"/>
                  </w:tcBorders>
                  <w:shd w:fill="FFFFFF"/>
                  <w:tcMar>
                    <w:top w:type="dxa" w:w="15"/>
                    <w:left w:type="dxa" w:w="15"/>
                    <w:bottom w:type="dxa" w:w="15"/>
                    <w:right w:type="dxa" w:w="15"/>
                  </w:tcMar>
                  <w:vAlign w:val="top"/>
                </w:tcPr>
                <w:p>
                  <w:pPr>
                    <w:pStyle w:val="null3"/>
                    <w:jc w:val="center"/>
                  </w:pPr>
                  <w:r>
                    <w:rPr>
                      <w:sz w:val="22"/>
                      <w:color w:val="000000"/>
                    </w:rPr>
                    <w:t>台</w:t>
                  </w:r>
                </w:p>
              </w:tc>
              <w:tc>
                <w:tcPr>
                  <w:tcW w:type="dxa" w:w="19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color w:val="000000"/>
                    </w:rPr>
                    <w:t>22寸落地式，红外触摸屏。</w:t>
                  </w:r>
                </w:p>
              </w:tc>
            </w:tr>
          </w:tbl>
          <w:p>
            <w:pPr>
              <w:pStyle w:val="null3"/>
              <w:jc w:val="both"/>
            </w:pPr>
            <w:r>
              <w:rPr>
                <w:sz w:val="22"/>
                <w:b/>
                <w:color w:val="000000"/>
              </w:rPr>
              <w:t>五、人员配置要求</w:t>
            </w:r>
          </w:p>
          <w:p>
            <w:pPr>
              <w:pStyle w:val="null3"/>
              <w:ind w:firstLine="440"/>
              <w:jc w:val="left"/>
            </w:pPr>
            <w:r>
              <w:rPr>
                <w:sz w:val="22"/>
                <w:color w:val="000000"/>
              </w:rPr>
              <w:t>1.管理人员必须身体健康、遵纪守法、无不良行为倾向，</w:t>
            </w:r>
            <w:r>
              <w:rPr>
                <w:sz w:val="22"/>
                <w:color w:val="000000"/>
              </w:rPr>
              <w:t>服务期内为确保管理的连续性，服</w:t>
            </w:r>
            <w:r>
              <w:rPr>
                <w:sz w:val="22"/>
                <w:color w:val="000000"/>
              </w:rPr>
              <w:t>中标供应商</w:t>
            </w:r>
            <w:r>
              <w:rPr>
                <w:sz w:val="22"/>
                <w:color w:val="000000"/>
              </w:rPr>
              <w:t>不得随意更换项目管理人员，确需更换的，应征得采购人同意。采购人因服务人员问题提出换人要求时，</w:t>
            </w:r>
            <w:r>
              <w:rPr>
                <w:sz w:val="22"/>
                <w:color w:val="000000"/>
              </w:rPr>
              <w:t>中标供应商</w:t>
            </w:r>
            <w:r>
              <w:rPr>
                <w:sz w:val="22"/>
                <w:color w:val="000000"/>
              </w:rPr>
              <w:t>应在一个月内完成人员的更换。</w:t>
            </w:r>
          </w:p>
          <w:p>
            <w:pPr>
              <w:pStyle w:val="null3"/>
              <w:ind w:firstLine="440"/>
              <w:jc w:val="left"/>
            </w:pPr>
            <w:r>
              <w:rPr>
                <w:sz w:val="22"/>
                <w:color w:val="000000"/>
              </w:rPr>
              <w:t>2.服务人员要求素质高，服务意识强，纪律严明，作风硬朗，反应快速，对医院有高度责任感。服装统一、整齐，注意个人卫生和形象，语言文明、服务态度好，积极配合临床工作的管理及安排。</w:t>
            </w:r>
          </w:p>
          <w:p>
            <w:pPr>
              <w:pStyle w:val="null3"/>
              <w:ind w:firstLine="440"/>
              <w:jc w:val="left"/>
            </w:pPr>
            <w:r>
              <w:rPr>
                <w:sz w:val="22"/>
                <w:color w:val="000000"/>
              </w:rPr>
              <w:t>3.服务人员按要求持证上岗，须掌握基本消防知识和急救技术培训知识，如因服务人员未持有相应的工作上岗证导致事故发生，责任由中标供应商承担。</w:t>
            </w:r>
          </w:p>
          <w:p>
            <w:pPr>
              <w:pStyle w:val="null3"/>
              <w:ind w:firstLine="440"/>
              <w:jc w:val="left"/>
            </w:pPr>
            <w:r>
              <w:rPr>
                <w:sz w:val="22"/>
              </w:rPr>
              <w:t>4.</w:t>
            </w:r>
            <w:r>
              <w:rPr>
                <w:sz w:val="22"/>
                <w:color w:val="000000"/>
              </w:rPr>
              <w:t>普通保安和消防监控中心保安新入职人员要求：男性，年龄</w:t>
            </w:r>
            <w:r>
              <w:rPr>
                <w:sz w:val="22"/>
                <w:color w:val="000000"/>
              </w:rPr>
              <w:t>18至50岁之间，身高168厘米以上；女性，年龄18至40岁之间，身高156厘米以上；条件优者报医院保卫科审批同意后可适当放宽年龄及身高要求。</w:t>
            </w:r>
          </w:p>
          <w:p>
            <w:pPr>
              <w:pStyle w:val="null3"/>
              <w:ind w:firstLine="440"/>
              <w:jc w:val="left"/>
            </w:pPr>
            <w:r>
              <w:rPr>
                <w:sz w:val="22"/>
                <w:color w:val="000000"/>
              </w:rPr>
              <w:t>5.</w:t>
            </w:r>
            <w:r>
              <w:rPr>
                <w:sz w:val="22"/>
                <w:color w:val="000000"/>
              </w:rPr>
              <w:t>护院队和微型消防站新入职人员要求：男性，年龄</w:t>
            </w:r>
            <w:r>
              <w:rPr>
                <w:sz w:val="22"/>
                <w:color w:val="000000"/>
              </w:rPr>
              <w:t>18至45岁之间，身高168厘米以上，五官端正，文明有礼，无犯罪前科，必须符合上级公安部门和医院保卫工作要求；条件优者报医院保卫科审批同意后可适当放宽年龄及身高要求。</w:t>
            </w:r>
          </w:p>
          <w:p>
            <w:pPr>
              <w:pStyle w:val="null3"/>
              <w:ind w:firstLine="440"/>
              <w:jc w:val="left"/>
            </w:pPr>
            <w:r>
              <w:rPr>
                <w:sz w:val="22"/>
                <w:color w:val="000000"/>
              </w:rPr>
              <w:t>6.保安员数量要求：</w:t>
            </w:r>
            <w:r>
              <w:rPr>
                <w:sz w:val="22"/>
                <w:color w:val="000000"/>
              </w:rPr>
              <w:t>按照就高不就低原则，不低于在岗医务人员总数的</w:t>
            </w:r>
            <w:r>
              <w:rPr>
                <w:sz w:val="22"/>
                <w:color w:val="000000"/>
              </w:rPr>
              <w:t>3%或每20张病床需配备不少于 1 名保安员；50岁以下保安员数量占保安员总数量的比例不低于50%。</w:t>
            </w:r>
          </w:p>
          <w:p>
            <w:pPr>
              <w:pStyle w:val="null3"/>
              <w:ind w:firstLine="440"/>
              <w:jc w:val="both"/>
            </w:pPr>
            <w:r>
              <w:rPr>
                <w:sz w:val="22"/>
              </w:rPr>
              <w:t>7.中标供应商应做好项目交接工作，优先聘用符合要求且自愿留下的现有服务人员。</w:t>
            </w:r>
          </w:p>
          <w:p>
            <w:pPr>
              <w:pStyle w:val="null3"/>
              <w:jc w:val="left"/>
            </w:pPr>
            <w:r>
              <w:rPr>
                <w:sz w:val="22"/>
                <w:b/>
                <w:color w:val="000000"/>
              </w:rPr>
              <w:t>六、组织管理要求</w:t>
            </w:r>
          </w:p>
          <w:p>
            <w:pPr>
              <w:pStyle w:val="null3"/>
              <w:ind w:firstLine="440"/>
              <w:jc w:val="left"/>
            </w:pPr>
            <w:r>
              <w:rPr>
                <w:sz w:val="22"/>
                <w:color w:val="000000"/>
              </w:rPr>
              <w:t>1.中标供应商必须有健全的组织架构和人员分工，职责明确，做好与医院管理人员的协调沟通工作，服从医院管理人员的管理和要求，接受医院组织对该项目的承包内容、质量、管理等检查，及时做好总结和改进工作，如因工作失误造成事故，所有责任由中标供应商承担。</w:t>
            </w:r>
          </w:p>
          <w:p>
            <w:pPr>
              <w:pStyle w:val="null3"/>
              <w:ind w:firstLine="440"/>
              <w:jc w:val="left"/>
            </w:pPr>
            <w:r>
              <w:rPr>
                <w:sz w:val="22"/>
                <w:color w:val="000000"/>
              </w:rPr>
              <w:t>2.中标供应商必须有健全和具体的管理制度，有详细的工作程序和措施、可行的检查监督制度、奖励惩罚制度、良好的企业文化制度，有固定的办公地点，具备应对突发事件的预案，确保各类突发事件的相关保障措施得到有效落实。各项安全保卫规章制度及岗位人员的工作细则须根据医院现有的各项安全保卫制度制定。</w:t>
            </w:r>
          </w:p>
          <w:p>
            <w:pPr>
              <w:pStyle w:val="null3"/>
              <w:ind w:firstLine="440"/>
              <w:jc w:val="left"/>
            </w:pPr>
            <w:r>
              <w:rPr>
                <w:sz w:val="22"/>
                <w:color w:val="000000"/>
              </w:rPr>
              <w:t>3.在人员管理具体工作中，中标供应商自主进行人员招聘、培训、考勤、奖惩、调动、申请保险等人力资源管理工作。为保持服务队伍的稳定，中标供应商必须足额、及时发放工资。医院保卫部门在日常监管中发现的人员管理问题，中标供应商必须按要求及时处理，并给出处理结果。</w:t>
            </w:r>
          </w:p>
          <w:p>
            <w:pPr>
              <w:pStyle w:val="null3"/>
              <w:ind w:firstLine="440"/>
              <w:jc w:val="left"/>
            </w:pPr>
            <w:r>
              <w:rPr>
                <w:sz w:val="22"/>
                <w:color w:val="000000"/>
              </w:rPr>
              <w:t>4.采购人每月对合同执行情况进行考核，达不到考核要求的，按考核标准扣罚违约金，发现缺岗少岗情况采购人按人民币500元/次进行扣罚；发生被群众或医护人员有效投诉按人民币1000元/次进行扣罚；发生因服务工作不到位被上级部门批评</w:t>
            </w:r>
            <w:r>
              <w:rPr>
                <w:sz w:val="22"/>
                <w:color w:val="000000"/>
              </w:rPr>
              <w:t>（书面）</w:t>
            </w:r>
            <w:r>
              <w:rPr>
                <w:sz w:val="22"/>
                <w:color w:val="000000"/>
              </w:rPr>
              <w:t>按人民币</w:t>
            </w:r>
            <w:r>
              <w:rPr>
                <w:sz w:val="22"/>
                <w:color w:val="000000"/>
              </w:rPr>
              <w:t>2000元/次进行扣罚；因应急处置不及时对采购人造成损失的，中标供应商须承担所有责任并一次性扣罚人民币3000元/次；情节严重的，中标供应商除须承担所有责任外，采购人有权单方面终止合同。</w:t>
            </w:r>
          </w:p>
          <w:p>
            <w:pPr>
              <w:pStyle w:val="null3"/>
              <w:ind w:firstLine="440"/>
              <w:jc w:val="left"/>
            </w:pPr>
            <w:r>
              <w:rPr>
                <w:sz w:val="22"/>
                <w:color w:val="000000"/>
              </w:rPr>
              <w:t>5.服务期内，</w:t>
            </w:r>
            <w:r>
              <w:rPr>
                <w:sz w:val="22"/>
                <w:color w:val="000000"/>
              </w:rPr>
              <w:t>因工作需要须增减保安人员的，中标供应商应积极配</w:t>
            </w:r>
            <w:r>
              <w:rPr>
                <w:sz w:val="22"/>
                <w:color w:val="000000"/>
              </w:rPr>
              <w:t>合，</w:t>
            </w:r>
            <w:r>
              <w:rPr>
                <w:sz w:val="22"/>
                <w:color w:val="000000"/>
              </w:rPr>
              <w:t>服务费按相应岗位的中标单价与增减人数据实计算</w:t>
            </w:r>
            <w:r>
              <w:rPr>
                <w:sz w:val="22"/>
                <w:color w:val="000000"/>
              </w:rPr>
              <w:t>。</w:t>
            </w:r>
          </w:p>
          <w:p>
            <w:pPr>
              <w:pStyle w:val="null3"/>
              <w:ind w:firstLine="440"/>
              <w:jc w:val="both"/>
            </w:pPr>
            <w:r>
              <w:rPr>
                <w:sz w:val="22"/>
                <w:color w:val="000000"/>
              </w:rPr>
              <w:t>6.服务期内，如因不可抗力或国家、省市政策调整或医院重点政策调整而不能继续履行合同的，本项目合同终止，双方均不承担违约责任。</w:t>
            </w:r>
          </w:p>
          <w:p>
            <w:pPr>
              <w:pStyle w:val="null3"/>
              <w:jc w:val="both"/>
            </w:pPr>
            <w:r>
              <w:rPr>
                <w:sz w:val="22"/>
                <w:b/>
                <w:color w:val="000000"/>
              </w:rPr>
              <w:t>七、考核方式（采购人可以结合实际需要对考核与扣罚及内容进行修改或调整）</w:t>
            </w:r>
          </w:p>
          <w:p>
            <w:pPr>
              <w:pStyle w:val="null3"/>
              <w:jc w:val="center"/>
            </w:pPr>
            <w:r>
              <w:rPr>
                <w:sz w:val="22"/>
                <w:color w:val="000000"/>
              </w:rPr>
              <w:t>中山市中医院</w:t>
            </w:r>
            <w:r>
              <w:rPr>
                <w:sz w:val="22"/>
                <w:color w:val="000000"/>
              </w:rPr>
              <w:t>2025-2028年保安服务项目质量考核表</w:t>
            </w:r>
          </w:p>
          <w:p>
            <w:pPr>
              <w:pStyle w:val="null3"/>
              <w:jc w:val="right"/>
            </w:pPr>
            <w:r>
              <w:rPr>
                <w:sz w:val="21"/>
              </w:rPr>
              <w:t xml:space="preserve"> </w:t>
            </w:r>
            <w:r>
              <w:rPr>
                <w:sz w:val="21"/>
                <w:u w:val="single"/>
              </w:rPr>
              <w:t xml:space="preserve">      </w:t>
            </w:r>
            <w:r>
              <w:rPr>
                <w:sz w:val="22"/>
                <w:color w:val="000000"/>
              </w:rPr>
              <w:t>年</w:t>
            </w:r>
            <w:r>
              <w:rPr>
                <w:sz w:val="21"/>
                <w:u w:val="single"/>
              </w:rPr>
              <w:t xml:space="preserve">    </w:t>
            </w:r>
            <w:r>
              <w:rPr>
                <w:sz w:val="22"/>
                <w:color w:val="000000"/>
              </w:rPr>
              <w:t>月</w:t>
            </w:r>
          </w:p>
          <w:tbl>
            <w:tblPr>
              <w:tblInd w:type="dxa" w:w="105"/>
              <w:tblBorders>
                <w:top w:val="none" w:color="000000" w:sz="4"/>
                <w:left w:val="none" w:color="000000" w:sz="4"/>
                <w:bottom w:val="none" w:color="000000" w:sz="4"/>
                <w:right w:val="none" w:color="000000" w:sz="4"/>
                <w:insideH w:val="none"/>
                <w:insideV w:val="none"/>
              </w:tblBorders>
            </w:tblPr>
            <w:tblGrid>
              <w:gridCol w:w="412"/>
              <w:gridCol w:w="3322"/>
              <w:gridCol w:w="504"/>
              <w:gridCol w:w="917"/>
              <w:gridCol w:w="431"/>
            </w:tblGrid>
            <w:tr>
              <w:tc>
                <w:tcPr>
                  <w:tcW w:type="dxa" w:w="41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类别</w:t>
                  </w:r>
                </w:p>
              </w:tc>
              <w:tc>
                <w:tcPr>
                  <w:tcW w:type="dxa" w:w="3322"/>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标准内容</w:t>
                  </w:r>
                </w:p>
              </w:tc>
              <w:tc>
                <w:tcPr>
                  <w:tcW w:type="dxa" w:w="50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分值</w:t>
                  </w:r>
                </w:p>
              </w:tc>
              <w:tc>
                <w:tcPr>
                  <w:tcW w:type="dxa" w:w="917"/>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评分标准</w:t>
                  </w:r>
                </w:p>
              </w:tc>
              <w:tc>
                <w:tcPr>
                  <w:tcW w:type="dxa" w:w="431"/>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扣分</w:t>
                  </w:r>
                </w:p>
              </w:tc>
            </w:tr>
            <w:tr>
              <w:tc>
                <w:tcPr>
                  <w:tcW w:type="dxa" w:w="412"/>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105" w:right="105"/>
                    <w:jc w:val="center"/>
                  </w:pPr>
                  <w:r>
                    <w:rPr>
                      <w:sz w:val="22"/>
                    </w:rPr>
                    <w:t>一、基础服务质量（</w:t>
                  </w:r>
                  <w:r>
                    <w:rPr>
                      <w:sz w:val="22"/>
                    </w:rPr>
                    <w:t>37分）</w:t>
                  </w:r>
                </w:p>
              </w:tc>
              <w:tc>
                <w:tcPr>
                  <w:tcW w:type="dxa" w:w="332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1.制度建设</w:t>
                  </w:r>
                </w:p>
                <w:p>
                  <w:pPr>
                    <w:pStyle w:val="null3"/>
                    <w:jc w:val="both"/>
                  </w:pPr>
                  <w:r>
                    <w:rPr>
                      <w:sz w:val="22"/>
                    </w:rPr>
                    <w:t>①建立健全各项管理制度（包括但不限于员工培训、学习考核、外出请假等制度），制定各相应的岗位工作职责标准，并制定具体的落实措施；</w:t>
                  </w:r>
                </w:p>
                <w:p>
                  <w:pPr>
                    <w:pStyle w:val="null3"/>
                    <w:jc w:val="both"/>
                  </w:pPr>
                  <w:r>
                    <w:rPr>
                      <w:sz w:val="22"/>
                    </w:rPr>
                    <w:t>②特殊时期管理人员需安排全天候轮值处理突发事件；</w:t>
                  </w:r>
                </w:p>
                <w:p>
                  <w:pPr>
                    <w:pStyle w:val="null3"/>
                    <w:jc w:val="both"/>
                  </w:pPr>
                  <w:r>
                    <w:rPr>
                      <w:sz w:val="22"/>
                    </w:rPr>
                    <w:t>③项目相关的管理人员需保持通讯工具24小时开启；</w:t>
                  </w:r>
                </w:p>
                <w:p>
                  <w:pPr>
                    <w:pStyle w:val="null3"/>
                    <w:jc w:val="both"/>
                  </w:pPr>
                  <w:r>
                    <w:rPr>
                      <w:sz w:val="22"/>
                    </w:rPr>
                    <w:t>④建立员工健康管理台账，对员工定时进行健康监测。</w:t>
                  </w:r>
                </w:p>
              </w:tc>
              <w:tc>
                <w:tcPr>
                  <w:tcW w:type="dxa" w:w="5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5</w:t>
                  </w:r>
                </w:p>
              </w:tc>
              <w:tc>
                <w:tcPr>
                  <w:tcW w:type="dxa" w:w="91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每发现一项</w:t>
                  </w:r>
                  <w:r>
                    <w:rPr>
                      <w:sz w:val="22"/>
                    </w:rPr>
                    <w:t>/次不符合要求，扣0.5分。</w:t>
                  </w:r>
                </w:p>
              </w:tc>
              <w:tc>
                <w:tcPr>
                  <w:tcW w:type="dxa" w:w="4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412"/>
                  <w:vMerge/>
                  <w:tcBorders>
                    <w:top w:val="none" w:color="000000" w:sz="4"/>
                    <w:left w:val="single" w:color="000000" w:sz="8"/>
                    <w:bottom w:val="single" w:color="000000" w:sz="8"/>
                    <w:right w:val="single" w:color="000000" w:sz="8"/>
                  </w:tcBorders>
                </w:tcPr>
                <w:p/>
              </w:tc>
              <w:tc>
                <w:tcPr>
                  <w:tcW w:type="dxa" w:w="332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2.仪容仪表要求</w:t>
                  </w:r>
                </w:p>
                <w:p>
                  <w:pPr>
                    <w:pStyle w:val="null3"/>
                    <w:jc w:val="both"/>
                  </w:pPr>
                  <w:r>
                    <w:rPr>
                      <w:sz w:val="22"/>
                    </w:rPr>
                    <w:t>①各值班人员按照岗位分工着统一服装，佩戴相对应工牌；</w:t>
                  </w:r>
                </w:p>
                <w:p>
                  <w:pPr>
                    <w:pStyle w:val="null3"/>
                    <w:jc w:val="both"/>
                  </w:pPr>
                  <w:r>
                    <w:rPr>
                      <w:sz w:val="22"/>
                    </w:rPr>
                    <w:t>②值班时姿势端正、精神抖擞，举止文明礼貌，使用服务用语及服务手势。</w:t>
                  </w:r>
                </w:p>
              </w:tc>
              <w:tc>
                <w:tcPr>
                  <w:tcW w:type="dxa" w:w="5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5</w:t>
                  </w:r>
                </w:p>
              </w:tc>
              <w:tc>
                <w:tcPr>
                  <w:tcW w:type="dxa" w:w="91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每发现一项</w:t>
                  </w:r>
                  <w:r>
                    <w:rPr>
                      <w:sz w:val="22"/>
                    </w:rPr>
                    <w:t>/次不符合要求，扣0.5分。</w:t>
                  </w:r>
                </w:p>
              </w:tc>
              <w:tc>
                <w:tcPr>
                  <w:tcW w:type="dxa" w:w="4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412"/>
                  <w:vMerge/>
                  <w:tcBorders>
                    <w:top w:val="none" w:color="000000" w:sz="4"/>
                    <w:left w:val="single" w:color="000000" w:sz="8"/>
                    <w:bottom w:val="single" w:color="000000" w:sz="8"/>
                    <w:right w:val="single" w:color="000000" w:sz="8"/>
                  </w:tcBorders>
                </w:tcPr>
                <w:p/>
              </w:tc>
              <w:tc>
                <w:tcPr>
                  <w:tcW w:type="dxa" w:w="332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3.突发事件</w:t>
                  </w:r>
                </w:p>
                <w:p>
                  <w:pPr>
                    <w:pStyle w:val="null3"/>
                    <w:jc w:val="both"/>
                  </w:pPr>
                  <w:r>
                    <w:rPr>
                      <w:sz w:val="22"/>
                    </w:rPr>
                    <w:t>①未能及时制定及更新各类突发事件应急预案；</w:t>
                  </w:r>
                </w:p>
                <w:p>
                  <w:pPr>
                    <w:pStyle w:val="null3"/>
                    <w:jc w:val="both"/>
                  </w:pPr>
                  <w:r>
                    <w:rPr>
                      <w:sz w:val="22"/>
                    </w:rPr>
                    <w:t>②发生突发事件时人员接到指令未能在1分钟内到位处理；</w:t>
                  </w:r>
                </w:p>
                <w:p>
                  <w:pPr>
                    <w:pStyle w:val="null3"/>
                    <w:jc w:val="both"/>
                  </w:pPr>
                  <w:r>
                    <w:rPr>
                      <w:sz w:val="22"/>
                    </w:rPr>
                    <w:t>③发生突发事件（如院内通道严重拥堵、秩序混乱、打架斗殴、上访事件等）未能及时通报并采取措施控制，有明显过失且影响采购人单位正常运作。</w:t>
                  </w:r>
                </w:p>
              </w:tc>
              <w:tc>
                <w:tcPr>
                  <w:tcW w:type="dxa" w:w="5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12</w:t>
                  </w:r>
                </w:p>
              </w:tc>
              <w:tc>
                <w:tcPr>
                  <w:tcW w:type="dxa" w:w="91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每发现一项</w:t>
                  </w:r>
                  <w:r>
                    <w:rPr>
                      <w:sz w:val="22"/>
                    </w:rPr>
                    <w:t>/次，扣1分。</w:t>
                  </w:r>
                </w:p>
              </w:tc>
              <w:tc>
                <w:tcPr>
                  <w:tcW w:type="dxa" w:w="4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412"/>
                  <w:vMerge/>
                  <w:tcBorders>
                    <w:top w:val="none" w:color="000000" w:sz="4"/>
                    <w:left w:val="single" w:color="000000" w:sz="8"/>
                    <w:bottom w:val="single" w:color="000000" w:sz="8"/>
                    <w:right w:val="single" w:color="000000" w:sz="8"/>
                  </w:tcBorders>
                </w:tcPr>
                <w:p/>
              </w:tc>
              <w:tc>
                <w:tcPr>
                  <w:tcW w:type="dxa" w:w="332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4.投诉</w:t>
                  </w:r>
                </w:p>
                <w:p>
                  <w:pPr>
                    <w:pStyle w:val="null3"/>
                    <w:jc w:val="both"/>
                  </w:pPr>
                  <w:r>
                    <w:rPr>
                      <w:sz w:val="22"/>
                    </w:rPr>
                    <w:t>服务工作不到位，导致有效投诉。</w:t>
                  </w:r>
                </w:p>
              </w:tc>
              <w:tc>
                <w:tcPr>
                  <w:tcW w:type="dxa" w:w="5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5</w:t>
                  </w:r>
                </w:p>
              </w:tc>
              <w:tc>
                <w:tcPr>
                  <w:tcW w:type="dxa" w:w="91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每次扣</w:t>
                  </w:r>
                  <w:r>
                    <w:rPr>
                      <w:sz w:val="22"/>
                    </w:rPr>
                    <w:t>1分。</w:t>
                  </w:r>
                </w:p>
              </w:tc>
              <w:tc>
                <w:tcPr>
                  <w:tcW w:type="dxa" w:w="4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p>
              </w:tc>
            </w:tr>
            <w:tr>
              <w:tc>
                <w:tcPr>
                  <w:tcW w:type="dxa" w:w="412"/>
                  <w:vMerge/>
                  <w:tcBorders>
                    <w:top w:val="none" w:color="000000" w:sz="4"/>
                    <w:left w:val="single" w:color="000000" w:sz="8"/>
                    <w:bottom w:val="single" w:color="000000" w:sz="8"/>
                    <w:right w:val="single" w:color="000000" w:sz="8"/>
                  </w:tcBorders>
                </w:tcPr>
                <w:p/>
              </w:tc>
              <w:tc>
                <w:tcPr>
                  <w:tcW w:type="dxa" w:w="332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5.值班要求</w:t>
                  </w:r>
                </w:p>
                <w:p>
                  <w:pPr>
                    <w:pStyle w:val="null3"/>
                    <w:jc w:val="both"/>
                  </w:pPr>
                  <w:r>
                    <w:rPr>
                      <w:sz w:val="22"/>
                    </w:rPr>
                    <w:t>①值岗不得消极怠工、值班时间内不得做与岗位工作要求无关的事情（突发事件处理、采购人临时工作要求除外）；</w:t>
                  </w:r>
                </w:p>
                <w:p>
                  <w:pPr>
                    <w:pStyle w:val="null3"/>
                    <w:jc w:val="both"/>
                  </w:pPr>
                  <w:r>
                    <w:rPr>
                      <w:sz w:val="22"/>
                    </w:rPr>
                    <w:t>②值岗时间不得用手机看与工作无关的内容，不允许吸烟、吃东西等；</w:t>
                  </w:r>
                </w:p>
                <w:p>
                  <w:pPr>
                    <w:pStyle w:val="null3"/>
                    <w:jc w:val="both"/>
                  </w:pPr>
                  <w:r>
                    <w:rPr>
                      <w:sz w:val="22"/>
                    </w:rPr>
                    <w:t>③新入职员工年龄符合合同规定；</w:t>
                  </w:r>
                </w:p>
                <w:p>
                  <w:pPr>
                    <w:pStyle w:val="null3"/>
                    <w:jc w:val="both"/>
                  </w:pPr>
                  <w:r>
                    <w:rPr>
                      <w:sz w:val="22"/>
                    </w:rPr>
                    <w:t>④岗位设置及执勤安排按合同要求执行（采购人另外要求除外），不得缺岗少岗。</w:t>
                  </w:r>
                </w:p>
              </w:tc>
              <w:tc>
                <w:tcPr>
                  <w:tcW w:type="dxa" w:w="5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10</w:t>
                  </w:r>
                </w:p>
              </w:tc>
              <w:tc>
                <w:tcPr>
                  <w:tcW w:type="dxa" w:w="91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每发现一项</w:t>
                  </w:r>
                  <w:r>
                    <w:rPr>
                      <w:sz w:val="22"/>
                    </w:rPr>
                    <w:t>/次不符合要求，扣0.5分。</w:t>
                  </w:r>
                </w:p>
              </w:tc>
              <w:tc>
                <w:tcPr>
                  <w:tcW w:type="dxa" w:w="4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412"/>
                  <w:vMerge w:val="restart"/>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2"/>
                    </w:rPr>
                    <w:t>二、安保服务质量（</w:t>
                  </w:r>
                  <w:r>
                    <w:rPr>
                      <w:sz w:val="22"/>
                    </w:rPr>
                    <w:t>63分）</w:t>
                  </w:r>
                </w:p>
              </w:tc>
              <w:tc>
                <w:tcPr>
                  <w:tcW w:type="dxa" w:w="332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1.工作要求</w:t>
                  </w:r>
                </w:p>
                <w:p>
                  <w:pPr>
                    <w:pStyle w:val="null3"/>
                    <w:jc w:val="both"/>
                  </w:pPr>
                  <w:r>
                    <w:rPr>
                      <w:sz w:val="22"/>
                    </w:rPr>
                    <w:t>①定期定时做好消防设施（消防栓、灭火器及重点消防巡查位置）巡查、巡查记录完整、字迹清晰；</w:t>
                  </w:r>
                </w:p>
                <w:p>
                  <w:pPr>
                    <w:pStyle w:val="null3"/>
                    <w:jc w:val="both"/>
                  </w:pPr>
                  <w:r>
                    <w:rPr>
                      <w:sz w:val="22"/>
                    </w:rPr>
                    <w:t>②有消防预警处置程序，发生火警按程序及时处置；</w:t>
                  </w:r>
                </w:p>
                <w:p>
                  <w:pPr>
                    <w:pStyle w:val="null3"/>
                    <w:jc w:val="both"/>
                  </w:pPr>
                  <w:r>
                    <w:rPr>
                      <w:sz w:val="22"/>
                    </w:rPr>
                    <w:t>③员工能正确使用多类消防、物防、技防器械和设备；</w:t>
                  </w:r>
                </w:p>
                <w:p>
                  <w:pPr>
                    <w:pStyle w:val="null3"/>
                    <w:jc w:val="both"/>
                  </w:pPr>
                  <w:r>
                    <w:rPr>
                      <w:sz w:val="22"/>
                    </w:rPr>
                    <w:t>④消防监控控制室值班人员应取得公安机关消防机构核发的相应有效资格证书，持证上岗；</w:t>
                  </w:r>
                </w:p>
                <w:p>
                  <w:pPr>
                    <w:pStyle w:val="null3"/>
                    <w:jc w:val="both"/>
                  </w:pPr>
                  <w:r>
                    <w:rPr>
                      <w:sz w:val="22"/>
                    </w:rPr>
                    <w:t>⑤及时维护保养停车场设施设备；</w:t>
                  </w:r>
                </w:p>
                <w:p>
                  <w:pPr>
                    <w:pStyle w:val="null3"/>
                    <w:jc w:val="both"/>
                  </w:pPr>
                  <w:r>
                    <w:rPr>
                      <w:sz w:val="22"/>
                    </w:rPr>
                    <w:t>⑥不发生乱收费情况。</w:t>
                  </w:r>
                </w:p>
              </w:tc>
              <w:tc>
                <w:tcPr>
                  <w:tcW w:type="dxa" w:w="5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15</w:t>
                  </w:r>
                </w:p>
              </w:tc>
              <w:tc>
                <w:tcPr>
                  <w:tcW w:type="dxa" w:w="91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每发现一次不符合要求，扣</w:t>
                  </w:r>
                  <w:r>
                    <w:rPr>
                      <w:sz w:val="22"/>
                    </w:rPr>
                    <w:t>1分。</w:t>
                  </w:r>
                </w:p>
              </w:tc>
              <w:tc>
                <w:tcPr>
                  <w:tcW w:type="dxa" w:w="4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412"/>
                  <w:vMerge/>
                  <w:tcBorders>
                    <w:top w:val="none" w:color="000000" w:sz="4"/>
                    <w:left w:val="single" w:color="000000" w:sz="8"/>
                    <w:bottom w:val="single" w:color="000000" w:sz="8"/>
                    <w:right w:val="single" w:color="000000" w:sz="8"/>
                  </w:tcBorders>
                </w:tcPr>
                <w:p/>
              </w:tc>
              <w:tc>
                <w:tcPr>
                  <w:tcW w:type="dxa" w:w="332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2.巡逻要求</w:t>
                  </w:r>
                </w:p>
                <w:p>
                  <w:pPr>
                    <w:pStyle w:val="null3"/>
                    <w:jc w:val="both"/>
                  </w:pPr>
                  <w:r>
                    <w:rPr>
                      <w:sz w:val="22"/>
                    </w:rPr>
                    <w:t>①不得对巡逻签到造假；</w:t>
                  </w:r>
                </w:p>
                <w:p>
                  <w:pPr>
                    <w:pStyle w:val="null3"/>
                    <w:jc w:val="both"/>
                  </w:pPr>
                  <w:r>
                    <w:rPr>
                      <w:sz w:val="22"/>
                    </w:rPr>
                    <w:t>②每季度更换1次巡逻路线；</w:t>
                  </w:r>
                </w:p>
                <w:p>
                  <w:pPr>
                    <w:pStyle w:val="null3"/>
                    <w:jc w:val="both"/>
                  </w:pPr>
                  <w:r>
                    <w:rPr>
                      <w:sz w:val="22"/>
                    </w:rPr>
                    <w:t>③路面指示标志摆放整齐。</w:t>
                  </w:r>
                </w:p>
              </w:tc>
              <w:tc>
                <w:tcPr>
                  <w:tcW w:type="dxa" w:w="5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5</w:t>
                  </w:r>
                </w:p>
              </w:tc>
              <w:tc>
                <w:tcPr>
                  <w:tcW w:type="dxa" w:w="91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每发现一次不符合要求，扣</w:t>
                  </w:r>
                  <w:r>
                    <w:rPr>
                      <w:sz w:val="22"/>
                    </w:rPr>
                    <w:t>0.5分。</w:t>
                  </w:r>
                </w:p>
              </w:tc>
              <w:tc>
                <w:tcPr>
                  <w:tcW w:type="dxa" w:w="4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412"/>
                  <w:vMerge/>
                  <w:tcBorders>
                    <w:top w:val="none" w:color="000000" w:sz="4"/>
                    <w:left w:val="single" w:color="000000" w:sz="8"/>
                    <w:bottom w:val="single" w:color="000000" w:sz="8"/>
                    <w:right w:val="single" w:color="000000" w:sz="8"/>
                  </w:tcBorders>
                </w:tcPr>
                <w:p/>
              </w:tc>
              <w:tc>
                <w:tcPr>
                  <w:tcW w:type="dxa" w:w="332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3.交接班要求</w:t>
                  </w:r>
                </w:p>
                <w:p>
                  <w:pPr>
                    <w:pStyle w:val="null3"/>
                    <w:jc w:val="both"/>
                  </w:pPr>
                  <w:r>
                    <w:rPr>
                      <w:sz w:val="22"/>
                    </w:rPr>
                    <w:t>①准时交接班，并完整交接上班次未尽事宜，交接人员做好交接工作；</w:t>
                  </w:r>
                </w:p>
                <w:p>
                  <w:pPr>
                    <w:pStyle w:val="null3"/>
                    <w:jc w:val="both"/>
                  </w:pPr>
                  <w:r>
                    <w:rPr>
                      <w:sz w:val="22"/>
                    </w:rPr>
                    <w:t>②交接班记录字体清晰、端正、内容详细、无遗漏。</w:t>
                  </w:r>
                </w:p>
              </w:tc>
              <w:tc>
                <w:tcPr>
                  <w:tcW w:type="dxa" w:w="5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5</w:t>
                  </w:r>
                </w:p>
              </w:tc>
              <w:tc>
                <w:tcPr>
                  <w:tcW w:type="dxa" w:w="91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每发现一次不符合要求，扣</w:t>
                  </w:r>
                  <w:r>
                    <w:rPr>
                      <w:sz w:val="22"/>
                    </w:rPr>
                    <w:t>0.5分。</w:t>
                  </w:r>
                </w:p>
              </w:tc>
              <w:tc>
                <w:tcPr>
                  <w:tcW w:type="dxa" w:w="4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412"/>
                  <w:vMerge/>
                  <w:tcBorders>
                    <w:top w:val="none" w:color="000000" w:sz="4"/>
                    <w:left w:val="single" w:color="000000" w:sz="8"/>
                    <w:bottom w:val="single" w:color="000000" w:sz="8"/>
                    <w:right w:val="single" w:color="000000" w:sz="8"/>
                  </w:tcBorders>
                </w:tcPr>
                <w:p/>
              </w:tc>
              <w:tc>
                <w:tcPr>
                  <w:tcW w:type="dxa" w:w="332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4.培训</w:t>
                  </w:r>
                </w:p>
                <w:p>
                  <w:pPr>
                    <w:pStyle w:val="null3"/>
                    <w:jc w:val="both"/>
                  </w:pPr>
                  <w:r>
                    <w:rPr>
                      <w:sz w:val="22"/>
                    </w:rPr>
                    <w:t xml:space="preserve">①每月对保安员开展不少于两次的培训（含突发事件处置、器械使用、交通手势等培训）。                        </w:t>
                  </w:r>
                </w:p>
              </w:tc>
              <w:tc>
                <w:tcPr>
                  <w:tcW w:type="dxa" w:w="5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4</w:t>
                  </w:r>
                </w:p>
              </w:tc>
              <w:tc>
                <w:tcPr>
                  <w:tcW w:type="dxa" w:w="91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需提供培训记录，每缺少一次，扣</w:t>
                  </w:r>
                  <w:r>
                    <w:rPr>
                      <w:sz w:val="22"/>
                    </w:rPr>
                    <w:t>2分。</w:t>
                  </w:r>
                </w:p>
              </w:tc>
              <w:tc>
                <w:tcPr>
                  <w:tcW w:type="dxa" w:w="4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412"/>
                  <w:vMerge/>
                  <w:tcBorders>
                    <w:top w:val="none" w:color="000000" w:sz="4"/>
                    <w:left w:val="single" w:color="000000" w:sz="8"/>
                    <w:bottom w:val="single" w:color="000000" w:sz="8"/>
                    <w:right w:val="single" w:color="000000" w:sz="8"/>
                  </w:tcBorders>
                </w:tcPr>
                <w:p/>
              </w:tc>
              <w:tc>
                <w:tcPr>
                  <w:tcW w:type="dxa" w:w="332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5.安全维护</w:t>
                  </w:r>
                </w:p>
                <w:p>
                  <w:pPr>
                    <w:pStyle w:val="null3"/>
                    <w:jc w:val="both"/>
                  </w:pPr>
                  <w:r>
                    <w:rPr>
                      <w:sz w:val="22"/>
                    </w:rPr>
                    <w:t>日常要切实做好巡查、防护工作，不得因管理疏漏造成医院损失。</w:t>
                  </w:r>
                </w:p>
              </w:tc>
              <w:tc>
                <w:tcPr>
                  <w:tcW w:type="dxa" w:w="5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6</w:t>
                  </w:r>
                </w:p>
              </w:tc>
              <w:tc>
                <w:tcPr>
                  <w:tcW w:type="dxa" w:w="91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每发现一次不符合要求扣</w:t>
                  </w:r>
                  <w:r>
                    <w:rPr>
                      <w:sz w:val="22"/>
                    </w:rPr>
                    <w:t>2分。</w:t>
                  </w:r>
                </w:p>
              </w:tc>
              <w:tc>
                <w:tcPr>
                  <w:tcW w:type="dxa" w:w="4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412"/>
                  <w:vMerge/>
                  <w:tcBorders>
                    <w:top w:val="none" w:color="000000" w:sz="4"/>
                    <w:left w:val="single" w:color="000000" w:sz="8"/>
                    <w:bottom w:val="single" w:color="000000" w:sz="8"/>
                    <w:right w:val="single" w:color="000000" w:sz="8"/>
                  </w:tcBorders>
                </w:tcPr>
                <w:p/>
              </w:tc>
              <w:tc>
                <w:tcPr>
                  <w:tcW w:type="dxa" w:w="332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6.案件</w:t>
                  </w:r>
                </w:p>
                <w:p>
                  <w:pPr>
                    <w:pStyle w:val="null3"/>
                    <w:jc w:val="both"/>
                  </w:pPr>
                  <w:r>
                    <w:rPr>
                      <w:sz w:val="22"/>
                    </w:rPr>
                    <w:t>经过核查因安保工作不到位导致发生案件。</w:t>
                  </w:r>
                </w:p>
              </w:tc>
              <w:tc>
                <w:tcPr>
                  <w:tcW w:type="dxa" w:w="5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6</w:t>
                  </w:r>
                </w:p>
              </w:tc>
              <w:tc>
                <w:tcPr>
                  <w:tcW w:type="dxa" w:w="91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每次扣</w:t>
                  </w:r>
                  <w:r>
                    <w:rPr>
                      <w:sz w:val="22"/>
                    </w:rPr>
                    <w:t>2分。</w:t>
                  </w:r>
                </w:p>
              </w:tc>
              <w:tc>
                <w:tcPr>
                  <w:tcW w:type="dxa" w:w="4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412"/>
                  <w:vMerge/>
                  <w:tcBorders>
                    <w:top w:val="none" w:color="000000" w:sz="4"/>
                    <w:left w:val="single" w:color="000000" w:sz="8"/>
                    <w:bottom w:val="single" w:color="000000" w:sz="8"/>
                    <w:right w:val="single" w:color="000000" w:sz="8"/>
                  </w:tcBorders>
                </w:tcPr>
                <w:p/>
              </w:tc>
              <w:tc>
                <w:tcPr>
                  <w:tcW w:type="dxa" w:w="332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7.服从指令</w:t>
                  </w:r>
                </w:p>
                <w:p>
                  <w:pPr>
                    <w:pStyle w:val="null3"/>
                    <w:jc w:val="both"/>
                  </w:pPr>
                  <w:r>
                    <w:rPr>
                      <w:sz w:val="22"/>
                    </w:rPr>
                    <w:t>①保安员须服从上级领导或采购人临时紧急的、合理的要求完成各项安全保卫工作；</w:t>
                  </w:r>
                </w:p>
                <w:p>
                  <w:pPr>
                    <w:pStyle w:val="null3"/>
                    <w:jc w:val="both"/>
                  </w:pPr>
                  <w:r>
                    <w:rPr>
                      <w:sz w:val="22"/>
                    </w:rPr>
                    <w:t>②接到指令或接到采购人的要求时在</w:t>
                  </w:r>
                  <w:r>
                    <w:rPr>
                      <w:sz w:val="22"/>
                      <w:color w:val="000000"/>
                    </w:rPr>
                    <w:t>3分钟</w:t>
                  </w:r>
                  <w:r>
                    <w:rPr>
                      <w:sz w:val="22"/>
                    </w:rPr>
                    <w:t>内准确到达指定位置并开展工作。</w:t>
                  </w:r>
                </w:p>
              </w:tc>
              <w:tc>
                <w:tcPr>
                  <w:tcW w:type="dxa" w:w="5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10</w:t>
                  </w:r>
                </w:p>
              </w:tc>
              <w:tc>
                <w:tcPr>
                  <w:tcW w:type="dxa" w:w="91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每发现一次不符合要求，扣</w:t>
                  </w:r>
                  <w:r>
                    <w:rPr>
                      <w:sz w:val="22"/>
                    </w:rPr>
                    <w:t>1分。</w:t>
                  </w:r>
                </w:p>
              </w:tc>
              <w:tc>
                <w:tcPr>
                  <w:tcW w:type="dxa" w:w="4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412"/>
                  <w:vMerge/>
                  <w:tcBorders>
                    <w:top w:val="none" w:color="000000" w:sz="4"/>
                    <w:left w:val="single" w:color="000000" w:sz="8"/>
                    <w:bottom w:val="single" w:color="000000" w:sz="8"/>
                    <w:right w:val="single" w:color="000000" w:sz="8"/>
                  </w:tcBorders>
                </w:tcPr>
                <w:p/>
              </w:tc>
              <w:tc>
                <w:tcPr>
                  <w:tcW w:type="dxa" w:w="3322"/>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8.其他要求</w:t>
                  </w:r>
                </w:p>
                <w:p>
                  <w:pPr>
                    <w:pStyle w:val="null3"/>
                    <w:jc w:val="both"/>
                  </w:pPr>
                  <w:r>
                    <w:rPr>
                      <w:sz w:val="22"/>
                    </w:rPr>
                    <w:t>未经采购人允许禁止以下行为：</w:t>
                  </w:r>
                </w:p>
                <w:p>
                  <w:pPr>
                    <w:pStyle w:val="null3"/>
                    <w:jc w:val="both"/>
                  </w:pPr>
                  <w:r>
                    <w:rPr>
                      <w:sz w:val="22"/>
                    </w:rPr>
                    <w:t>①私自带外来人员进入采购人单位消防监控中心；</w:t>
                  </w:r>
                </w:p>
                <w:p>
                  <w:pPr>
                    <w:pStyle w:val="null3"/>
                    <w:jc w:val="both"/>
                  </w:pPr>
                  <w:r>
                    <w:rPr>
                      <w:sz w:val="22"/>
                    </w:rPr>
                    <w:t>②将采购人单位物品借予他人、挪用采购人单位物品；</w:t>
                  </w:r>
                </w:p>
                <w:p>
                  <w:pPr>
                    <w:pStyle w:val="null3"/>
                    <w:jc w:val="both"/>
                  </w:pPr>
                  <w:r>
                    <w:rPr>
                      <w:sz w:val="22"/>
                    </w:rPr>
                    <w:t>③擅自查看、拷贝或删除采购人单位监控录像。</w:t>
                  </w:r>
                </w:p>
              </w:tc>
              <w:tc>
                <w:tcPr>
                  <w:tcW w:type="dxa" w:w="50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12</w:t>
                  </w:r>
                </w:p>
              </w:tc>
              <w:tc>
                <w:tcPr>
                  <w:tcW w:type="dxa" w:w="91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2"/>
                    </w:rPr>
                    <w:t>每发现一次不符合要求，扣</w:t>
                  </w:r>
                  <w:r>
                    <w:rPr>
                      <w:sz w:val="22"/>
                    </w:rPr>
                    <w:t>2分。</w:t>
                  </w:r>
                </w:p>
              </w:tc>
              <w:tc>
                <w:tcPr>
                  <w:tcW w:type="dxa" w:w="431"/>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both"/>
                  </w:pPr>
                </w:p>
              </w:tc>
            </w:tr>
            <w:tr>
              <w:tc>
                <w:tcPr>
                  <w:tcW w:type="dxa" w:w="5586"/>
                  <w:gridSpan w:val="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2"/>
                    </w:rPr>
                    <w:t xml:space="preserve">   </w:t>
                  </w:r>
                  <w:r>
                    <w:rPr>
                      <w:sz w:val="22"/>
                    </w:rPr>
                    <w:t>总分：</w:t>
                  </w:r>
                  <w:r>
                    <w:rPr>
                      <w:sz w:val="22"/>
                    </w:rPr>
                    <w:t>100分                                            得分：</w:t>
                  </w:r>
                  <w:r>
                    <w:rPr>
                      <w:sz w:val="21"/>
                      <w:u w:val="single"/>
                    </w:rPr>
                    <w:t xml:space="preserve">     </w:t>
                  </w:r>
                  <w:r>
                    <w:rPr>
                      <w:sz w:val="22"/>
                    </w:rPr>
                    <w:t>分</w:t>
                  </w:r>
                </w:p>
              </w:tc>
            </w:tr>
          </w:tbl>
          <w:p>
            <w:pPr>
              <w:pStyle w:val="null3"/>
              <w:jc w:val="both"/>
            </w:pPr>
            <w:r>
              <w:rPr>
                <w:sz w:val="22"/>
              </w:rPr>
              <w:t>说明：</w:t>
            </w:r>
          </w:p>
          <w:p>
            <w:pPr>
              <w:pStyle w:val="null3"/>
              <w:jc w:val="both"/>
            </w:pPr>
            <w:r>
              <w:rPr>
                <w:sz w:val="22"/>
              </w:rPr>
              <w:t>1.服务质量每月考核一次，考核结果跟随发票作为每月服务费的付款依据，根据评分情况按下述比例扣除相应的服务费作为扣罚。</w:t>
            </w:r>
          </w:p>
          <w:p>
            <w:pPr>
              <w:pStyle w:val="null3"/>
              <w:jc w:val="both"/>
            </w:pPr>
            <w:r>
              <w:rPr>
                <w:sz w:val="22"/>
              </w:rPr>
              <w:t>2.考核评分满分为100分，考核得分为A、B、C、D四个等级，A≥95分，90分≤B＜95分，85分≤C＜90分，D＜85分；</w:t>
            </w:r>
          </w:p>
          <w:p>
            <w:pPr>
              <w:pStyle w:val="null3"/>
              <w:jc w:val="both"/>
            </w:pPr>
            <w:r>
              <w:rPr>
                <w:sz w:val="22"/>
              </w:rPr>
              <w:t>3.以每月的服务费为基数，处罚比例如下：A级不扣罚；B级扣罚1%当月服务费；C级扣罚3%当月服务费；D级扣罚5%当月服务费。一年内连续两次考核为D级的，除扣罚相应服务费外，采购人有权单方面终止合同。</w:t>
            </w:r>
          </w:p>
          <w:p>
            <w:pPr>
              <w:pStyle w:val="null3"/>
              <w:jc w:val="both"/>
            </w:pPr>
            <w:r>
              <w:rPr>
                <w:sz w:val="22"/>
              </w:rPr>
              <w:t>被考核单位负责人：</w:t>
            </w:r>
            <w:r>
              <w:rPr>
                <w:sz w:val="22"/>
              </w:rPr>
              <w:t xml:space="preserve">                          </w:t>
            </w:r>
            <w:r>
              <w:rPr>
                <w:sz w:val="22"/>
              </w:rPr>
              <w:t>采购人单位考核人员：</w:t>
            </w:r>
          </w:p>
          <w:p>
            <w:pPr>
              <w:pStyle w:val="null3"/>
              <w:jc w:val="both"/>
            </w:pPr>
            <w:r>
              <w:rPr>
                <w:sz w:val="22"/>
              </w:rPr>
              <w:t>签名及盖章：</w:t>
            </w:r>
            <w:r>
              <w:rPr>
                <w:sz w:val="21"/>
                <w:u w:val="single"/>
              </w:rPr>
              <w:t xml:space="preserve">              </w:t>
            </w:r>
            <w:r>
              <w:rPr>
                <w:sz w:val="22"/>
              </w:rPr>
              <w:t xml:space="preserve">                       </w:t>
            </w:r>
            <w:r>
              <w:rPr>
                <w:sz w:val="22"/>
              </w:rPr>
              <w:t>签名及盖章：</w:t>
            </w:r>
            <w:r>
              <w:rPr>
                <w:sz w:val="21"/>
                <w:u w:val="single"/>
              </w:rPr>
              <w:t xml:space="preserve">              </w:t>
            </w:r>
          </w:p>
          <w:p>
            <w:pPr>
              <w:pStyle w:val="null3"/>
              <w:jc w:val="both"/>
            </w:pPr>
            <w:r>
              <w:rPr>
                <w:sz w:val="21"/>
              </w:rPr>
              <w:t xml:space="preserve">                                                                   </w:t>
            </w:r>
            <w:r>
              <w:rPr>
                <w:sz w:val="21"/>
                <w:u w:val="single"/>
              </w:rPr>
              <w:t xml:space="preserve">        </w:t>
            </w:r>
            <w:r>
              <w:rPr>
                <w:sz w:val="22"/>
              </w:rPr>
              <w:t>年</w:t>
            </w:r>
            <w:r>
              <w:rPr>
                <w:sz w:val="21"/>
                <w:u w:val="single"/>
              </w:rPr>
              <w:t xml:space="preserve">     </w:t>
            </w:r>
            <w:r>
              <w:rPr>
                <w:sz w:val="22"/>
              </w:rPr>
              <w:t>月</w:t>
            </w:r>
            <w:r>
              <w:rPr>
                <w:sz w:val="21"/>
                <w:u w:val="single"/>
              </w:rPr>
              <w:t xml:space="preserve">    </w:t>
            </w:r>
            <w:r>
              <w:rPr>
                <w:sz w:val="22"/>
              </w:rPr>
              <w:t>日</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考《招标代理服务收费管理暂行办法》（国家发展计划委员会计价格[2002]1980号）、《国家发展改革委办公厅关于招标代理服务收费有关问题的通知》（发改办价格[2003]857号）及《国家发展改革委关于降低部分建设项目收费标准规范收费行为等有关问题的通知》（发改价格〔2011〕534号）招标代理服务收费标准的80 %向中标（成交）人收取，单项收费最高不超过10万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请在汇款单上写明本项目的项目名称+中标服务费）：开户银行：中信银行中山分行营业部，帐号：8110901011501792984，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三、采购标的对应的中小企业划分标准所属行业，租赁和商务服务业。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13143108376；5）交通银行中山分行 普惠部 杨小勇 13424595554；6）中山农村商业银行 普惠金融部 杜保森 13528137939/0760-88884181；7）中国邮政储蓄银行中山市分行 普惠金融事业部 梁根元 15876006469；8）广发银行中山分行 交易银行部 庄焕杰0760-88862577；9）平安银行中山分行 公司管理部 刘涛 15902062164 跨境业务部 张蕾13802664960 政府业务一部 樊林 13631131569；9）中信银行中山分行 公司银行部（普惠金融部） 陈廷忠 15113386853；10）民生银行中山分行 小微金融部/普惠金融部 陈毅聪 0760-88799160；11）光大银行中山分行 公司金融部 邓敏 0760-88858067；12）招商银行中山分行 风险管理部 钟娟 0760-89981875 公司金融事业部 梁倩 0760-89981269；13）东莞银行中山分行业务部 郑康辉 0760-86939959；14）广州银行中山分行公司金融部 卢盈伶 0760-88776952 普惠业务部 王淼龙 13528240121；15）渤海银行中山分行 公司金融部 张砚珺 0760-87911816 公司金融部 蒋华玲 0760-87911803；16）珠海华润银行中山分行 公司金融部 刘永智 0760-87500626 风险管理部 罗凯欣 0760-87500513；17）浦发银行中山分行 公司业务部 甘芷珺 13415312386；18）华兴银行中山分行 公司银行部 梁卫明 0760-88520074公司银行部 邓松华 0760-88520072；18）大华银行（中国）有限公司中山分行 科技与营运部 黎骏业0760-87707696；19）创兴银行中山支行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中医院2025-2028年保安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采购包1（中山市中医院2025-2028年保安服务项目）：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采购包1（中山市中医院2025-2028年保安服务项目）：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投标人必须具备由公安机关颁发且在有效期内的《保安服务许可证》。</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采购包1（中山市中医院2025-2028年保安服务项目）：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采购包1(中山市中医院2025-2028年保安服务项目):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总体服务管理方案 (16.0分)</w:t>
            </w:r>
          </w:p>
        </w:tc>
        <w:tc>
          <w:tcPr>
            <w:tcW w:type="dxa" w:w="5076"/>
          </w:tcPr>
          <w:p>
            <w:pPr>
              <w:pStyle w:val="null3"/>
              <w:jc w:val="left"/>
            </w:pPr>
            <w:r>
              <w:rPr/>
              <w:t>根据投标人针对本项目提供的总体服务管理方案（包括但不限于服务组织实施计划、门岗管理及保卫巡逻方案、交通秩序维护、人员及财产的安全保卫、交通秩序、车辆停放管理服务、停车场运营工作、设施设备维保方案、服务质量保证、服务承诺等）进行评审： 1.总体服务管理方案措施全面具体、可行，保卫巡逻方案完全满足或针对本项目提出更优的建议，交通秩序维护设计安排合理，科学高效，车辆停放管理方案详细，停车场运营管理流程清晰合理，设施设备维保方案具体可行，服务质量保证和承诺内容描述合理，当医院工作人员或公众生命财产受到威胁时到达现场时间和处理措施优于本项目需求的，得16分； 2.总体服务管理方案措施详细，交通秩序维护具有一定的合理性，车辆停放管理方案描述到位，停车场运营管理流程合理，设施设备维保方案具体，服务质量保证和承诺内容描述符合要求，保卫巡逻方案、当医院工作人员或公众生命财产受到威胁时到达现场时间和处理措施满足本项目需求的，得11分； 3.总体服务管理方案有相应的措施，对整体情况熟悉程度一般，交通秩序维护基本可行，具有车辆停放管理方案内容，停车场运营管理流程简单但具有可行性，设施设备维保方案能基本体现项目需求，服务质量保证和承诺内容基本符合要求，保卫巡逻方案、当医院工作人员或公众生命财产受到威胁时到达现场时间和处理措施满足本项目需求的，得6分； 4.总体服务管理方案措施简略，对整体情况不熟悉或出现偏差，交通秩序维护无具体可行的方案，车辆停放管理方案逻辑条理不清晰或与项目需求有偏差，无法体现对停车场运营的规范化管理，设施设备维保方案笼统，服务质量保证和承诺内容无法体现其合理性，保卫巡逻方案、当医院工作人员或公众生命财产受到威胁时到达现场时间或处理措施不能满足本项目需求的，得1分； 5.未提供方案或方案不符合要求，不得分。</w:t>
            </w:r>
          </w:p>
        </w:tc>
      </w:tr>
      <w:tr>
        <w:tc>
          <w:tcPr>
            <w:tcW w:type="dxa" w:w="922"/>
            <w:gridSpan w:val="2"/>
            <w:vMerge/>
          </w:tcPr>
          <w:p/>
        </w:tc>
        <w:tc>
          <w:tcPr>
            <w:tcW w:type="dxa" w:w="2307"/>
          </w:tcPr>
          <w:p>
            <w:pPr>
              <w:pStyle w:val="null3"/>
              <w:jc w:val="left"/>
            </w:pPr>
            <w:r>
              <w:rPr/>
              <w:t>管理制度 (13.0分)</w:t>
            </w:r>
          </w:p>
        </w:tc>
        <w:tc>
          <w:tcPr>
            <w:tcW w:type="dxa" w:w="5076"/>
          </w:tcPr>
          <w:p>
            <w:pPr>
              <w:pStyle w:val="null3"/>
              <w:jc w:val="left"/>
            </w:pPr>
            <w:r>
              <w:rPr/>
              <w:t>根据投标人针对本项目提供的管理制度（包括但不限于安全防范队伍管理制度、监控室监控管理制度、放行制度、交接班制度、奖惩制度、会议制度、人员培训制度）进行评审： 1.管理制度科学合理、切实可行，安全防范队伍管理制度健全，监控室监控管理制度规范，放行制度严格，交接班制度严谨，奖惩制度分明，会议制度高效，人员培训制度系统严谨，优于本项目需求的，得13分； 2.管理制度合理、具有可行性，安全防范队伍管理制度无缺漏，监控室监控管理制度可行，放行制度明确，交接班制度清晰，奖惩制度合理，会议制度规范，人员培训制度完备，满足本项目需求的，得9分； 3.管理制度内容符合要求，安全防范队伍管理制度简略，监控室监控管理制度粗略，放行制度常规，交接班制度基本可行，奖惩制度模糊，会议制度简单，人员培训制度普通，满足本项目需求的，得5分； 4.管理制度内容简单、不太合理，安全防范队伍管理制度缺失，监控室监控管理制度空泛，放行制度松散，交接班制度随意，奖惩制度形式，会议制度无序，人员培训制度薄弱，无法满足本项目需求的，得1分； 5.未提供方案或方案不符合要求，不得分。</w:t>
            </w:r>
          </w:p>
        </w:tc>
      </w:tr>
      <w:tr>
        <w:tc>
          <w:tcPr>
            <w:tcW w:type="dxa" w:w="922"/>
            <w:gridSpan w:val="2"/>
            <w:vMerge/>
          </w:tcPr>
          <w:p/>
        </w:tc>
        <w:tc>
          <w:tcPr>
            <w:tcW w:type="dxa" w:w="2307"/>
          </w:tcPr>
          <w:p>
            <w:pPr>
              <w:pStyle w:val="null3"/>
              <w:jc w:val="left"/>
            </w:pPr>
            <w:r>
              <w:rPr/>
              <w:t>消防安全管理方案 (13.0分)</w:t>
            </w:r>
          </w:p>
        </w:tc>
        <w:tc>
          <w:tcPr>
            <w:tcW w:type="dxa" w:w="5076"/>
          </w:tcPr>
          <w:p>
            <w:pPr>
              <w:pStyle w:val="null3"/>
              <w:jc w:val="left"/>
            </w:pPr>
            <w:r>
              <w:rPr/>
              <w:t>根据投标人针对本项目提供的消防安全管理方案（对项目的消防管理制度、消防设备巡检、消防演练、应急救援配合服务、消防值班制度等）进行评审： 1.消防安全管理方案全面完善，消防管理制度科学合理，消防设备巡检流程清晰，消防和应急救援演练安排次数优于本项目需求的，得13分； 2.消防安全管理方案全面，消防管理制度具有合理性，消防设备巡检流程较清晰，消防和应急救援演练安排次数满足本项目需求的，得9分； 3.具备消防安全管理方案，消防管理制度符合要求，消防设备巡检流程基本可行，消防和应急救援演练安排次数满足本项目需求的，得5分； 4.消防安全管理方案片面，消防管理制度合理性差，消防设备巡检流程可行性差，消防和应急救援演练安排次数满足本项目需求的，得1分； 5.未提供方案或方案不符合要求，不得分。</w:t>
            </w:r>
          </w:p>
        </w:tc>
      </w:tr>
      <w:tr>
        <w:tc>
          <w:tcPr>
            <w:tcW w:type="dxa" w:w="922"/>
            <w:gridSpan w:val="2"/>
            <w:vMerge/>
          </w:tcPr>
          <w:p/>
        </w:tc>
        <w:tc>
          <w:tcPr>
            <w:tcW w:type="dxa" w:w="2307"/>
          </w:tcPr>
          <w:p>
            <w:pPr>
              <w:pStyle w:val="null3"/>
              <w:jc w:val="left"/>
            </w:pPr>
            <w:r>
              <w:rPr/>
              <w:t>应急方案 (13.0分)</w:t>
            </w:r>
          </w:p>
        </w:tc>
        <w:tc>
          <w:tcPr>
            <w:tcW w:type="dxa" w:w="5076"/>
          </w:tcPr>
          <w:p>
            <w:pPr>
              <w:pStyle w:val="null3"/>
              <w:jc w:val="left"/>
            </w:pPr>
            <w:r>
              <w:rPr/>
              <w:t>根据投标人针对本项目提供的应急救援机制（包括但不限于火警、爆炸、投毒、非法集会、医闹、盗窃等）、各值班岗位及巡逻岗与消防监控中心值班人员处理突发事件联防机制进行评审： 1.应急救援机制考虑全面周全，能及时快速解决突发情况需求，方案详细、合理，联防机制流程清晰、明确，满足本项目需求的，得13分； 2.应急救援机制考虑较全面，能按要求及时解决突发情况需求，方案描述较详细、有一定合理性，联防机制流程合理，满足本项目需求的，得9分； 3.应急救援机制考虑满足要求，能在一定程度上解决突发情况需求，方案基本合理，联防机制流程有一定的可行性，基本满足本项目需求的，得5分； 4.应急救援机制脱离实际，不能解决突发情况需求，处理情况差，方案不合理，联防机制流程模糊不可行，不满足本项目需求的，得1分； 5.未提供方案或方案不符合要求，不得分。</w:t>
            </w:r>
          </w:p>
        </w:tc>
      </w:tr>
      <w:tr>
        <w:tc>
          <w:tcPr>
            <w:tcW w:type="dxa" w:w="922"/>
            <w:gridSpan w:val="2"/>
            <w:vMerge w:val="restart"/>
          </w:tcPr>
          <w:p>
            <w:pPr>
              <w:pStyle w:val="null3"/>
              <w:jc w:val="center"/>
            </w:pPr>
            <w:r>
              <w:rPr/>
              <w:t>商务部分</w:t>
            </w:r>
          </w:p>
        </w:tc>
        <w:tc>
          <w:tcPr>
            <w:tcW w:type="dxa" w:w="2307"/>
          </w:tcPr>
          <w:p>
            <w:pPr>
              <w:pStyle w:val="null3"/>
              <w:jc w:val="left"/>
            </w:pPr>
            <w:r>
              <w:rPr/>
              <w:t>拟投入项目经理情况 (5.0分)</w:t>
            </w:r>
          </w:p>
        </w:tc>
        <w:tc>
          <w:tcPr>
            <w:tcW w:type="dxa" w:w="5076"/>
          </w:tcPr>
          <w:p>
            <w:pPr>
              <w:pStyle w:val="null3"/>
              <w:jc w:val="left"/>
            </w:pPr>
            <w:r>
              <w:rPr/>
              <w:t>拟投入本项目的项目经理（1人）持有以下证书： 1.持有退伍军人证书的，得2分； 2.持有政府相关职能部门颁发的有效期内的保安员职业资格证书情况（本小项最高得2分）： 2.1.具有二级/技师或以上级别，得2分； 2.2.具有三级/高级工或以下级别，得1分； 3.具有本科或以上学历证书的，得1分； 注：（1）提供上述证书复印件或扫描件、证书持有人身份证复印件或扫描件，项目经理和项目主管不能为同一人。（2）同一人员提供多个不相同类型证书的可分别根据对应项得分，提供相同类型不同等级的证书只取其中最高等级算分。（3）投标人提供为其购买2025年1月至开标当月任意一个月的参保证明复印件或扫描件或承诺中标后满足参保要求。（4）投标人提供承诺函（格式自拟），承诺所提供的项目经理负责本项目。（5）未按要求提供的不得分。</w:t>
            </w:r>
          </w:p>
        </w:tc>
      </w:tr>
      <w:tr>
        <w:tc>
          <w:tcPr>
            <w:tcW w:type="dxa" w:w="922"/>
            <w:gridSpan w:val="2"/>
            <w:vMerge/>
          </w:tcPr>
          <w:p/>
        </w:tc>
        <w:tc>
          <w:tcPr>
            <w:tcW w:type="dxa" w:w="2307"/>
          </w:tcPr>
          <w:p>
            <w:pPr>
              <w:pStyle w:val="null3"/>
              <w:jc w:val="left"/>
            </w:pPr>
            <w:r>
              <w:rPr/>
              <w:t>拟投入项目主管情况 (5.0分)</w:t>
            </w:r>
          </w:p>
        </w:tc>
        <w:tc>
          <w:tcPr>
            <w:tcW w:type="dxa" w:w="5076"/>
          </w:tcPr>
          <w:p>
            <w:pPr>
              <w:pStyle w:val="null3"/>
              <w:jc w:val="left"/>
            </w:pPr>
            <w:r>
              <w:rPr/>
              <w:t>拟投入本项目的项目主管（1人）持有以下证书： 1.持有政府相关职能部门颁发的有效期内四级/中级或以上级别《消防设施操作员》或《建（构）筑物消防员》或《应急救援员证》得2分； 2.持有政府相关职能部门颁发的有效期内的保安员职业资格证书，得1分； 3.持有退伍军人证书的，得2分； 注：（1）提供上述证书复印件或扫描件、证书持有人身份证复印件或扫描件，项目主任和项目主管不能为同一人。（2）同一人员提供多个不相同类型证书的可分别根据对应项得分，提供相同类型不同等级的证书只取其中最高等级算分。（3）投标人提供为其购买2025年1月至开标当月任意一个月的参保证明复印件或扫描件或承诺中标后满足参保要求。（4）投标人提供承诺函（格式自拟），承诺所提供的项目主管负责本项目。（5）未按要求提供的不得分。</w:t>
            </w:r>
          </w:p>
        </w:tc>
      </w:tr>
      <w:tr>
        <w:tc>
          <w:tcPr>
            <w:tcW w:type="dxa" w:w="922"/>
            <w:gridSpan w:val="2"/>
            <w:vMerge/>
          </w:tcPr>
          <w:p/>
        </w:tc>
        <w:tc>
          <w:tcPr>
            <w:tcW w:type="dxa" w:w="2307"/>
          </w:tcPr>
          <w:p>
            <w:pPr>
              <w:pStyle w:val="null3"/>
              <w:jc w:val="left"/>
            </w:pPr>
            <w:r>
              <w:rPr/>
              <w:t>拟投入保安人员情况 (10.0分)</w:t>
            </w:r>
          </w:p>
        </w:tc>
        <w:tc>
          <w:tcPr>
            <w:tcW w:type="dxa" w:w="5076"/>
          </w:tcPr>
          <w:p>
            <w:pPr>
              <w:pStyle w:val="null3"/>
              <w:jc w:val="left"/>
            </w:pPr>
            <w:r>
              <w:rPr/>
              <w:t>根据拟投入本项目的保安人员（除项目经理、项目主管外）相关情况进行评审： 1.每提供1名具有四级/中级工或以上级别消防设施操作员职业资格证书的，得1分，本小项最高得6分。 2.每提供1名具有退伍军人证书的，得1分，本小项最高得4分。 注：（1）提供以上人员相关证书复印件并加盖投标人公章，不提供证书不得分，同一人员同时持有多个不同类别证书的，可按类别重复计分；同一类别下持有多个不同等级证书的，不重复计分，本项满分10分； （2）投标人提供为其购买2025年1月至开标当月任意一个月的参保证明复印件或扫描件或承诺中标后满足参保要求。（3）未按要求提供的不得分。</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评标委员会根据投标人提供的同类业绩情况进行评审：2022年1月1日以来（以合同签订时间或合同约定生效日期或履约期限为准）投标人承接的同类项目业绩，每提供1个符合要求的项目业绩得2分，最高得10分。 注：（1）投标文件中提供相应的业绩证明材料复印件或扫描件，业绩证明材料须清晰体现与本项目用户需求采购标的内容同类业绩要求，如评标委员会无法从所提供的材料中判断是否符合要求的，视为不符合； （2）同一个项目提供多份合同的不重复计分；（3）未提供或未按要求提供的，不得分。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根据投标人上述有效“同类业绩”情况，每提供一项评价结果为“优”或“满意”或同等级别的评价证明材料，得1分，本项最高得5分。 注：（1）提供对应项目的服务评价证明材料复印件或扫描件（证明文件应有客户单位公章，客户单位名称与合同一致）逐一附在以上业绩合同后作为评审依据。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pPr>
      <w:r>
        <w:rPr>
          <w:sz w:val="39"/>
          <w:b/>
        </w:rPr>
        <w:t>广东省政府采购</w:t>
      </w:r>
    </w:p>
    <w:p>
      <w:pPr>
        <w:pStyle w:val="null3"/>
        <w:spacing w:before="150" w:after="150"/>
        <w:jc w:val="both"/>
      </w:pPr>
      <w:r>
        <w:rPr/>
        <w:t xml:space="preserve"> </w:t>
      </w:r>
    </w:p>
    <w:p>
      <w:pPr>
        <w:pStyle w:val="null3"/>
        <w:spacing w:before="150" w:after="150"/>
        <w:jc w:val="both"/>
      </w:pPr>
      <w:r>
        <w:rPr/>
        <w:t xml:space="preserve"> </w:t>
      </w:r>
    </w:p>
    <w:p>
      <w:pPr>
        <w:pStyle w:val="null3"/>
        <w:jc w:val="center"/>
      </w:pPr>
      <w:r>
        <w:rPr>
          <w:sz w:val="39"/>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1"/>
          <w:b/>
          <w:color w:val="000000"/>
        </w:rPr>
        <w:t>（本合同范本仅供参考，中标（成交）供应商与采购人可根据双方的具体要求、招标（磋商）文件及投标（响应）文件的约定和承诺进行修订，双方所签订的合同不得对招标（磋商）文件确定的事项和中标（成交）供应商投标文件作实质性修改）</w:t>
      </w:r>
      <w:r>
        <w:br/>
      </w:r>
      <w:r>
        <w:br/>
      </w:r>
      <w:r>
        <w:br/>
      </w:r>
      <w:r>
        <w:br/>
      </w:r>
      <w:r>
        <w:br/>
      </w:r>
      <w:r>
        <w:br/>
      </w:r>
      <w:r>
        <w:br/>
      </w:r>
      <w:r>
        <w:rPr/>
        <w:t xml:space="preserve">  </w:t>
      </w:r>
    </w:p>
    <w:p>
      <w:pPr>
        <w:pStyle w:val="null3"/>
        <w:jc w:val="both"/>
      </w:pPr>
      <w:r>
        <w:rPr>
          <w:sz w:val="28"/>
          <w:color w:val="222222"/>
        </w:rPr>
        <w:t>采购计划编号：</w:t>
      </w:r>
      <w:r>
        <w:rPr>
          <w:u w:val="single"/>
        </w:rPr>
        <w:t xml:space="preserve"> </w:t>
      </w:r>
      <w:r>
        <w:rPr>
          <w:sz w:val="28"/>
          <w:color w:val="222222"/>
          <w:u w:val="single"/>
        </w:rPr>
        <w:t>442000-2025-04316</w:t>
      </w:r>
      <w:r>
        <w:rPr>
          <w:u w:val="single"/>
        </w:rPr>
        <w:t xml:space="preserve">  </w:t>
      </w:r>
    </w:p>
    <w:p>
      <w:pPr>
        <w:pStyle w:val="null3"/>
        <w:jc w:val="left"/>
      </w:pPr>
      <w:r>
        <w:rPr/>
        <w:t xml:space="preserve"> </w:t>
      </w:r>
    </w:p>
    <w:p>
      <w:pPr>
        <w:pStyle w:val="null3"/>
        <w:jc w:val="left"/>
      </w:pPr>
      <w:r>
        <w:rPr>
          <w:sz w:val="28"/>
          <w:color w:val="222222"/>
        </w:rPr>
        <w:t>项目编号：</w:t>
      </w:r>
      <w:r>
        <w:rPr>
          <w:u w:val="single"/>
        </w:rPr>
        <w:t xml:space="preserve"> </w:t>
      </w:r>
      <w:r>
        <w:rPr>
          <w:sz w:val="28"/>
          <w:color w:val="222222"/>
          <w:u w:val="single"/>
        </w:rPr>
        <w:t>442000-2025-04316</w:t>
      </w:r>
      <w:r>
        <w:rPr>
          <w:u w:val="single"/>
        </w:rPr>
        <w:t xml:space="preserve">  </w:t>
      </w:r>
    </w:p>
    <w:p>
      <w:pPr>
        <w:pStyle w:val="null3"/>
        <w:jc w:val="left"/>
      </w:pPr>
      <w:r>
        <w:rPr/>
        <w:t xml:space="preserve"> </w:t>
      </w:r>
    </w:p>
    <w:p>
      <w:pPr>
        <w:pStyle w:val="null3"/>
        <w:jc w:val="left"/>
      </w:pPr>
      <w:r>
        <w:rPr>
          <w:sz w:val="28"/>
          <w:color w:val="222222"/>
        </w:rPr>
        <w:t>项目名称：</w:t>
      </w:r>
      <w:r>
        <w:rPr>
          <w:u w:val="single"/>
        </w:rPr>
        <w:t xml:space="preserve"> </w:t>
      </w:r>
      <w:r>
        <w:rPr>
          <w:sz w:val="28"/>
          <w:u w:val="single"/>
        </w:rPr>
        <w:t>中山市中医院</w:t>
      </w:r>
      <w:r>
        <w:rPr>
          <w:sz w:val="28"/>
          <w:u w:val="single"/>
        </w:rPr>
        <w:t>2025-2028</w:t>
      </w:r>
      <w:r>
        <w:rPr>
          <w:sz w:val="28"/>
          <w:u w:val="single"/>
        </w:rPr>
        <w:t>年保安服务项目</w:t>
      </w:r>
    </w:p>
    <w:p>
      <w:pPr>
        <w:pStyle w:val="null3"/>
        <w:jc w:val="both"/>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sz w:val="24"/>
        </w:rPr>
        <w:t>甲方：</w:t>
      </w:r>
      <w:r>
        <w:rPr>
          <w:sz w:val="24"/>
        </w:rPr>
        <w:t xml:space="preserve">   </w:t>
      </w:r>
    </w:p>
    <w:p>
      <w:pPr>
        <w:pStyle w:val="null3"/>
        <w:ind w:firstLine="480"/>
      </w:pPr>
      <w:r>
        <w:rPr>
          <w:sz w:val="24"/>
        </w:rPr>
        <w:t>电话：</w:t>
      </w:r>
      <w:r>
        <w:rPr>
          <w:sz w:val="24"/>
        </w:rPr>
        <w:t xml:space="preserve">     </w:t>
      </w:r>
      <w:r>
        <w:rPr>
          <w:sz w:val="24"/>
        </w:rPr>
        <w:t>传真：</w:t>
      </w:r>
      <w:r>
        <w:rPr>
          <w:sz w:val="24"/>
        </w:rPr>
        <w:t xml:space="preserve">     </w:t>
      </w:r>
      <w:r>
        <w:rPr>
          <w:sz w:val="24"/>
        </w:rPr>
        <w:t>地址：</w:t>
      </w:r>
      <w:r>
        <w:rPr>
          <w:sz w:val="24"/>
        </w:rPr>
        <w:t xml:space="preserve">     </w:t>
      </w:r>
    </w:p>
    <w:p>
      <w:pPr>
        <w:pStyle w:val="null3"/>
        <w:ind w:firstLine="480"/>
      </w:pPr>
      <w:r>
        <w:rPr>
          <w:sz w:val="24"/>
        </w:rPr>
        <w:t>乙方：</w:t>
      </w:r>
      <w:r>
        <w:rPr>
          <w:sz w:val="24"/>
        </w:rPr>
        <w:t xml:space="preserve">   </w:t>
      </w:r>
    </w:p>
    <w:p>
      <w:pPr>
        <w:pStyle w:val="null3"/>
        <w:ind w:firstLine="480"/>
      </w:pPr>
      <w:r>
        <w:rPr>
          <w:sz w:val="24"/>
        </w:rPr>
        <w:t>电话：</w:t>
      </w:r>
      <w:r>
        <w:rPr>
          <w:sz w:val="24"/>
        </w:rPr>
        <w:t xml:space="preserve">     </w:t>
      </w:r>
      <w:r>
        <w:rPr>
          <w:sz w:val="24"/>
        </w:rPr>
        <w:t>传真：</w:t>
      </w:r>
      <w:r>
        <w:rPr>
          <w:sz w:val="24"/>
        </w:rPr>
        <w:t xml:space="preserve">     </w:t>
      </w:r>
      <w:r>
        <w:rPr>
          <w:sz w:val="24"/>
        </w:rPr>
        <w:t>地址：</w:t>
      </w:r>
      <w:r>
        <w:rPr>
          <w:sz w:val="24"/>
        </w:rPr>
        <w:t xml:space="preserve">     </w:t>
      </w:r>
    </w:p>
    <w:p>
      <w:pPr>
        <w:pStyle w:val="null3"/>
        <w:ind w:firstLine="480"/>
      </w:pPr>
      <w:r>
        <w:rPr>
          <w:sz w:val="24"/>
        </w:rPr>
        <w:t>根据</w:t>
      </w:r>
      <w:r>
        <w:rPr>
          <w:u w:val="single"/>
        </w:rPr>
        <w:t xml:space="preserve"> </w:t>
      </w:r>
      <w:r>
        <w:rPr>
          <w:sz w:val="24"/>
          <w:u w:val="single"/>
        </w:rPr>
        <w:t>中山市中医院</w:t>
      </w:r>
      <w:r>
        <w:rPr>
          <w:sz w:val="24"/>
          <w:u w:val="single"/>
        </w:rPr>
        <w:t>2025-2028年保安服务项目</w:t>
      </w:r>
      <w:r>
        <w:rPr>
          <w:sz w:val="24"/>
        </w:rPr>
        <w:t xml:space="preserve"> </w:t>
      </w:r>
      <w:r>
        <w:rPr>
          <w:sz w:val="24"/>
        </w:rPr>
        <w:t>的采购结果，按照《中华人民共和国政府采购法》，《中华人民共和国民法典</w:t>
      </w:r>
      <w:r>
        <w:rPr>
          <w:sz w:val="24"/>
        </w:rPr>
        <w:t>(合同编)》的规定，经双方协商，本着平等互利和诚实信用的原则，一致同意遵守本合同如下。</w:t>
      </w:r>
    </w:p>
    <w:p>
      <w:pPr>
        <w:pStyle w:val="null3"/>
        <w:ind w:firstLine="480"/>
      </w:pPr>
      <w:r>
        <w:rPr>
          <w:sz w:val="24"/>
          <w:b/>
        </w:rPr>
        <w:t>一、合同金额</w:t>
      </w:r>
    </w:p>
    <w:p>
      <w:pPr>
        <w:pStyle w:val="null3"/>
        <w:ind w:firstLine="480"/>
      </w:pPr>
      <w:r>
        <w:rPr>
          <w:sz w:val="24"/>
        </w:rPr>
        <w:t>合同金额为（大写）：</w:t>
      </w:r>
      <w:r>
        <w:rPr>
          <w:sz w:val="24"/>
        </w:rPr>
        <w:t>_____________元（￥_________元）人民币。</w:t>
      </w:r>
    </w:p>
    <w:p>
      <w:pPr>
        <w:pStyle w:val="null3"/>
        <w:ind w:firstLine="480"/>
      </w:pPr>
      <w:r>
        <w:rPr>
          <w:sz w:val="24"/>
          <w:b/>
        </w:rPr>
        <w:t>二、服务期</w:t>
      </w:r>
    </w:p>
    <w:p>
      <w:pPr>
        <w:pStyle w:val="null3"/>
        <w:ind w:firstLine="480"/>
      </w:pPr>
      <w:r>
        <w:rPr>
          <w:sz w:val="24"/>
        </w:rPr>
        <w:t>服务期叁</w:t>
      </w:r>
      <w:r>
        <w:rPr>
          <w:sz w:val="24"/>
        </w:rPr>
        <w:t>年</w:t>
      </w:r>
      <w:r>
        <w:rPr>
          <w:sz w:val="24"/>
        </w:rPr>
        <w:t>，</w:t>
      </w:r>
      <w:r>
        <w:rPr>
          <w:sz w:val="24"/>
        </w:rPr>
        <w:t>自</w:t>
      </w:r>
      <w:r>
        <w:rPr>
          <w:sz w:val="24"/>
        </w:rPr>
        <w:t>_____年_____月_____日起至_____年_____月_____日止。</w:t>
      </w:r>
    </w:p>
    <w:p>
      <w:pPr>
        <w:pStyle w:val="null3"/>
        <w:ind w:firstLine="480"/>
      </w:pPr>
      <w:r>
        <w:rPr>
          <w:sz w:val="24"/>
          <w:b/>
        </w:rPr>
        <w:t>三、项目服务范围、内容及要求</w:t>
      </w:r>
    </w:p>
    <w:p>
      <w:pPr>
        <w:pStyle w:val="null3"/>
        <w:ind w:firstLine="480"/>
      </w:pPr>
      <w:r>
        <w:rPr>
          <w:sz w:val="24"/>
        </w:rPr>
        <w:t>（一）</w:t>
      </w:r>
      <w:r>
        <w:rPr>
          <w:sz w:val="24"/>
        </w:rPr>
        <w:t>项目概况</w:t>
      </w:r>
    </w:p>
    <w:p>
      <w:pPr>
        <w:pStyle w:val="null3"/>
        <w:ind w:firstLine="480"/>
      </w:pPr>
      <w:r>
        <w:rPr>
          <w:sz w:val="24"/>
        </w:rPr>
        <w:t>1.医院本部：位于中山市西区康欣路3号，占地面积约260亩，建筑面积约26万平方米，现有汽车停车位约2671个。</w:t>
      </w:r>
    </w:p>
    <w:p>
      <w:pPr>
        <w:pStyle w:val="null3"/>
        <w:ind w:firstLine="480"/>
      </w:pPr>
      <w:r>
        <w:rPr>
          <w:sz w:val="24"/>
        </w:rPr>
        <w:t>2.悦来门诊部：位于石岐区悦来上街2号，占地面积约10000㎡、建筑面积约30000㎡，现有汽车停车位约137个。</w:t>
      </w:r>
    </w:p>
    <w:p>
      <w:pPr>
        <w:pStyle w:val="null3"/>
        <w:ind w:firstLine="480"/>
      </w:pPr>
      <w:r>
        <w:rPr>
          <w:sz w:val="24"/>
        </w:rPr>
        <w:t>3.岐江门诊部：位于中山市孙文西路步行街侧，约800㎡。</w:t>
      </w:r>
    </w:p>
    <w:p>
      <w:pPr>
        <w:pStyle w:val="null3"/>
        <w:ind w:firstLine="480"/>
      </w:pPr>
      <w:r>
        <w:rPr>
          <w:sz w:val="24"/>
        </w:rPr>
        <w:t>4.弓箭巷宿舍：位于中山市弓箭巷9号，建筑面积约800㎡。</w:t>
      </w:r>
    </w:p>
    <w:p>
      <w:pPr>
        <w:pStyle w:val="null3"/>
        <w:ind w:firstLine="480"/>
      </w:pPr>
      <w:r>
        <w:rPr>
          <w:sz w:val="24"/>
        </w:rPr>
        <w:t>（二）</w:t>
      </w:r>
      <w:r>
        <w:rPr>
          <w:sz w:val="24"/>
        </w:rPr>
        <w:t>服务内容</w:t>
      </w:r>
    </w:p>
    <w:p>
      <w:pPr>
        <w:pStyle w:val="null3"/>
        <w:ind w:firstLine="480"/>
      </w:pPr>
      <w:r>
        <w:rPr>
          <w:sz w:val="24"/>
        </w:rPr>
        <w:t>1.由医院保卫科负责监督，</w:t>
      </w:r>
      <w:r>
        <w:rPr>
          <w:sz w:val="24"/>
        </w:rPr>
        <w:t>乙方</w:t>
      </w:r>
      <w:r>
        <w:rPr>
          <w:sz w:val="24"/>
        </w:rPr>
        <w:t>负责医院内消防、治安、交通等方面的安全保卫服务工作，维护医院工作秩序和安全。</w:t>
      </w:r>
    </w:p>
    <w:p>
      <w:pPr>
        <w:pStyle w:val="null3"/>
        <w:ind w:firstLine="480"/>
      </w:pPr>
      <w:r>
        <w:rPr>
          <w:sz w:val="24"/>
        </w:rPr>
        <w:t>2.负责医院本部及悦来门诊部区域内24小时门卫、守护、巡逻服务、院内交通秩序、车辆停放管理服务等安全保卫、秩序维护工作，对管理区域内发生的不法侵害、治安和自然灾害事故及时报告</w:t>
      </w:r>
      <w:r>
        <w:rPr>
          <w:sz w:val="24"/>
        </w:rPr>
        <w:t>甲方</w:t>
      </w:r>
      <w:r>
        <w:rPr>
          <w:sz w:val="24"/>
        </w:rPr>
        <w:t>并采取措施防止事态扩大。保安人员须严格遵守医院安全制度、消防制度及保安工作细则等一切规章制度。</w:t>
      </w:r>
    </w:p>
    <w:p>
      <w:pPr>
        <w:pStyle w:val="null3"/>
        <w:ind w:firstLine="480"/>
      </w:pPr>
      <w:r>
        <w:rPr>
          <w:sz w:val="24"/>
        </w:rPr>
        <w:t>3.负责岐江门诊部及弓箭巷宿舍的日常巡逻服务等安全保卫工作。</w:t>
      </w:r>
    </w:p>
    <w:p>
      <w:pPr>
        <w:pStyle w:val="null3"/>
        <w:ind w:firstLine="480"/>
      </w:pPr>
      <w:r>
        <w:rPr>
          <w:sz w:val="24"/>
        </w:rPr>
        <w:t>4.负责医院的防火、防盗、防破坏、防群体事件和自然灾害防范工作。医院各项设施设备如因服务工作不到位而被盗或被破坏，使医院受到损失时，</w:t>
      </w:r>
      <w:r>
        <w:rPr>
          <w:sz w:val="24"/>
        </w:rPr>
        <w:t>乙方</w:t>
      </w:r>
      <w:r>
        <w:rPr>
          <w:sz w:val="24"/>
        </w:rPr>
        <w:t>必须承担相应的赔偿责任，并按医院要求进行整改。</w:t>
      </w:r>
    </w:p>
    <w:p>
      <w:pPr>
        <w:pStyle w:val="null3"/>
        <w:ind w:firstLine="480"/>
      </w:pPr>
      <w:r>
        <w:rPr>
          <w:sz w:val="24"/>
        </w:rPr>
        <w:t>5.要求保安队伍兼任医院消防队，由医院保卫科组织日常消防检查等工作，发生火灾时，人员由医院保卫科直接调用。在发生火灾、爆炸等突发事件时，按医院《突发事件应急预案》《消防安全应急预案》的要求立即上报，同时第一时间进行安全疏散和维护现场秩序工作，并协助医院其他部门进行抢险救助及善后转移工作。</w:t>
      </w:r>
    </w:p>
    <w:p>
      <w:pPr>
        <w:pStyle w:val="null3"/>
        <w:ind w:firstLine="480"/>
      </w:pPr>
      <w:r>
        <w:rPr>
          <w:sz w:val="24"/>
        </w:rPr>
        <w:t>6.如电梯发生故障、困人等突发事件时，值班保安应迅速赶赴现场，第一时间通知电梯维保人员，及时反映故障电梯的具体方位、电梯编号、停留层数等信息，并立即报告值班领导；按照《电梯紧急处理程序》开展救援工作，维持现场秩序。</w:t>
      </w:r>
    </w:p>
    <w:p>
      <w:pPr>
        <w:pStyle w:val="null3"/>
        <w:ind w:firstLine="480"/>
      </w:pPr>
      <w:r>
        <w:rPr>
          <w:sz w:val="24"/>
        </w:rPr>
        <w:t>7.负责落实医院防火防盗巡查签到制度。落实重点防火部位每2小时1次巡查签到及个别部位每天3次巡查签到。巡查部位路线报医院保卫科审核通过后执行。</w:t>
      </w:r>
    </w:p>
    <w:p>
      <w:pPr>
        <w:pStyle w:val="null3"/>
        <w:ind w:firstLine="480"/>
      </w:pPr>
      <w:r>
        <w:rPr>
          <w:sz w:val="24"/>
        </w:rPr>
        <w:t>8.负责管理进入医院的快递员、送餐员等外来人员；按需配合医院做好悦来门诊部标本运送工作。</w:t>
      </w:r>
    </w:p>
    <w:p>
      <w:pPr>
        <w:pStyle w:val="null3"/>
        <w:ind w:firstLine="480"/>
      </w:pPr>
      <w:r>
        <w:rPr>
          <w:sz w:val="24"/>
        </w:rPr>
        <w:t>9.建立完善的应急处理预案，加强突发事件的处理能力，如出现医闹、医疗纠纷等情况及时协助</w:t>
      </w:r>
      <w:r>
        <w:rPr>
          <w:sz w:val="24"/>
        </w:rPr>
        <w:t>甲方</w:t>
      </w:r>
      <w:r>
        <w:rPr>
          <w:sz w:val="24"/>
        </w:rPr>
        <w:t>维持现场秩序，对蓄意扰乱工作秩序、恶意闹事者给予强制性制止，保证医护人员及周围群众的生命财产安全。</w:t>
      </w:r>
    </w:p>
    <w:p>
      <w:pPr>
        <w:pStyle w:val="null3"/>
        <w:ind w:firstLine="480"/>
      </w:pPr>
      <w:r>
        <w:rPr>
          <w:sz w:val="24"/>
        </w:rPr>
        <w:t>10.</w:t>
      </w:r>
      <w:r>
        <w:rPr>
          <w:sz w:val="24"/>
        </w:rPr>
        <w:t>乙方</w:t>
      </w:r>
      <w:r>
        <w:rPr>
          <w:sz w:val="24"/>
        </w:rPr>
        <w:t>派驻的人员需熟悉使用微型消防站内的灭火器、水枪、水带、对讲机、消防头盔、灭火防护服、防护靴、破拆工具等灭火器材，认真落实维护保养工作，设置台账，定期清点消防器材的数量并保证器材完好状态。</w:t>
      </w:r>
    </w:p>
    <w:p>
      <w:pPr>
        <w:pStyle w:val="null3"/>
        <w:ind w:firstLine="480"/>
      </w:pPr>
      <w:r>
        <w:rPr>
          <w:sz w:val="24"/>
        </w:rPr>
        <w:t>11.如出现火灾，在接到火警信息后，须在1分钟内赶赴现场处置，派驻人员需熟悉初期火灾扑救和人员疏散程序。</w:t>
      </w:r>
    </w:p>
    <w:p>
      <w:pPr>
        <w:pStyle w:val="null3"/>
        <w:ind w:firstLine="480"/>
      </w:pPr>
      <w:r>
        <w:rPr>
          <w:sz w:val="24"/>
        </w:rPr>
        <w:t>12.消防控制中心须安排24小时专人值班，每班不得少于2人，负责对各类消防监控设备的监视和运用；值班人员应取得公安机关消防机构核发的《自动消防系统操作人员资格证》，须严格遵守消防监控中心的各项安全操作规程和各项消防安全管理制度，确保及时发现并准确处置火灾和故障报警；每日检查火灾报警控制器的自检、消音、复位功能以及主备电源切换功能，及时发现和处理设备故障，并做好系统维修跟进及登记详细工作记录。</w:t>
      </w:r>
    </w:p>
    <w:p>
      <w:pPr>
        <w:pStyle w:val="null3"/>
        <w:ind w:firstLine="480"/>
      </w:pPr>
      <w:r>
        <w:rPr>
          <w:sz w:val="24"/>
        </w:rPr>
        <w:t>13.负责各个特殊位置定时开放时段的看守，包括但不限于：住院楼高楼层、安检入口人员高峰时间、身心健康门诊就诊高峰时间、观光梯后面送货时间、观光梯后面送快餐时间、1号电梯开放时间、16号电梯开放时间。</w:t>
      </w:r>
    </w:p>
    <w:p>
      <w:pPr>
        <w:pStyle w:val="null3"/>
        <w:ind w:firstLine="480"/>
      </w:pPr>
      <w:r>
        <w:rPr>
          <w:sz w:val="24"/>
        </w:rPr>
        <w:t>14.</w:t>
      </w:r>
      <w:r>
        <w:rPr>
          <w:sz w:val="24"/>
        </w:rPr>
        <w:t>乙方</w:t>
      </w:r>
      <w:r>
        <w:rPr>
          <w:sz w:val="24"/>
        </w:rPr>
        <w:t>应根据</w:t>
      </w:r>
      <w:r>
        <w:rPr>
          <w:sz w:val="24"/>
        </w:rPr>
        <w:t>甲方</w:t>
      </w:r>
      <w:r>
        <w:rPr>
          <w:sz w:val="24"/>
        </w:rPr>
        <w:t>需求承接医院现有</w:t>
      </w:r>
      <w:r>
        <w:rPr>
          <w:sz w:val="24"/>
        </w:rPr>
        <w:t>“汽车服务中心”，并承担相应折旧费用87,840.6元，由</w:t>
      </w:r>
      <w:r>
        <w:rPr>
          <w:sz w:val="24"/>
        </w:rPr>
        <w:t>乙方</w:t>
      </w:r>
      <w:r>
        <w:rPr>
          <w:sz w:val="24"/>
        </w:rPr>
        <w:t>支付给</w:t>
      </w:r>
      <w:r>
        <w:rPr>
          <w:sz w:val="24"/>
        </w:rPr>
        <w:t>甲方</w:t>
      </w:r>
      <w:r>
        <w:rPr>
          <w:sz w:val="24"/>
        </w:rPr>
        <w:t>上一期服务商。汽车服务中心由</w:t>
      </w:r>
      <w:r>
        <w:rPr>
          <w:sz w:val="24"/>
        </w:rPr>
        <w:t>乙方</w:t>
      </w:r>
      <w:r>
        <w:rPr>
          <w:sz w:val="24"/>
        </w:rPr>
        <w:t>自主运营，自负盈亏。</w:t>
      </w:r>
    </w:p>
    <w:p>
      <w:pPr>
        <w:pStyle w:val="null3"/>
        <w:ind w:firstLine="480"/>
      </w:pPr>
      <w:r>
        <w:rPr>
          <w:sz w:val="24"/>
        </w:rPr>
        <w:t>15.服务期内，</w:t>
      </w:r>
      <w:r>
        <w:rPr>
          <w:sz w:val="24"/>
        </w:rPr>
        <w:t>乙方</w:t>
      </w:r>
      <w:r>
        <w:rPr>
          <w:sz w:val="24"/>
        </w:rPr>
        <w:t>须为本项目购买停车场公众责任险，累计赔偿限额不少于</w:t>
      </w:r>
      <w:r>
        <w:rPr>
          <w:sz w:val="24"/>
        </w:rPr>
        <w:t>1000万元/年，每次事故赔偿限额不少于100万元。在本项目停车场区域内，因</w:t>
      </w:r>
      <w:r>
        <w:rPr>
          <w:sz w:val="24"/>
        </w:rPr>
        <w:t>乙方</w:t>
      </w:r>
      <w:r>
        <w:rPr>
          <w:sz w:val="24"/>
        </w:rPr>
        <w:t>过失导致的车辆剐蹭被损、被盗的，由保险公司和</w:t>
      </w:r>
      <w:r>
        <w:rPr>
          <w:sz w:val="24"/>
        </w:rPr>
        <w:t>乙方</w:t>
      </w:r>
      <w:r>
        <w:rPr>
          <w:sz w:val="24"/>
        </w:rPr>
        <w:t>承担赔偿责任。</w:t>
      </w:r>
    </w:p>
    <w:p>
      <w:pPr>
        <w:pStyle w:val="null3"/>
        <w:ind w:firstLine="480"/>
      </w:pPr>
      <w:r>
        <w:rPr>
          <w:sz w:val="24"/>
        </w:rPr>
        <w:t>16.服务期内，</w:t>
      </w:r>
      <w:r>
        <w:rPr>
          <w:sz w:val="24"/>
        </w:rPr>
        <w:t>乙方</w:t>
      </w:r>
      <w:r>
        <w:rPr>
          <w:sz w:val="24"/>
        </w:rPr>
        <w:t>负责</w:t>
      </w:r>
      <w:r>
        <w:rPr>
          <w:sz w:val="24"/>
        </w:rPr>
        <w:t>本项目停车场</w:t>
      </w:r>
      <w:r>
        <w:rPr>
          <w:sz w:val="24"/>
        </w:rPr>
        <w:t>“车位引导系统”和“停车管理系统”的维修维护，并承担所产生的一切费用（包括但不限于零配件），设备老化严重无法维修须更新的除外。</w:t>
      </w:r>
    </w:p>
    <w:p>
      <w:pPr>
        <w:pStyle w:val="null3"/>
        <w:ind w:firstLine="480"/>
      </w:pPr>
      <w:r>
        <w:rPr>
          <w:sz w:val="24"/>
        </w:rPr>
        <w:t>17.完成</w:t>
      </w:r>
      <w:r>
        <w:rPr>
          <w:sz w:val="24"/>
        </w:rPr>
        <w:t>甲方</w:t>
      </w:r>
      <w:r>
        <w:rPr>
          <w:sz w:val="24"/>
        </w:rPr>
        <w:t>交办的其他工作任务。如遇突发事件，视事件级别和影响程度增配队员，被安排队员必须无条件服从安排，如事件紧急、影响重大，如有需要则安排全部队员到岗参与处突工作。</w:t>
      </w:r>
    </w:p>
    <w:p>
      <w:pPr>
        <w:pStyle w:val="null3"/>
        <w:ind w:firstLine="480"/>
      </w:pPr>
      <w:r>
        <w:rPr>
          <w:sz w:val="24"/>
        </w:rPr>
        <w:t>（四）服务岗位设置及停车场现有设备设施详见附件一、附件二。</w:t>
      </w:r>
    </w:p>
    <w:p>
      <w:pPr>
        <w:pStyle w:val="null3"/>
        <w:ind w:firstLine="480"/>
      </w:pPr>
      <w:r>
        <w:rPr>
          <w:sz w:val="24"/>
        </w:rPr>
        <w:t>（五）</w:t>
      </w:r>
      <w:r>
        <w:rPr>
          <w:sz w:val="24"/>
        </w:rPr>
        <w:t>人员配置要求</w:t>
      </w:r>
    </w:p>
    <w:p>
      <w:pPr>
        <w:pStyle w:val="null3"/>
        <w:ind w:firstLine="480"/>
      </w:pPr>
      <w:r>
        <w:rPr>
          <w:sz w:val="24"/>
        </w:rPr>
        <w:t>1.</w:t>
      </w:r>
      <w:r>
        <w:rPr>
          <w:sz w:val="24"/>
        </w:rPr>
        <w:t>管理人员必须身体健康、遵纪守法、无不良行为倾向，服务期内为确保管理的连续性，</w:t>
      </w:r>
      <w:r>
        <w:rPr>
          <w:sz w:val="24"/>
        </w:rPr>
        <w:t>乙方</w:t>
      </w:r>
      <w:r>
        <w:rPr>
          <w:sz w:val="24"/>
        </w:rPr>
        <w:t>不得随意更换项目管理人员，确需更换的，应征得</w:t>
      </w:r>
      <w:r>
        <w:rPr>
          <w:sz w:val="24"/>
        </w:rPr>
        <w:t>甲方</w:t>
      </w:r>
      <w:r>
        <w:rPr>
          <w:sz w:val="24"/>
        </w:rPr>
        <w:t>同意。</w:t>
      </w:r>
      <w:r>
        <w:rPr>
          <w:sz w:val="24"/>
        </w:rPr>
        <w:t>甲方</w:t>
      </w:r>
      <w:r>
        <w:rPr>
          <w:sz w:val="24"/>
        </w:rPr>
        <w:t>因服务人员问题提出换人要求时，</w:t>
      </w:r>
      <w:r>
        <w:rPr>
          <w:sz w:val="24"/>
        </w:rPr>
        <w:t>乙方</w:t>
      </w:r>
      <w:r>
        <w:rPr>
          <w:sz w:val="24"/>
        </w:rPr>
        <w:t>应在一个月内完成人员的更换。</w:t>
      </w:r>
    </w:p>
    <w:p>
      <w:pPr>
        <w:pStyle w:val="null3"/>
        <w:ind w:firstLine="480"/>
      </w:pPr>
      <w:r>
        <w:rPr>
          <w:sz w:val="24"/>
        </w:rPr>
        <w:t>2.</w:t>
      </w:r>
      <w:r>
        <w:rPr>
          <w:sz w:val="24"/>
        </w:rPr>
        <w:t>服务人员要求素质高，服务意识强，纪律严明，作风硬朗，反应快速，对医院有高度责任感。服装统一、整齐，注意个人卫生和形象，语言文明、服务态度好，积极配合临床</w:t>
      </w:r>
      <w:r>
        <w:rPr>
          <w:sz w:val="24"/>
        </w:rPr>
        <w:t>工作</w:t>
      </w:r>
      <w:r>
        <w:rPr>
          <w:sz w:val="24"/>
        </w:rPr>
        <w:t>的管理及安排。</w:t>
      </w:r>
    </w:p>
    <w:p>
      <w:pPr>
        <w:pStyle w:val="null3"/>
        <w:ind w:firstLine="480"/>
      </w:pPr>
      <w:r>
        <w:rPr>
          <w:sz w:val="24"/>
        </w:rPr>
        <w:t>3.</w:t>
      </w:r>
      <w:r>
        <w:rPr>
          <w:sz w:val="24"/>
        </w:rPr>
        <w:t>服务人员按要求持证上岗，须掌握基本消防知识和急救技术培训</w:t>
      </w:r>
      <w:r>
        <w:rPr>
          <w:sz w:val="24"/>
        </w:rPr>
        <w:t>知识</w:t>
      </w:r>
      <w:r>
        <w:rPr>
          <w:sz w:val="24"/>
        </w:rPr>
        <w:t>，如因服务人员</w:t>
      </w:r>
      <w:r>
        <w:rPr>
          <w:sz w:val="24"/>
        </w:rPr>
        <w:t>未</w:t>
      </w:r>
      <w:r>
        <w:rPr>
          <w:sz w:val="24"/>
        </w:rPr>
        <w:t>持有相应的工作上岗证导致事故发生，责任由</w:t>
      </w:r>
      <w:r>
        <w:rPr>
          <w:sz w:val="24"/>
        </w:rPr>
        <w:t>乙方</w:t>
      </w:r>
      <w:r>
        <w:rPr>
          <w:sz w:val="24"/>
        </w:rPr>
        <w:t>承担。</w:t>
      </w:r>
    </w:p>
    <w:p>
      <w:pPr>
        <w:pStyle w:val="null3"/>
        <w:ind w:firstLine="480"/>
      </w:pPr>
      <w:r>
        <w:rPr>
          <w:sz w:val="24"/>
        </w:rPr>
        <w:t>4.</w:t>
      </w:r>
      <w:r>
        <w:rPr>
          <w:sz w:val="24"/>
        </w:rPr>
        <w:t>普通保安和消防监控中心保安新入职人员要求：男性，年龄</w:t>
      </w:r>
      <w:r>
        <w:rPr>
          <w:sz w:val="24"/>
        </w:rPr>
        <w:t>18至50岁之间，身高168</w:t>
      </w:r>
      <w:r>
        <w:rPr>
          <w:sz w:val="24"/>
        </w:rPr>
        <w:t>厘米</w:t>
      </w:r>
      <w:r>
        <w:rPr>
          <w:sz w:val="24"/>
        </w:rPr>
        <w:t>以上；女性，年龄</w:t>
      </w:r>
      <w:r>
        <w:rPr>
          <w:sz w:val="24"/>
        </w:rPr>
        <w:t>18至40岁之间，身高156</w:t>
      </w:r>
      <w:r>
        <w:rPr>
          <w:sz w:val="24"/>
        </w:rPr>
        <w:t>厘米</w:t>
      </w:r>
      <w:r>
        <w:rPr>
          <w:sz w:val="24"/>
        </w:rPr>
        <w:t>以上；条件优者报医院保卫科审批同意后可适当放宽年龄及身高要求。</w:t>
      </w:r>
    </w:p>
    <w:p>
      <w:pPr>
        <w:pStyle w:val="null3"/>
        <w:ind w:firstLine="480"/>
      </w:pPr>
      <w:r>
        <w:rPr>
          <w:sz w:val="24"/>
        </w:rPr>
        <w:t>5.</w:t>
      </w:r>
      <w:r>
        <w:rPr>
          <w:sz w:val="24"/>
        </w:rPr>
        <w:t>护院队和微型消防站新入职人员要求：男性，年龄</w:t>
      </w:r>
      <w:r>
        <w:rPr>
          <w:sz w:val="24"/>
        </w:rPr>
        <w:t>18至45岁之间，身高168厘米以上，五官端正，文明有礼，无犯罪前科，必须符合上级公安部门和医院保卫工作要求；条件优者报医院保卫科审批同意后可适当放宽年龄及身高要求。</w:t>
      </w:r>
    </w:p>
    <w:p>
      <w:pPr>
        <w:pStyle w:val="null3"/>
        <w:ind w:firstLine="480"/>
      </w:pPr>
      <w:r>
        <w:rPr>
          <w:sz w:val="24"/>
        </w:rPr>
        <w:t>6.</w:t>
      </w:r>
      <w:r>
        <w:rPr>
          <w:sz w:val="24"/>
        </w:rPr>
        <w:t>保安员数量要求：按照就高不就低原则，不低于在岗医务人员总数的</w:t>
      </w:r>
      <w:r>
        <w:rPr>
          <w:sz w:val="24"/>
        </w:rPr>
        <w:t>3%或每20张病床需配备不少于 1 名保安员；50岁以下保安员数量占保安员总数量的比例不低于50%。</w:t>
      </w:r>
    </w:p>
    <w:p>
      <w:pPr>
        <w:pStyle w:val="null3"/>
        <w:ind w:firstLine="480"/>
      </w:pPr>
      <w:r>
        <w:rPr>
          <w:sz w:val="24"/>
        </w:rPr>
        <w:t>7.乙方</w:t>
      </w:r>
      <w:r>
        <w:rPr>
          <w:sz w:val="24"/>
        </w:rPr>
        <w:t>应做好项目交接工作，优先聘用符合要求且自愿留下的现有服务人员。</w:t>
      </w:r>
    </w:p>
    <w:p>
      <w:pPr>
        <w:pStyle w:val="null3"/>
        <w:ind w:firstLine="480"/>
      </w:pPr>
      <w:r>
        <w:rPr>
          <w:sz w:val="24"/>
        </w:rPr>
        <w:t>（六）</w:t>
      </w:r>
      <w:r>
        <w:rPr>
          <w:sz w:val="24"/>
        </w:rPr>
        <w:t>组织管理要求</w:t>
      </w:r>
    </w:p>
    <w:p>
      <w:pPr>
        <w:pStyle w:val="null3"/>
        <w:ind w:firstLine="480"/>
      </w:pPr>
      <w:r>
        <w:rPr>
          <w:sz w:val="24"/>
        </w:rPr>
        <w:t>1.乙方</w:t>
      </w:r>
      <w:r>
        <w:rPr>
          <w:sz w:val="24"/>
        </w:rPr>
        <w:t>必须有健全的组织</w:t>
      </w:r>
      <w:r>
        <w:rPr>
          <w:sz w:val="24"/>
        </w:rPr>
        <w:t>架</w:t>
      </w:r>
      <w:r>
        <w:rPr>
          <w:sz w:val="24"/>
        </w:rPr>
        <w:t>构和人员分工，职责明确，做好与医院管理人员的协调沟通工作，服从医院管理人员的管理和要求，接受医院组织对该项目的承包内容、质量、管理等检查，及时做好总结和改进工作，如因工作失误造成事故，所有责任由</w:t>
      </w:r>
      <w:r>
        <w:rPr>
          <w:sz w:val="24"/>
        </w:rPr>
        <w:t>乙方</w:t>
      </w:r>
      <w:r>
        <w:rPr>
          <w:sz w:val="24"/>
        </w:rPr>
        <w:t>承担。</w:t>
      </w:r>
    </w:p>
    <w:p>
      <w:pPr>
        <w:pStyle w:val="null3"/>
        <w:ind w:firstLine="480"/>
      </w:pPr>
      <w:r>
        <w:rPr>
          <w:sz w:val="24"/>
        </w:rPr>
        <w:t>2.乙方</w:t>
      </w:r>
      <w:r>
        <w:rPr>
          <w:sz w:val="24"/>
        </w:rPr>
        <w:t>必须有健全和具体的管理制度，有</w:t>
      </w:r>
      <w:r>
        <w:rPr>
          <w:sz w:val="24"/>
        </w:rPr>
        <w:t>详</w:t>
      </w:r>
      <w:r>
        <w:rPr>
          <w:sz w:val="24"/>
        </w:rPr>
        <w:t>细的工作程序和措施</w:t>
      </w:r>
      <w:r>
        <w:rPr>
          <w:sz w:val="24"/>
        </w:rPr>
        <w:t>、</w:t>
      </w:r>
      <w:r>
        <w:rPr>
          <w:sz w:val="24"/>
        </w:rPr>
        <w:t>可行的检查监督制度</w:t>
      </w:r>
      <w:r>
        <w:rPr>
          <w:sz w:val="24"/>
        </w:rPr>
        <w:t>、</w:t>
      </w:r>
      <w:r>
        <w:rPr>
          <w:sz w:val="24"/>
        </w:rPr>
        <w:t>奖励惩罚制度</w:t>
      </w:r>
      <w:r>
        <w:rPr>
          <w:sz w:val="24"/>
        </w:rPr>
        <w:t>、</w:t>
      </w:r>
      <w:r>
        <w:rPr>
          <w:sz w:val="24"/>
        </w:rPr>
        <w:t>良好的</w:t>
      </w:r>
      <w:r>
        <w:rPr>
          <w:sz w:val="24"/>
        </w:rPr>
        <w:t>企业</w:t>
      </w:r>
      <w:r>
        <w:rPr>
          <w:sz w:val="24"/>
        </w:rPr>
        <w:t>文化制度，有固定的办公地点，</w:t>
      </w:r>
      <w:r>
        <w:rPr>
          <w:sz w:val="24"/>
        </w:rPr>
        <w:t>具备</w:t>
      </w:r>
      <w:r>
        <w:rPr>
          <w:sz w:val="24"/>
        </w:rPr>
        <w:t>应对突发事件的预案，确保各类突发事件的相关保障措施得到有效落实。各项安全保卫规章制度及岗位人员的工作细则须根据医院现有的各项安全保卫制度制定。</w:t>
      </w:r>
    </w:p>
    <w:p>
      <w:pPr>
        <w:pStyle w:val="null3"/>
        <w:ind w:firstLine="480"/>
      </w:pPr>
      <w:r>
        <w:rPr>
          <w:sz w:val="24"/>
        </w:rPr>
        <w:t>3.</w:t>
      </w:r>
      <w:r>
        <w:rPr>
          <w:sz w:val="24"/>
        </w:rPr>
        <w:t>在人员管理具体工作中，</w:t>
      </w:r>
      <w:r>
        <w:rPr>
          <w:sz w:val="24"/>
        </w:rPr>
        <w:t>乙方自主</w:t>
      </w:r>
      <w:r>
        <w:rPr>
          <w:sz w:val="24"/>
        </w:rPr>
        <w:t>进行人员招聘、培训、考勤、奖惩、调动、申请保险等人力资源管理工作。为保持</w:t>
      </w:r>
      <w:r>
        <w:rPr>
          <w:sz w:val="24"/>
        </w:rPr>
        <w:t>服务</w:t>
      </w:r>
      <w:r>
        <w:rPr>
          <w:sz w:val="24"/>
        </w:rPr>
        <w:t>队伍的稳定，</w:t>
      </w:r>
      <w:r>
        <w:rPr>
          <w:sz w:val="24"/>
        </w:rPr>
        <w:t>乙方</w:t>
      </w:r>
      <w:r>
        <w:rPr>
          <w:sz w:val="24"/>
        </w:rPr>
        <w:t>必须足额、及时发放工资。医院保卫部门在日常监管中发现的人员管理问题，</w:t>
      </w:r>
      <w:r>
        <w:rPr>
          <w:sz w:val="24"/>
        </w:rPr>
        <w:t>乙方</w:t>
      </w:r>
      <w:r>
        <w:rPr>
          <w:sz w:val="24"/>
        </w:rPr>
        <w:t>必须按要求及时处理，并给出处理结果。</w:t>
      </w:r>
    </w:p>
    <w:p>
      <w:pPr>
        <w:pStyle w:val="null3"/>
        <w:ind w:firstLine="480"/>
      </w:pPr>
      <w:r>
        <w:rPr>
          <w:sz w:val="24"/>
        </w:rPr>
        <w:t>4.甲方</w:t>
      </w:r>
      <w:r>
        <w:rPr>
          <w:sz w:val="24"/>
        </w:rPr>
        <w:t>每月对合同执行情况进行考核，达不到考核要求的，按考核标准扣罚违约金，发现缺岗少岗情况</w:t>
      </w:r>
      <w:r>
        <w:rPr>
          <w:sz w:val="24"/>
        </w:rPr>
        <w:t>甲方</w:t>
      </w:r>
      <w:r>
        <w:rPr>
          <w:sz w:val="24"/>
        </w:rPr>
        <w:t>按人民币</w:t>
      </w:r>
      <w:r>
        <w:rPr>
          <w:sz w:val="24"/>
        </w:rPr>
        <w:t>500元/次进行扣罚；发生被群众或医护人员有效投诉按人民币1000元/次进行扣罚；发生因服务工作不到位被上级部门批评</w:t>
      </w:r>
      <w:r>
        <w:rPr>
          <w:sz w:val="24"/>
        </w:rPr>
        <w:t>（书面）</w:t>
      </w:r>
      <w:r>
        <w:rPr>
          <w:sz w:val="24"/>
        </w:rPr>
        <w:t>按人民币</w:t>
      </w:r>
      <w:r>
        <w:rPr>
          <w:sz w:val="24"/>
        </w:rPr>
        <w:t>2000元/次进行扣罚；因应急处置不及时对</w:t>
      </w:r>
      <w:r>
        <w:rPr>
          <w:sz w:val="24"/>
        </w:rPr>
        <w:t>甲方</w:t>
      </w:r>
      <w:r>
        <w:rPr>
          <w:sz w:val="24"/>
        </w:rPr>
        <w:t>造成损失的，</w:t>
      </w:r>
      <w:r>
        <w:rPr>
          <w:sz w:val="24"/>
        </w:rPr>
        <w:t>乙方</w:t>
      </w:r>
      <w:r>
        <w:rPr>
          <w:sz w:val="24"/>
        </w:rPr>
        <w:t>须承担所有责任并一次性扣罚人民币</w:t>
      </w:r>
      <w:r>
        <w:rPr>
          <w:sz w:val="24"/>
        </w:rPr>
        <w:t>3000元/次；情节严重的，</w:t>
      </w:r>
      <w:r>
        <w:rPr>
          <w:sz w:val="24"/>
        </w:rPr>
        <w:t>乙方</w:t>
      </w:r>
      <w:r>
        <w:rPr>
          <w:sz w:val="24"/>
        </w:rPr>
        <w:t>除须承担所有责任外，</w:t>
      </w:r>
      <w:r>
        <w:rPr>
          <w:sz w:val="24"/>
        </w:rPr>
        <w:t>甲方</w:t>
      </w:r>
      <w:r>
        <w:rPr>
          <w:sz w:val="24"/>
        </w:rPr>
        <w:t>有权单方面终止合同。</w:t>
      </w:r>
    </w:p>
    <w:p>
      <w:pPr>
        <w:pStyle w:val="null3"/>
        <w:ind w:firstLine="480"/>
        <w:jc w:val="left"/>
      </w:pPr>
      <w:r>
        <w:rPr>
          <w:sz w:val="24"/>
        </w:rPr>
        <w:t>5.</w:t>
      </w:r>
      <w:r>
        <w:rPr>
          <w:sz w:val="24"/>
        </w:rPr>
        <w:t>服</w:t>
      </w:r>
      <w:r>
        <w:rPr>
          <w:sz w:val="24"/>
        </w:rPr>
        <w:t>务期内，因工作需要须增减保安人员的，</w:t>
      </w:r>
      <w:r>
        <w:rPr>
          <w:sz w:val="24"/>
        </w:rPr>
        <w:t>乙方</w:t>
      </w:r>
      <w:r>
        <w:rPr>
          <w:sz w:val="24"/>
        </w:rPr>
        <w:t>应积极配合，服务费按相应岗位的中标单价与增减人数据实计算。</w:t>
      </w:r>
    </w:p>
    <w:p>
      <w:pPr>
        <w:pStyle w:val="null3"/>
        <w:ind w:firstLine="480"/>
      </w:pPr>
      <w:r>
        <w:rPr>
          <w:sz w:val="24"/>
        </w:rPr>
        <w:t>6.</w:t>
      </w:r>
      <w:r>
        <w:rPr>
          <w:sz w:val="24"/>
        </w:rPr>
        <w:t>服务期内，如因不可抗力或</w:t>
      </w:r>
      <w:r>
        <w:rPr>
          <w:sz w:val="24"/>
        </w:rPr>
        <w:t>国家、</w:t>
      </w:r>
      <w:r>
        <w:rPr>
          <w:sz w:val="24"/>
        </w:rPr>
        <w:t>省市政策调整或医院重点政策调整而不能继续履行合同的，本</w:t>
      </w:r>
      <w:r>
        <w:rPr>
          <w:sz w:val="24"/>
        </w:rPr>
        <w:t>项目</w:t>
      </w:r>
      <w:r>
        <w:rPr>
          <w:sz w:val="24"/>
        </w:rPr>
        <w:t>合同终止，双方</w:t>
      </w:r>
      <w:r>
        <w:rPr>
          <w:sz w:val="24"/>
        </w:rPr>
        <w:t>均</w:t>
      </w:r>
      <w:r>
        <w:rPr>
          <w:sz w:val="24"/>
        </w:rPr>
        <w:t>不承担</w:t>
      </w:r>
      <w:r>
        <w:rPr>
          <w:sz w:val="24"/>
        </w:rPr>
        <w:t>违约</w:t>
      </w:r>
      <w:r>
        <w:rPr>
          <w:sz w:val="24"/>
        </w:rPr>
        <w:t>责任。</w:t>
      </w:r>
    </w:p>
    <w:p>
      <w:pPr>
        <w:pStyle w:val="null3"/>
        <w:ind w:firstLine="480"/>
      </w:pPr>
      <w:r>
        <w:rPr>
          <w:sz w:val="24"/>
          <w:b/>
        </w:rPr>
        <w:t>四、甲方权利义务</w:t>
      </w:r>
    </w:p>
    <w:p>
      <w:pPr>
        <w:pStyle w:val="null3"/>
        <w:ind w:firstLine="480"/>
      </w:pPr>
      <w:r>
        <w:rPr>
          <w:sz w:val="24"/>
        </w:rPr>
        <w:t>1</w:t>
      </w:r>
      <w:r>
        <w:rPr>
          <w:sz w:val="24"/>
        </w:rPr>
        <w:t>.</w:t>
      </w:r>
      <w:r>
        <w:rPr>
          <w:sz w:val="24"/>
        </w:rPr>
        <w:t>甲方按本合同约定的结算时间及金额付款给乙方。</w:t>
      </w:r>
    </w:p>
    <w:p>
      <w:pPr>
        <w:pStyle w:val="null3"/>
        <w:ind w:firstLine="480"/>
      </w:pPr>
      <w:r>
        <w:rPr>
          <w:sz w:val="24"/>
        </w:rPr>
        <w:t>2</w:t>
      </w:r>
      <w:r>
        <w:rPr>
          <w:sz w:val="24"/>
        </w:rPr>
        <w:t>.</w:t>
      </w:r>
      <w:r>
        <w:rPr>
          <w:sz w:val="24"/>
        </w:rPr>
        <w:t>甲方向乙方提供必要的管理用房、岗亭。</w:t>
      </w:r>
    </w:p>
    <w:p>
      <w:pPr>
        <w:pStyle w:val="null3"/>
        <w:ind w:firstLine="480"/>
      </w:pPr>
      <w:r>
        <w:rPr>
          <w:sz w:val="24"/>
        </w:rPr>
        <w:t>3</w:t>
      </w:r>
      <w:r>
        <w:rPr>
          <w:sz w:val="24"/>
        </w:rPr>
        <w:t>.</w:t>
      </w:r>
      <w:r>
        <w:rPr>
          <w:sz w:val="24"/>
        </w:rPr>
        <w:t>甲方协助乙方做好保安服务工作和宣传教育。</w:t>
      </w:r>
    </w:p>
    <w:p>
      <w:pPr>
        <w:pStyle w:val="null3"/>
        <w:ind w:firstLine="480"/>
      </w:pPr>
      <w:r>
        <w:rPr>
          <w:sz w:val="24"/>
        </w:rPr>
        <w:t>4</w:t>
      </w:r>
      <w:r>
        <w:rPr>
          <w:sz w:val="24"/>
        </w:rPr>
        <w:t>.</w:t>
      </w:r>
      <w:r>
        <w:rPr>
          <w:sz w:val="24"/>
        </w:rPr>
        <w:t>甲方有权监督、指导乙方的管理行为并及时纠正。</w:t>
      </w:r>
    </w:p>
    <w:p>
      <w:pPr>
        <w:pStyle w:val="null3"/>
        <w:ind w:firstLine="480"/>
      </w:pPr>
      <w:r>
        <w:rPr>
          <w:sz w:val="24"/>
        </w:rPr>
        <w:t>5</w:t>
      </w:r>
      <w:r>
        <w:rPr>
          <w:sz w:val="24"/>
        </w:rPr>
        <w:t>.</w:t>
      </w:r>
      <w:r>
        <w:rPr>
          <w:sz w:val="24"/>
        </w:rPr>
        <w:t>甲方有权选择及要求更换乙方委派到医院的服务人员。</w:t>
      </w:r>
    </w:p>
    <w:p>
      <w:pPr>
        <w:pStyle w:val="null3"/>
        <w:ind w:firstLine="480"/>
      </w:pPr>
      <w:r>
        <w:rPr>
          <w:sz w:val="24"/>
        </w:rPr>
        <w:t>6</w:t>
      </w:r>
      <w:r>
        <w:rPr>
          <w:sz w:val="24"/>
        </w:rPr>
        <w:t>.</w:t>
      </w:r>
      <w:r>
        <w:rPr>
          <w:sz w:val="24"/>
        </w:rPr>
        <w:t>在处理特殊事件和紧急、突发事故时，甲方对乙方服务人员有直接指挥权。</w:t>
      </w:r>
    </w:p>
    <w:p>
      <w:pPr>
        <w:pStyle w:val="null3"/>
        <w:ind w:firstLine="480"/>
      </w:pPr>
      <w:r>
        <w:rPr>
          <w:sz w:val="24"/>
        </w:rPr>
        <w:t>7</w:t>
      </w:r>
      <w:r>
        <w:rPr>
          <w:sz w:val="24"/>
        </w:rPr>
        <w:t>.</w:t>
      </w:r>
      <w:r>
        <w:rPr>
          <w:sz w:val="24"/>
        </w:rPr>
        <w:t>甲方有权对乙方的工作质量、服务态度、管理服务工作及制度落实的执行情况进行监督检查，发现有不符合服务要求的，可要求乙方限期进行改正，且甲方每月根据</w:t>
      </w:r>
      <w:r>
        <w:rPr>
          <w:sz w:val="24"/>
        </w:rPr>
        <w:t>考核标准对合同执行情况进行考核，达不到考核要求的，按考核标准扣罚乙方违约金，</w:t>
      </w:r>
      <w:r>
        <w:rPr>
          <w:sz w:val="24"/>
        </w:rPr>
        <w:t>对甲方造成损失的，乙方须承担所有责任，情节严重的，甲方有权单方面终止合同。</w:t>
      </w:r>
    </w:p>
    <w:p>
      <w:pPr>
        <w:pStyle w:val="null3"/>
        <w:ind w:firstLine="480"/>
      </w:pPr>
      <w:r>
        <w:rPr>
          <w:sz w:val="24"/>
          <w:b/>
        </w:rPr>
        <w:t>五、乙方权利义务</w:t>
      </w:r>
    </w:p>
    <w:p>
      <w:pPr>
        <w:pStyle w:val="null3"/>
        <w:ind w:firstLine="480"/>
      </w:pPr>
      <w:r>
        <w:rPr>
          <w:sz w:val="24"/>
        </w:rPr>
        <w:t>1</w:t>
      </w:r>
      <w:r>
        <w:rPr>
          <w:sz w:val="24"/>
        </w:rPr>
        <w:t>.</w:t>
      </w:r>
      <w:r>
        <w:rPr>
          <w:sz w:val="24"/>
        </w:rPr>
        <w:t>乙方有权利按照合同约定的方式收取合同规定金额的服务费。</w:t>
      </w:r>
    </w:p>
    <w:p>
      <w:pPr>
        <w:pStyle w:val="null3"/>
        <w:ind w:firstLine="480"/>
      </w:pPr>
      <w:r>
        <w:rPr>
          <w:sz w:val="24"/>
        </w:rPr>
        <w:t>2</w:t>
      </w:r>
      <w:r>
        <w:rPr>
          <w:sz w:val="24"/>
        </w:rPr>
        <w:t>.</w:t>
      </w:r>
      <w:r>
        <w:rPr>
          <w:sz w:val="24"/>
        </w:rPr>
        <w:t>乙方须按本合同约定全面履行保安服务工作，包括但不限于招投标文件的内容。</w:t>
      </w:r>
    </w:p>
    <w:p>
      <w:pPr>
        <w:pStyle w:val="null3"/>
        <w:ind w:firstLine="480"/>
      </w:pPr>
      <w:r>
        <w:rPr>
          <w:sz w:val="24"/>
        </w:rPr>
        <w:t>3</w:t>
      </w:r>
      <w:r>
        <w:rPr>
          <w:sz w:val="24"/>
        </w:rPr>
        <w:t>.</w:t>
      </w:r>
      <w:r>
        <w:rPr>
          <w:sz w:val="24"/>
        </w:rPr>
        <w:t>乙方必须有健全的组织机构和人员分工，职责明确，按照合同要求对各岗位进行</w:t>
      </w:r>
      <w:r>
        <w:rPr>
          <w:sz w:val="24"/>
        </w:rPr>
        <w:t>配置，保证甲方安全保卫工作的正常进行。做好与医院管理人员的协调沟通工作，服从医院管理人员的管理和要求，接受医院组织的对该项目的服务内容、质量、管理等检查，及时做好总结和改进工作。</w:t>
      </w:r>
    </w:p>
    <w:p>
      <w:pPr>
        <w:pStyle w:val="null3"/>
        <w:ind w:firstLine="480"/>
      </w:pPr>
      <w:r>
        <w:rPr>
          <w:sz w:val="24"/>
        </w:rPr>
        <w:t>4</w:t>
      </w:r>
      <w:r>
        <w:rPr>
          <w:sz w:val="24"/>
        </w:rPr>
        <w:t>.</w:t>
      </w:r>
      <w:r>
        <w:rPr>
          <w:sz w:val="24"/>
        </w:rPr>
        <w:t>乙方须对服务档案资料进行整理归档，保证医院所需相关资料的建立与保存。</w:t>
      </w:r>
    </w:p>
    <w:p>
      <w:pPr>
        <w:pStyle w:val="null3"/>
        <w:ind w:firstLine="480"/>
      </w:pPr>
      <w:r>
        <w:rPr>
          <w:sz w:val="24"/>
        </w:rPr>
        <w:t>5</w:t>
      </w:r>
      <w:r>
        <w:rPr>
          <w:sz w:val="24"/>
        </w:rPr>
        <w:t>.</w:t>
      </w:r>
      <w:r>
        <w:rPr>
          <w:sz w:val="24"/>
        </w:rPr>
        <w:t>保安工作须定岗定人、职责分明，如因工作失误造成事故或甲方损失的要追究乙方责任。</w:t>
      </w:r>
    </w:p>
    <w:p>
      <w:pPr>
        <w:pStyle w:val="null3"/>
        <w:ind w:firstLine="480"/>
      </w:pPr>
      <w:r>
        <w:rPr>
          <w:sz w:val="24"/>
        </w:rPr>
        <w:t>6</w:t>
      </w:r>
      <w:r>
        <w:rPr>
          <w:sz w:val="24"/>
        </w:rPr>
        <w:t>.</w:t>
      </w:r>
      <w:r>
        <w:rPr>
          <w:sz w:val="24"/>
        </w:rPr>
        <w:t>乙方必须依法用工，遵守劳动法、劳动合同法规定，并加强对服务人员的安全教育，保证工作安全，避免发生人身、财产损害事故。如产生服务人员劳动争议、工伤纠纷或其他事故，乙方必须及时妥善解决，并承担相关责任，不得因此影响本合同履行及</w:t>
      </w:r>
      <w:r>
        <w:rPr>
          <w:sz w:val="24"/>
        </w:rPr>
        <w:t>甲方临床工作。如因此造成甲方损失，乙方必须承担赔偿责任。</w:t>
      </w:r>
    </w:p>
    <w:p>
      <w:pPr>
        <w:pStyle w:val="null3"/>
        <w:ind w:firstLine="480"/>
      </w:pPr>
      <w:r>
        <w:rPr>
          <w:sz w:val="24"/>
        </w:rPr>
        <w:t>7</w:t>
      </w:r>
      <w:r>
        <w:rPr>
          <w:sz w:val="24"/>
        </w:rPr>
        <w:t>.</w:t>
      </w:r>
      <w:r>
        <w:rPr>
          <w:sz w:val="24"/>
        </w:rPr>
        <w:t>疫情防控期间，乙方须按医院要求落实各项疫情防控工作，落实健康监测和定期培训，配合医院做好疫情防控。若因乙方未落实相关疫情防控要求而引起的事故，由乙方承担相应法律责任及赔偿因此而导致的所有损失。</w:t>
      </w:r>
    </w:p>
    <w:p>
      <w:pPr>
        <w:pStyle w:val="null3"/>
        <w:ind w:firstLine="480"/>
      </w:pPr>
      <w:r>
        <w:rPr>
          <w:sz w:val="24"/>
        </w:rPr>
        <w:t>8</w:t>
      </w:r>
      <w:r>
        <w:rPr>
          <w:sz w:val="24"/>
        </w:rPr>
        <w:t>.</w:t>
      </w:r>
      <w:r>
        <w:rPr>
          <w:sz w:val="24"/>
        </w:rPr>
        <w:t>乙方保证具有法律规定的合法资格签署本合同，并保证乙方及乙方服务人员具有法律规定的合法资格提供本合同项下的服务，且不致招致任何第三方向甲方主张权利或追究责任。在本合同签署后或履行过程中，若甲方发现乙方违反上述声明及保证或不具备声明及保证的资格，甲方有权不予支付乙方任何费用，已支付的乙方应退还，且因此给甲方造成任何损失的，乙方应承担相应的赔偿责任，同时甲方有权通知乙方解除本合同而不构成违约。</w:t>
      </w:r>
    </w:p>
    <w:p>
      <w:pPr>
        <w:pStyle w:val="null3"/>
        <w:ind w:firstLine="480"/>
      </w:pPr>
      <w:r>
        <w:rPr>
          <w:sz w:val="24"/>
        </w:rPr>
        <w:t>9</w:t>
      </w:r>
      <w:r>
        <w:rPr>
          <w:sz w:val="24"/>
        </w:rPr>
        <w:t>.</w:t>
      </w:r>
      <w:r>
        <w:rPr>
          <w:sz w:val="24"/>
        </w:rPr>
        <w:t>乙方保证其所提供的服务不违反现行的法律法规，不侵犯任何第三方的合法权</w:t>
      </w:r>
      <w:r>
        <w:rPr>
          <w:sz w:val="24"/>
        </w:rPr>
        <w:t>益，不构成其在其他合同项下的违约。乙方应采取包括起诉</w:t>
      </w:r>
      <w:r>
        <w:rPr>
          <w:sz w:val="24"/>
        </w:rPr>
        <w:t>、</w:t>
      </w:r>
      <w:r>
        <w:rPr>
          <w:sz w:val="24"/>
        </w:rPr>
        <w:t>应诉</w:t>
      </w:r>
      <w:r>
        <w:rPr>
          <w:sz w:val="24"/>
        </w:rPr>
        <w:t>、</w:t>
      </w:r>
      <w:r>
        <w:rPr>
          <w:sz w:val="24"/>
        </w:rPr>
        <w:t>上诉及申诉在内的一切措施保护甲方的利益，以便甲方免于因其享受乙方服务而引起的对第三方的侵权责任。由此产生的费用及赔偿责任由乙方独自承担。乙方保证不使甲方享受乙方提供的本合同项下服务而遭受其他第三方的索赔或追索，或因此而遭受其他任何形式的损害或责任，否则乙方对此承担一切赔偿责任。</w:t>
      </w:r>
    </w:p>
    <w:p>
      <w:pPr>
        <w:pStyle w:val="null3"/>
        <w:ind w:firstLine="480"/>
      </w:pPr>
      <w:r>
        <w:rPr>
          <w:sz w:val="24"/>
          <w:b/>
        </w:rPr>
        <w:t>六、结算方式</w:t>
      </w:r>
    </w:p>
    <w:p>
      <w:pPr>
        <w:pStyle w:val="null3"/>
        <w:ind w:firstLine="480"/>
      </w:pPr>
      <w:r>
        <w:rPr>
          <w:sz w:val="24"/>
        </w:rPr>
        <w:t>每月结算一次，月服务费</w:t>
      </w:r>
      <w:r>
        <w:rPr>
          <w:sz w:val="24"/>
        </w:rPr>
        <w:t>=合同总价÷36－扣罚金额（如有）±当月增加/减少岗位数×对应单价（如有）。（注：如因岗位增减使对应月份实际服务不足完整月度的，则按对应岗位的月度服务费用/对应月份天数*实际服务天数计算）。</w:t>
      </w:r>
      <w:r>
        <w:rPr>
          <w:sz w:val="24"/>
        </w:rPr>
        <w:t>乙方</w:t>
      </w:r>
      <w:r>
        <w:rPr>
          <w:sz w:val="24"/>
        </w:rPr>
        <w:t>于每月</w:t>
      </w:r>
      <w:r>
        <w:rPr>
          <w:sz w:val="24"/>
        </w:rPr>
        <w:t>10日前提交上月服务费的请款资料，包括但不限于符合</w:t>
      </w:r>
      <w:r>
        <w:rPr>
          <w:sz w:val="24"/>
        </w:rPr>
        <w:t>甲方</w:t>
      </w:r>
      <w:r>
        <w:rPr>
          <w:sz w:val="24"/>
        </w:rPr>
        <w:t>财务要求的等额发票、服务质量考核表等，</w:t>
      </w:r>
      <w:r>
        <w:rPr>
          <w:sz w:val="24"/>
        </w:rPr>
        <w:t>甲方</w:t>
      </w:r>
      <w:r>
        <w:rPr>
          <w:sz w:val="24"/>
        </w:rPr>
        <w:t>于</w:t>
      </w:r>
      <w:r>
        <w:rPr>
          <w:sz w:val="24"/>
        </w:rPr>
        <w:t>60个自然日内支付。</w:t>
      </w:r>
    </w:p>
    <w:p>
      <w:pPr>
        <w:pStyle w:val="null3"/>
        <w:ind w:firstLine="480"/>
      </w:pPr>
      <w:r>
        <w:rPr>
          <w:sz w:val="24"/>
          <w:b/>
        </w:rPr>
        <w:t>七、违约责任</w:t>
      </w:r>
    </w:p>
    <w:p>
      <w:pPr>
        <w:pStyle w:val="null3"/>
        <w:ind w:firstLine="480"/>
      </w:pPr>
      <w:r>
        <w:rPr>
          <w:sz w:val="24"/>
        </w:rPr>
        <w:t>1</w:t>
      </w:r>
      <w:r>
        <w:rPr>
          <w:sz w:val="24"/>
        </w:rPr>
        <w:t>.</w:t>
      </w:r>
      <w:r>
        <w:rPr>
          <w:sz w:val="24"/>
        </w:rPr>
        <w:t>乙方若单方面无故终止合同，乙方须向甲方支付当年服务费用总价</w:t>
      </w:r>
      <w:r>
        <w:rPr>
          <w:sz w:val="24"/>
        </w:rPr>
        <w:t>___%的违约金，并赔偿甲方因此而造成的损失。</w:t>
      </w:r>
    </w:p>
    <w:p>
      <w:pPr>
        <w:pStyle w:val="null3"/>
        <w:ind w:firstLine="480"/>
      </w:pPr>
      <w:r>
        <w:rPr>
          <w:sz w:val="24"/>
        </w:rPr>
        <w:t>2</w:t>
      </w:r>
      <w:r>
        <w:rPr>
          <w:sz w:val="24"/>
        </w:rPr>
        <w:t>.</w:t>
      </w:r>
      <w:r>
        <w:rPr>
          <w:sz w:val="24"/>
        </w:rPr>
        <w:t>合同的部分和全部未经甲方同意都不得转让或分包，否则甲方有权单方面解除合同</w:t>
      </w:r>
      <w:r>
        <w:rPr>
          <w:sz w:val="24"/>
        </w:rPr>
        <w:t>。</w:t>
      </w:r>
    </w:p>
    <w:p>
      <w:pPr>
        <w:pStyle w:val="null3"/>
        <w:ind w:firstLine="480"/>
      </w:pPr>
      <w:r>
        <w:rPr>
          <w:sz w:val="24"/>
        </w:rPr>
        <w:t>3</w:t>
      </w:r>
      <w:r>
        <w:rPr>
          <w:sz w:val="24"/>
        </w:rPr>
        <w:t>.</w:t>
      </w:r>
      <w:r>
        <w:rPr>
          <w:sz w:val="24"/>
        </w:rPr>
        <w:t>乙方提供的服务不符合招标文件、投标文件或本合同规定，甲方有权要求乙方限期整改，累计书面提出达二次，乙方仍未按要求整改的，乙方向甲方支付</w:t>
      </w:r>
      <w:r>
        <w:rPr>
          <w:sz w:val="24"/>
        </w:rPr>
        <w:t>¥_____元(人民币_____)作为违约金，且甲方有权单方面解除合同 。</w:t>
      </w:r>
    </w:p>
    <w:p>
      <w:pPr>
        <w:pStyle w:val="null3"/>
        <w:ind w:firstLine="480"/>
      </w:pPr>
      <w:r>
        <w:rPr>
          <w:sz w:val="24"/>
        </w:rPr>
        <w:t>4</w:t>
      </w:r>
      <w:r>
        <w:rPr>
          <w:sz w:val="24"/>
        </w:rPr>
        <w:t>.</w:t>
      </w:r>
      <w:r>
        <w:rPr>
          <w:sz w:val="24"/>
        </w:rPr>
        <w:t>乙方提供的服务不符合招标文件、投标文件或本合同规定，造成甲方财物损失或第三方向甲方主张权利或追究责任或导致责任事故或者不良社会影响等的，乙方应赔</w:t>
      </w:r>
      <w:r>
        <w:rPr>
          <w:sz w:val="24"/>
        </w:rPr>
        <w:t>偿由此给甲方带来的一切损失</w:t>
      </w:r>
      <w:r>
        <w:rPr>
          <w:sz w:val="24"/>
        </w:rPr>
        <w:t>(包括但不限于律师费用、鉴定费、公证费、诉讼费、法院或仲裁机构等判赔的金额、行政处罚金额及其他任何合理开支)并承担相应法律责任。</w:t>
      </w:r>
    </w:p>
    <w:p>
      <w:pPr>
        <w:pStyle w:val="null3"/>
        <w:ind w:firstLine="480"/>
      </w:pPr>
      <w:r>
        <w:rPr>
          <w:sz w:val="24"/>
        </w:rPr>
        <w:t>5</w:t>
      </w:r>
      <w:r>
        <w:rPr>
          <w:sz w:val="24"/>
        </w:rPr>
        <w:t>.</w:t>
      </w:r>
      <w:r>
        <w:rPr>
          <w:sz w:val="24"/>
        </w:rPr>
        <w:t>甲方逾期支付服务费的，从逾期之日起甲方每天按拖欠费用的</w:t>
      </w:r>
      <w:r>
        <w:rPr>
          <w:sz w:val="24"/>
        </w:rPr>
        <w:t>_____‰ 向乙方支付违约金，但违约金不超过拖欠费用总金额的_____%。</w:t>
      </w:r>
    </w:p>
    <w:p>
      <w:pPr>
        <w:pStyle w:val="null3"/>
        <w:ind w:firstLine="480"/>
      </w:pPr>
      <w:r>
        <w:rPr>
          <w:sz w:val="24"/>
        </w:rPr>
        <w:t>6</w:t>
      </w:r>
      <w:r>
        <w:rPr>
          <w:sz w:val="24"/>
        </w:rPr>
        <w:t>.</w:t>
      </w:r>
      <w:r>
        <w:rPr>
          <w:sz w:val="24"/>
        </w:rPr>
        <w:t>疫情期间乙方或乙方服务人员违反疫情防控管理规定，经甲方抽查乙方相关台账和记录等途径核实的，甲方按人民币</w:t>
      </w:r>
      <w:r>
        <w:rPr>
          <w:sz w:val="24"/>
        </w:rPr>
        <w:t>_____元/次/例的标准进行扣罚，甲方有权直接从 乙方当月或后续需要结算的服务费款项中予以扣除(乙方服务费不足的，不影响甲方向乙方追索)。</w:t>
      </w:r>
    </w:p>
    <w:p>
      <w:pPr>
        <w:pStyle w:val="null3"/>
        <w:ind w:firstLine="480"/>
      </w:pPr>
      <w:r>
        <w:rPr>
          <w:sz w:val="24"/>
          <w:b/>
        </w:rPr>
        <w:t>八、合同终止</w:t>
      </w:r>
    </w:p>
    <w:p>
      <w:pPr>
        <w:pStyle w:val="null3"/>
        <w:ind w:firstLine="480"/>
      </w:pPr>
      <w:r>
        <w:rPr>
          <w:sz w:val="24"/>
        </w:rPr>
        <w:t>1</w:t>
      </w:r>
      <w:r>
        <w:rPr>
          <w:sz w:val="24"/>
        </w:rPr>
        <w:t>.</w:t>
      </w:r>
      <w:r>
        <w:rPr>
          <w:sz w:val="24"/>
        </w:rPr>
        <w:t>乙方有下列情形之一的，甲方有权单方面终止合同，给甲方造成实际经济损失的，乙方还应赔偿给甲方造成的损失：</w:t>
      </w:r>
    </w:p>
    <w:p>
      <w:pPr>
        <w:pStyle w:val="null3"/>
        <w:ind w:firstLine="480"/>
      </w:pPr>
      <w:r>
        <w:rPr>
          <w:sz w:val="24"/>
        </w:rPr>
        <w:t>1.1合同履行过程中出现侵犯他人合法权益的事项，包括但不限于知识产权、人身财产权益等。</w:t>
      </w:r>
    </w:p>
    <w:p>
      <w:pPr>
        <w:pStyle w:val="null3"/>
        <w:ind w:firstLine="480"/>
      </w:pPr>
      <w:r>
        <w:rPr>
          <w:sz w:val="24"/>
        </w:rPr>
        <w:t>1.2乙方丧失实际履约能力。</w:t>
      </w:r>
    </w:p>
    <w:p>
      <w:pPr>
        <w:pStyle w:val="null3"/>
        <w:ind w:firstLine="480"/>
      </w:pPr>
      <w:r>
        <w:rPr>
          <w:sz w:val="24"/>
        </w:rPr>
        <w:t>1.3乙方按照有关规定或者上级命令需要立即停止经营的。</w:t>
      </w:r>
    </w:p>
    <w:p>
      <w:pPr>
        <w:pStyle w:val="null3"/>
        <w:ind w:firstLine="480"/>
      </w:pPr>
      <w:r>
        <w:rPr>
          <w:sz w:val="24"/>
        </w:rPr>
        <w:t>1.4乙方违反本协议约定进行经营，或放弃经营、停止营业的(除非有符合本合同规定的理由)。</w:t>
      </w:r>
    </w:p>
    <w:p>
      <w:pPr>
        <w:pStyle w:val="null3"/>
        <w:ind w:firstLine="480"/>
      </w:pPr>
      <w:r>
        <w:rPr>
          <w:sz w:val="24"/>
        </w:rPr>
        <w:t>1.5乙方濒临破产或进行清算程序(经甲方同意，因重组或合并原因进行清算者例外)。</w:t>
      </w:r>
    </w:p>
    <w:p>
      <w:pPr>
        <w:pStyle w:val="null3"/>
        <w:ind w:firstLine="480"/>
      </w:pPr>
      <w:r>
        <w:rPr>
          <w:sz w:val="24"/>
        </w:rPr>
        <w:t>1.6发生重大责任事故(是否构成重大程度，由甲方认定),事故原因与乙方有关 的。</w:t>
      </w:r>
    </w:p>
    <w:p>
      <w:pPr>
        <w:pStyle w:val="null3"/>
        <w:ind w:firstLine="480"/>
      </w:pPr>
      <w:r>
        <w:rPr>
          <w:sz w:val="24"/>
        </w:rPr>
        <w:t>1.7乙方在合作期限内违反法律法规或违反本合同约定，给甲方造成不良影响的。</w:t>
      </w:r>
    </w:p>
    <w:p>
      <w:pPr>
        <w:pStyle w:val="null3"/>
        <w:ind w:firstLine="480"/>
      </w:pPr>
      <w:r>
        <w:rPr>
          <w:sz w:val="24"/>
        </w:rPr>
        <w:t>1.8乙方严重不服从甲方监管，违反甲方规章制度，造成恶劣影响的(由甲方合理认定)。</w:t>
      </w:r>
    </w:p>
    <w:p>
      <w:pPr>
        <w:pStyle w:val="null3"/>
        <w:ind w:firstLine="480"/>
      </w:pPr>
      <w:r>
        <w:rPr>
          <w:sz w:val="24"/>
          <w:b/>
        </w:rPr>
        <w:t>十、争议解决的方法</w:t>
      </w:r>
    </w:p>
    <w:p>
      <w:pPr>
        <w:pStyle w:val="null3"/>
        <w:ind w:firstLine="480"/>
      </w:pPr>
      <w:r>
        <w:rPr>
          <w:sz w:val="24"/>
        </w:rPr>
        <w:t>签约双方在履约中发生争执和分歧，双方应通过友好协商解决，若经协商不能达成协议时，则向甲方所在地人民法院提起诉讼。受理期间，双方应继续执行合同其余无争议部分。</w:t>
      </w:r>
    </w:p>
    <w:p>
      <w:pPr>
        <w:pStyle w:val="null3"/>
        <w:ind w:firstLine="480"/>
      </w:pPr>
      <w:r>
        <w:rPr>
          <w:sz w:val="24"/>
          <w:b/>
        </w:rPr>
        <w:t>十一、不可抗力</w:t>
      </w:r>
    </w:p>
    <w:p>
      <w:pPr>
        <w:pStyle w:val="null3"/>
        <w:ind w:firstLine="480"/>
      </w:pPr>
      <w:r>
        <w:rPr>
          <w:sz w:val="24"/>
        </w:rPr>
        <w:t>11.1不可抗力指战争、严重火灾、洪水、台风、地震等或其它双方认定的不可抗力事件。</w:t>
      </w:r>
    </w:p>
    <w:p>
      <w:pPr>
        <w:pStyle w:val="null3"/>
        <w:ind w:firstLine="480"/>
      </w:pPr>
      <w:r>
        <w:rPr>
          <w:sz w:val="24"/>
        </w:rPr>
        <w:t>11.2签约双方中任何一方由于不可抗力影响合同执行时，发生不可抗力一方应尽快将事故通知另一方。在此情况下，乙方仍然有责任采取必要的措施加速供货，双方应通过友好协商尽快解决本合同的执行问题。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80"/>
      </w:pPr>
      <w:r>
        <w:rPr>
          <w:sz w:val="24"/>
        </w:rPr>
        <w:t>11.3甲乙双方在合同期内，如因不可抗力因素或省市政策调整或医院重大政策调整而不能继续履行合同的，双方不承担责任。</w:t>
      </w:r>
    </w:p>
    <w:p>
      <w:pPr>
        <w:pStyle w:val="null3"/>
        <w:ind w:firstLine="480"/>
      </w:pPr>
      <w:r>
        <w:rPr>
          <w:sz w:val="24"/>
          <w:b/>
        </w:rPr>
        <w:t>十二、合同组成部分</w:t>
      </w:r>
    </w:p>
    <w:p>
      <w:pPr>
        <w:pStyle w:val="null3"/>
        <w:ind w:firstLine="480"/>
      </w:pPr>
      <w:r>
        <w:rPr>
          <w:sz w:val="24"/>
        </w:rPr>
        <w:t>12.1合同附件、采购文件等均为合同的不可分割的组成部分，与合同具有同等法律效力。</w:t>
      </w:r>
    </w:p>
    <w:p>
      <w:pPr>
        <w:pStyle w:val="null3"/>
        <w:ind w:firstLine="480"/>
      </w:pPr>
      <w:r>
        <w:rPr>
          <w:sz w:val="24"/>
        </w:rPr>
        <w:t>12.2在执行本合同的过程中，经双方签署的文件（包括会议纪要、补充协议等）即成为本合同的有效组成部分，其生效日期为双方签字盖章或确认之日期。</w:t>
      </w:r>
    </w:p>
    <w:p>
      <w:pPr>
        <w:pStyle w:val="null3"/>
        <w:ind w:firstLine="480"/>
      </w:pPr>
      <w:r>
        <w:rPr>
          <w:sz w:val="24"/>
        </w:rPr>
        <w:t>12.3除甲方事先以书面形式确认同意外，乙方不得部分或全部转让其应履行的合同项下的义务。</w:t>
      </w:r>
    </w:p>
    <w:p>
      <w:pPr>
        <w:pStyle w:val="null3"/>
        <w:ind w:firstLine="480"/>
      </w:pPr>
      <w:r>
        <w:rPr>
          <w:sz w:val="24"/>
          <w:b/>
        </w:rPr>
        <w:t>十三、其他</w:t>
      </w:r>
    </w:p>
    <w:p>
      <w:pPr>
        <w:pStyle w:val="null3"/>
        <w:ind w:firstLine="480"/>
      </w:pPr>
      <w:r>
        <w:rPr>
          <w:sz w:val="24"/>
        </w:rPr>
        <w:t>13.1本合同壹式叁份，具有同等法律效力，甲方执贰份、乙方执壹份。本合同经双方签字、盖章后生效。</w:t>
      </w:r>
    </w:p>
    <w:p>
      <w:pPr>
        <w:pStyle w:val="null3"/>
        <w:ind w:firstLine="480"/>
      </w:pPr>
      <w:r>
        <w:rPr>
          <w:sz w:val="24"/>
        </w:rPr>
        <w:t>13.2 本合同未尽事宜，由双方协商处理。</w:t>
      </w:r>
    </w:p>
    <w:p>
      <w:pPr>
        <w:pStyle w:val="null3"/>
        <w:spacing w:before="105" w:after="105"/>
        <w:jc w:val="both"/>
      </w:pPr>
      <w:r>
        <w:rPr>
          <w:sz w:val="24"/>
          <w:b/>
        </w:rPr>
        <w:t>......</w:t>
      </w:r>
    </w:p>
    <w:p>
      <w:pPr>
        <w:pStyle w:val="null3"/>
        <w:ind w:firstLine="480"/>
      </w:pPr>
      <w:r>
        <w:rPr>
          <w:sz w:val="24"/>
          <w:b/>
        </w:rPr>
        <w:t>附件：</w:t>
      </w:r>
    </w:p>
    <w:p>
      <w:pPr>
        <w:pStyle w:val="null3"/>
        <w:ind w:firstLine="480"/>
      </w:pPr>
      <w:r>
        <w:rPr>
          <w:sz w:val="24"/>
          <w:b/>
        </w:rPr>
        <w:t>附件一</w:t>
      </w:r>
      <w:r>
        <w:rPr>
          <w:sz w:val="24"/>
          <w:b/>
        </w:rPr>
        <w:t>服务岗位设置</w:t>
      </w:r>
    </w:p>
    <w:p>
      <w:pPr>
        <w:pStyle w:val="null3"/>
        <w:ind w:firstLine="480"/>
      </w:pPr>
      <w:r>
        <w:rPr>
          <w:sz w:val="24"/>
          <w:b/>
        </w:rPr>
        <w:t>附件二</w:t>
      </w:r>
      <w:r>
        <w:rPr>
          <w:sz w:val="24"/>
          <w:b/>
        </w:rPr>
        <w:t>停车场现有设备设施</w:t>
      </w:r>
    </w:p>
    <w:p>
      <w:pPr>
        <w:pStyle w:val="null3"/>
      </w:pPr>
      <w:r>
        <w:rPr>
          <w:sz w:val="24"/>
          <w:b/>
        </w:rPr>
        <w:t>（以下为签字页，无正文）</w:t>
      </w:r>
    </w:p>
    <w:p>
      <w:pPr>
        <w:pStyle w:val="null3"/>
        <w:ind w:firstLine="480"/>
      </w:pPr>
      <w:r>
        <w:rPr>
          <w:sz w:val="24"/>
          <w:b/>
        </w:rPr>
        <w:t>甲方：（章）法定代表人：</w:t>
      </w:r>
      <w:r>
        <w:rPr>
          <w:sz w:val="24"/>
          <w:b/>
        </w:rPr>
        <w:t xml:space="preserve">       </w:t>
      </w:r>
      <w:r>
        <w:rPr>
          <w:b/>
        </w:rPr>
        <w:t xml:space="preserve"> </w:t>
      </w:r>
      <w:r>
        <w:rPr>
          <w:sz w:val="24"/>
          <w:b/>
        </w:rPr>
        <w:t>乙方：（章）法定代表人：</w:t>
      </w:r>
      <w:r>
        <w:rPr>
          <w:sz w:val="24"/>
          <w:b/>
        </w:rPr>
        <w:t xml:space="preserve">                 </w:t>
      </w:r>
    </w:p>
    <w:p>
      <w:pPr>
        <w:pStyle w:val="null3"/>
        <w:ind w:firstLine="480"/>
      </w:pPr>
      <w:r>
        <w:rPr>
          <w:sz w:val="24"/>
          <w:b/>
        </w:rPr>
        <w:t>签约日期：年</w:t>
      </w:r>
      <w:r>
        <w:rPr>
          <w:sz w:val="24"/>
          <w:b/>
        </w:rPr>
        <w:t xml:space="preserve">   </w:t>
      </w:r>
      <w:r>
        <w:rPr>
          <w:sz w:val="24"/>
          <w:b/>
        </w:rPr>
        <w:t>月</w:t>
      </w:r>
      <w:r>
        <w:rPr>
          <w:sz w:val="24"/>
          <w:b/>
        </w:rPr>
        <w:t xml:space="preserve">   </w:t>
      </w:r>
      <w:r>
        <w:rPr>
          <w:sz w:val="24"/>
          <w:b/>
        </w:rPr>
        <w:t>日</w:t>
      </w:r>
      <w:r>
        <w:rPr>
          <w:sz w:val="24"/>
          <w:b/>
        </w:rPr>
        <w:t xml:space="preserve">       </w:t>
      </w:r>
      <w:r>
        <w:rPr>
          <w:b/>
        </w:rPr>
        <w:t xml:space="preserve">   </w:t>
      </w:r>
      <w:r>
        <w:rPr>
          <w:sz w:val="24"/>
          <w:b/>
        </w:rPr>
        <w:t>签约日期：年</w:t>
      </w:r>
      <w:r>
        <w:rPr>
          <w:sz w:val="24"/>
          <w:b/>
        </w:rPr>
        <w:t xml:space="preserve">   </w:t>
      </w:r>
      <w:r>
        <w:rPr>
          <w:sz w:val="24"/>
          <w:b/>
        </w:rPr>
        <w:t>月</w:t>
      </w:r>
      <w:r>
        <w:rPr>
          <w:sz w:val="24"/>
          <w:b/>
        </w:rPr>
        <w:t xml:space="preserve">   </w:t>
      </w:r>
      <w:r>
        <w:rPr>
          <w:sz w:val="24"/>
          <w:b/>
        </w:rPr>
        <w:t>日</w:t>
      </w:r>
    </w:p>
    <w:p>
      <w:pPr>
        <w:pStyle w:val="null3"/>
        <w:jc w:val="both"/>
      </w:pPr>
      <w:r>
        <w:rPr>
          <w:sz w:val="22"/>
          <w:b/>
        </w:rPr>
        <w:t>附件一</w:t>
      </w:r>
      <w:r>
        <w:rPr>
          <w:sz w:val="22"/>
          <w:b/>
        </w:rPr>
        <w:t>服务岗位设置</w:t>
      </w:r>
    </w:p>
    <w:p>
      <w:pPr>
        <w:pStyle w:val="null3"/>
        <w:jc w:val="both"/>
      </w:pPr>
      <w:r>
        <w:rPr>
          <w:sz w:val="22"/>
        </w:rPr>
        <w:t xml:space="preserve"> </w:t>
      </w:r>
      <w:r>
        <w:rPr>
          <w:sz w:val="22"/>
        </w:rPr>
        <w:t>1.医院本部保安岗位</w:t>
      </w:r>
    </w:p>
    <w:tbl>
      <w:tblPr>
        <w:tblW w:w="0" w:type="auto"/>
        <w:tblBorders>
          <w:top w:val="none" w:color="000000" w:sz="4"/>
          <w:left w:val="none" w:color="000000" w:sz="4"/>
          <w:bottom w:val="none" w:color="000000" w:sz="4"/>
          <w:right w:val="none" w:color="000000" w:sz="4"/>
          <w:insideH w:val="none"/>
          <w:insideV w:val="none"/>
        </w:tblBorders>
      </w:tblPr>
      <w:tblGrid>
        <w:gridCol w:w="386"/>
        <w:gridCol w:w="2005"/>
        <w:gridCol w:w="1560"/>
        <w:gridCol w:w="1634"/>
        <w:gridCol w:w="1560"/>
        <w:gridCol w:w="1129"/>
      </w:tblGrid>
      <w:tr>
        <w:tc>
          <w:tcPr>
            <w:tcW w:type="dxa" w:w="386"/>
            <w:tcBorders>
              <w:top w:val="single" w:color="000000" w:sz="8"/>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序号</w:t>
            </w:r>
          </w:p>
        </w:tc>
        <w:tc>
          <w:tcPr>
            <w:tcW w:type="dxa" w:w="2005"/>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岗</w:t>
            </w:r>
            <w:r>
              <w:rPr>
                <w:sz w:val="22"/>
              </w:rPr>
              <w:t>位</w:t>
            </w:r>
          </w:p>
        </w:tc>
        <w:tc>
          <w:tcPr>
            <w:tcW w:type="dxa" w:w="1560"/>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早班（</w:t>
            </w:r>
            <w:r>
              <w:rPr>
                <w:sz w:val="22"/>
              </w:rPr>
              <w:t>7点至15点）</w:t>
            </w:r>
          </w:p>
        </w:tc>
        <w:tc>
          <w:tcPr>
            <w:tcW w:type="dxa" w:w="1634"/>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中班（</w:t>
            </w:r>
            <w:r>
              <w:rPr>
                <w:sz w:val="22"/>
              </w:rPr>
              <w:t>15点至23点）</w:t>
            </w:r>
          </w:p>
        </w:tc>
        <w:tc>
          <w:tcPr>
            <w:tcW w:type="dxa" w:w="1560"/>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夜班（</w:t>
            </w:r>
            <w:r>
              <w:rPr>
                <w:sz w:val="22"/>
              </w:rPr>
              <w:t>23点至7点）</w:t>
            </w:r>
          </w:p>
        </w:tc>
        <w:tc>
          <w:tcPr>
            <w:tcW w:type="dxa" w:w="1129"/>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服务岗位总数</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项目经理</w:t>
            </w:r>
          </w:p>
        </w:tc>
        <w:tc>
          <w:tcPr>
            <w:tcW w:type="dxa" w:w="4754"/>
            <w:gridSpan w:val="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1人（周一至周五，8：00-12：00、14：00-18：00）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项目主管</w:t>
            </w:r>
          </w:p>
        </w:tc>
        <w:tc>
          <w:tcPr>
            <w:tcW w:type="dxa" w:w="4754"/>
            <w:gridSpan w:val="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1人（周一至周五，8：00-12：00、14：00-18：00）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3</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文化馆</w:t>
            </w:r>
          </w:p>
        </w:tc>
        <w:tc>
          <w:tcPr>
            <w:tcW w:type="dxa" w:w="4754"/>
            <w:gridSpan w:val="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1人（周一至周五，9：00-17：00）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4</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住院部</w:t>
            </w:r>
            <w:r>
              <w:rPr>
                <w:sz w:val="22"/>
              </w:rPr>
              <w:t>14至19楼</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560"/>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5</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住院部</w:t>
            </w:r>
            <w:r>
              <w:rPr>
                <w:sz w:val="22"/>
              </w:rPr>
              <w:t>5至12楼</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6</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住院部</w:t>
            </w:r>
            <w:r>
              <w:rPr>
                <w:sz w:val="22"/>
              </w:rPr>
              <w:t>13层</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7</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住院部入口安检岗</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4（6点至14点）</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2（14点至22点）</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1（22点至6点）</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9.55</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8</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住院部北面观光梯岗</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5.45</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9</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超市通道安检岗</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0.5（15点至19点）</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2.05</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10</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住院部负一楼入口安检岗</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2（6点至14点）</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2（14点至22点）</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5.45</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11</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门诊部入口安检岗</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8.18</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12</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行政楼大堂岗</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0.5（15点至19点）</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2.05</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13</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门诊部南入口安检岗</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1.5</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8.86</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14</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急诊科护士站岗</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15</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急诊入口安检岗</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13.64</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16</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发热门诊岗</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2（15点至22点）</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6.82</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17</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17、18号电梯负一楼安检岗</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8.18</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18</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19、20号电梯负一楼安检岗</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19</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学生宿舍一楼岗</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20</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消防监控设备检查岗</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1.36</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21</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消防控制中心</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8.18</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22</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微型消防站巡逻岗</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16.36</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23</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护院队</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13.64</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24</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班长</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38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 xml:space="preserve"> </w:t>
            </w:r>
          </w:p>
        </w:tc>
        <w:tc>
          <w:tcPr>
            <w:tcW w:type="dxa" w:w="20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合计</w:t>
            </w: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p>
        </w:tc>
        <w:tc>
          <w:tcPr>
            <w:tcW w:type="dxa" w:w="163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tc>
        <w:tc>
          <w:tcPr>
            <w:tcW w:type="dxa" w:w="156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141.40</w:t>
            </w:r>
          </w:p>
        </w:tc>
      </w:tr>
    </w:tbl>
    <w:p>
      <w:pPr>
        <w:pStyle w:val="null3"/>
        <w:jc w:val="left"/>
      </w:pPr>
      <w:r>
        <w:rPr>
          <w:sz w:val="22"/>
        </w:rPr>
        <w:t>备注：按每周</w:t>
      </w:r>
      <w:r>
        <w:rPr>
          <w:sz w:val="22"/>
        </w:rPr>
        <w:t>5天,每天8小时进行设岗，服务岗位总数共141。</w:t>
      </w:r>
    </w:p>
    <w:p>
      <w:pPr>
        <w:pStyle w:val="null3"/>
        <w:jc w:val="left"/>
      </w:pPr>
      <w:r>
        <w:rPr>
          <w:sz w:val="22"/>
        </w:rPr>
        <w:t>2.停车管理岗位</w:t>
      </w:r>
    </w:p>
    <w:tbl>
      <w:tblPr>
        <w:tblW w:w="0" w:type="auto"/>
        <w:tblBorders>
          <w:top w:val="none" w:color="000000" w:sz="4"/>
          <w:left w:val="none" w:color="000000" w:sz="4"/>
          <w:bottom w:val="none" w:color="000000" w:sz="4"/>
          <w:right w:val="none" w:color="000000" w:sz="4"/>
          <w:insideH w:val="none"/>
          <w:insideV w:val="none"/>
        </w:tblBorders>
      </w:tblPr>
      <w:tblGrid>
        <w:gridCol w:w="653"/>
        <w:gridCol w:w="2644"/>
        <w:gridCol w:w="1069"/>
        <w:gridCol w:w="1322"/>
        <w:gridCol w:w="1129"/>
        <w:gridCol w:w="1456"/>
      </w:tblGrid>
      <w:tr>
        <w:tc>
          <w:tcPr>
            <w:tcW w:type="dxa" w:w="653"/>
            <w:tcBorders>
              <w:top w:val="single" w:color="000000" w:sz="8"/>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序号</w:t>
            </w:r>
          </w:p>
        </w:tc>
        <w:tc>
          <w:tcPr>
            <w:tcW w:type="dxa" w:w="2644"/>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岗</w:t>
            </w:r>
            <w:r>
              <w:rPr>
                <w:sz w:val="22"/>
              </w:rPr>
              <w:t>位</w:t>
            </w:r>
          </w:p>
        </w:tc>
        <w:tc>
          <w:tcPr>
            <w:tcW w:type="dxa" w:w="1069"/>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早班（</w:t>
            </w:r>
            <w:r>
              <w:rPr>
                <w:sz w:val="22"/>
              </w:rPr>
              <w:t>7点至15点）</w:t>
            </w:r>
          </w:p>
        </w:tc>
        <w:tc>
          <w:tcPr>
            <w:tcW w:type="dxa" w:w="1322"/>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中班（</w:t>
            </w:r>
            <w:r>
              <w:rPr>
                <w:sz w:val="22"/>
              </w:rPr>
              <w:t>15点至23点）</w:t>
            </w:r>
          </w:p>
        </w:tc>
        <w:tc>
          <w:tcPr>
            <w:tcW w:type="dxa" w:w="1129"/>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夜班（</w:t>
            </w:r>
            <w:r>
              <w:rPr>
                <w:sz w:val="22"/>
              </w:rPr>
              <w:t>23点至7点）</w:t>
            </w:r>
          </w:p>
        </w:tc>
        <w:tc>
          <w:tcPr>
            <w:tcW w:type="dxa" w:w="1456"/>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服务岗位总数</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东</w:t>
            </w:r>
            <w:r>
              <w:rPr>
                <w:sz w:val="22"/>
              </w:rPr>
              <w:t>1门收费岗</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东</w:t>
            </w:r>
            <w:r>
              <w:rPr>
                <w:sz w:val="22"/>
              </w:rPr>
              <w:t>2门收费岗</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3</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南门收费岗</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4</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西门收费岗</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5</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住院部门口路面</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6</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急诊门口路面</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2.73</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7</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门诊门口路面</w:t>
            </w:r>
            <w:r>
              <w:rPr>
                <w:sz w:val="22"/>
              </w:rPr>
              <w:t>1</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1.36</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8</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门诊门口路面</w:t>
            </w:r>
            <w:r>
              <w:rPr>
                <w:sz w:val="22"/>
              </w:rPr>
              <w:t>2</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7:00至12:00；14：00至17:00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1.36</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9</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停车楼入口</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7:00至12:00；14：00至17:00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1.36</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10</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地库</w:t>
            </w:r>
            <w:r>
              <w:rPr>
                <w:sz w:val="22"/>
              </w:rPr>
              <w:t>C出入口</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0.5（5小时）</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7:00至12:00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0.68</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11</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篮球场交叉路口</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7:00至12:00；14：00至17:00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1.36</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12</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行政楼交叉路口</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7:00至12:00；14：00至17:00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1.36</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13</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地库</w:t>
            </w:r>
            <w:r>
              <w:rPr>
                <w:sz w:val="22"/>
              </w:rPr>
              <w:t>A入口</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7:00至12:00；14：00至17:00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1.36</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14</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地库</w:t>
            </w:r>
            <w:r>
              <w:rPr>
                <w:sz w:val="22"/>
              </w:rPr>
              <w:t>B出口</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0.5（4小时）</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8:00至12:00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0.68</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15</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地库巡逻引导</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2.73</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16</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西北角路面</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17</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北面单车棚</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18</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地库</w:t>
            </w:r>
            <w:r>
              <w:rPr>
                <w:sz w:val="22"/>
              </w:rPr>
              <w:t>A区</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19</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西门车场出口岗</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20</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悦来门诊门口出口收费岗</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1.36</w:t>
            </w:r>
          </w:p>
        </w:tc>
      </w:tr>
      <w:tr>
        <w:tc>
          <w:tcPr>
            <w:tcW w:type="dxa" w:w="65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 xml:space="preserve"> </w:t>
            </w:r>
          </w:p>
        </w:tc>
        <w:tc>
          <w:tcPr>
            <w:tcW w:type="dxa" w:w="26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合计</w:t>
            </w:r>
          </w:p>
        </w:tc>
        <w:tc>
          <w:tcPr>
            <w:tcW w:type="dxa" w:w="106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p>
        </w:tc>
        <w:tc>
          <w:tcPr>
            <w:tcW w:type="dxa" w:w="132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tc>
        <w:tc>
          <w:tcPr>
            <w:tcW w:type="dxa" w:w="112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tc>
        <w:tc>
          <w:tcPr>
            <w:tcW w:type="dxa" w:w="1456"/>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53.15</w:t>
            </w:r>
          </w:p>
        </w:tc>
      </w:tr>
    </w:tbl>
    <w:p>
      <w:pPr>
        <w:pStyle w:val="null3"/>
        <w:jc w:val="left"/>
      </w:pPr>
      <w:r>
        <w:rPr>
          <w:sz w:val="22"/>
        </w:rPr>
        <w:t>备注：按每周</w:t>
      </w:r>
      <w:r>
        <w:rPr>
          <w:sz w:val="22"/>
        </w:rPr>
        <w:t>5天，每天8小时进行设岗，服务岗位总数共53。</w:t>
      </w:r>
    </w:p>
    <w:p>
      <w:pPr>
        <w:pStyle w:val="null3"/>
        <w:jc w:val="left"/>
      </w:pPr>
      <w:r>
        <w:rPr>
          <w:sz w:val="22"/>
        </w:rPr>
        <w:t>3.悦来门诊部保安岗位</w:t>
      </w:r>
    </w:p>
    <w:tbl>
      <w:tblPr>
        <w:tblW w:w="0" w:type="auto"/>
        <w:tblBorders>
          <w:top w:val="none" w:color="000000" w:sz="4"/>
          <w:left w:val="none" w:color="000000" w:sz="4"/>
          <w:bottom w:val="none" w:color="000000" w:sz="4"/>
          <w:right w:val="none" w:color="000000" w:sz="4"/>
          <w:insideH w:val="none"/>
          <w:insideV w:val="none"/>
        </w:tblBorders>
      </w:tblPr>
      <w:tblGrid>
        <w:gridCol w:w="713"/>
        <w:gridCol w:w="1589"/>
        <w:gridCol w:w="1144"/>
        <w:gridCol w:w="1114"/>
        <w:gridCol w:w="1114"/>
        <w:gridCol w:w="1307"/>
        <w:gridCol w:w="1277"/>
      </w:tblGrid>
      <w:tr>
        <w:tc>
          <w:tcPr>
            <w:tcW w:type="dxa" w:w="713"/>
            <w:tcBorders>
              <w:top w:val="single" w:color="000000" w:sz="8"/>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序号</w:t>
            </w:r>
          </w:p>
        </w:tc>
        <w:tc>
          <w:tcPr>
            <w:tcW w:type="dxa" w:w="1589"/>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岗位</w:t>
            </w:r>
          </w:p>
        </w:tc>
        <w:tc>
          <w:tcPr>
            <w:tcW w:type="dxa" w:w="1144"/>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both"/>
            </w:pPr>
            <w:r>
              <w:rPr>
                <w:sz w:val="22"/>
              </w:rPr>
              <w:t>早班（</w:t>
            </w:r>
            <w:r>
              <w:rPr>
                <w:sz w:val="22"/>
              </w:rPr>
              <w:t>7点至15点）</w:t>
            </w:r>
          </w:p>
        </w:tc>
        <w:tc>
          <w:tcPr>
            <w:tcW w:type="dxa" w:w="1114"/>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中班（</w:t>
            </w:r>
            <w:r>
              <w:rPr>
                <w:sz w:val="22"/>
              </w:rPr>
              <w:t>15点至23点）</w:t>
            </w:r>
          </w:p>
        </w:tc>
        <w:tc>
          <w:tcPr>
            <w:tcW w:type="dxa" w:w="1114"/>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夜班（</w:t>
            </w:r>
            <w:r>
              <w:rPr>
                <w:sz w:val="22"/>
              </w:rPr>
              <w:t>23点至7点）</w:t>
            </w:r>
          </w:p>
        </w:tc>
        <w:tc>
          <w:tcPr>
            <w:tcW w:type="dxa" w:w="1307"/>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上岗时间</w:t>
            </w:r>
          </w:p>
        </w:tc>
        <w:tc>
          <w:tcPr>
            <w:tcW w:type="dxa" w:w="1277"/>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服务岗位总数</w:t>
            </w:r>
          </w:p>
        </w:tc>
      </w:tr>
      <w:tr>
        <w:tc>
          <w:tcPr>
            <w:tcW w:type="dxa" w:w="71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58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消防监控中心岗</w:t>
            </w:r>
          </w:p>
        </w:tc>
        <w:tc>
          <w:tcPr>
            <w:tcW w:type="dxa" w:w="11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11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11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30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周一至周日</w:t>
            </w:r>
          </w:p>
        </w:tc>
        <w:tc>
          <w:tcPr>
            <w:tcW w:type="dxa" w:w="127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8.18</w:t>
            </w:r>
          </w:p>
        </w:tc>
      </w:tr>
      <w:tr>
        <w:tc>
          <w:tcPr>
            <w:tcW w:type="dxa" w:w="71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58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门诊大厅</w:t>
            </w:r>
          </w:p>
        </w:tc>
        <w:tc>
          <w:tcPr>
            <w:tcW w:type="dxa" w:w="11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1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1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30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周一至周六</w:t>
            </w:r>
          </w:p>
        </w:tc>
        <w:tc>
          <w:tcPr>
            <w:tcW w:type="dxa" w:w="127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2.36</w:t>
            </w:r>
          </w:p>
        </w:tc>
      </w:tr>
      <w:tr>
        <w:tc>
          <w:tcPr>
            <w:tcW w:type="dxa" w:w="71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3</w:t>
            </w:r>
          </w:p>
        </w:tc>
        <w:tc>
          <w:tcPr>
            <w:tcW w:type="dxa" w:w="158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门诊入口安检岗</w:t>
            </w:r>
          </w:p>
        </w:tc>
        <w:tc>
          <w:tcPr>
            <w:tcW w:type="dxa" w:w="3372"/>
            <w:gridSpan w:val="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2人（8:00至12:30、14：30至18:00）</w:t>
            </w:r>
          </w:p>
        </w:tc>
        <w:tc>
          <w:tcPr>
            <w:tcW w:type="dxa" w:w="130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周一至周六</w:t>
            </w:r>
          </w:p>
        </w:tc>
        <w:tc>
          <w:tcPr>
            <w:tcW w:type="dxa" w:w="127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2.36</w:t>
            </w:r>
          </w:p>
        </w:tc>
      </w:tr>
      <w:tr>
        <w:tc>
          <w:tcPr>
            <w:tcW w:type="dxa" w:w="71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4</w:t>
            </w:r>
          </w:p>
        </w:tc>
        <w:tc>
          <w:tcPr>
            <w:tcW w:type="dxa" w:w="158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标本护送</w:t>
            </w:r>
            <w:r>
              <w:rPr>
                <w:sz w:val="22"/>
              </w:rPr>
              <w:t>岗</w:t>
            </w:r>
          </w:p>
        </w:tc>
        <w:tc>
          <w:tcPr>
            <w:tcW w:type="dxa" w:w="3372"/>
            <w:gridSpan w:val="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2人（8:00至12:30、14：30至18:00）</w:t>
            </w:r>
          </w:p>
        </w:tc>
        <w:tc>
          <w:tcPr>
            <w:tcW w:type="dxa" w:w="130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周一至周六</w:t>
            </w:r>
          </w:p>
        </w:tc>
        <w:tc>
          <w:tcPr>
            <w:tcW w:type="dxa" w:w="127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2.36</w:t>
            </w:r>
          </w:p>
        </w:tc>
      </w:tr>
      <w:tr>
        <w:tc>
          <w:tcPr>
            <w:tcW w:type="dxa" w:w="71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5</w:t>
            </w:r>
          </w:p>
        </w:tc>
        <w:tc>
          <w:tcPr>
            <w:tcW w:type="dxa" w:w="158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外围大门岗</w:t>
            </w:r>
          </w:p>
        </w:tc>
        <w:tc>
          <w:tcPr>
            <w:tcW w:type="dxa" w:w="11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1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1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07"/>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周一至周日</w:t>
            </w:r>
          </w:p>
        </w:tc>
        <w:tc>
          <w:tcPr>
            <w:tcW w:type="dxa" w:w="1277"/>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71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6</w:t>
            </w:r>
          </w:p>
        </w:tc>
        <w:tc>
          <w:tcPr>
            <w:tcW w:type="dxa" w:w="158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项目副主管</w:t>
            </w:r>
          </w:p>
        </w:tc>
        <w:tc>
          <w:tcPr>
            <w:tcW w:type="dxa" w:w="3372"/>
            <w:gridSpan w:val="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1人（8：00-12：00、14：00-18：00）</w:t>
            </w:r>
          </w:p>
        </w:tc>
        <w:tc>
          <w:tcPr>
            <w:tcW w:type="dxa" w:w="130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周一至周五</w:t>
            </w:r>
          </w:p>
        </w:tc>
        <w:tc>
          <w:tcPr>
            <w:tcW w:type="dxa" w:w="1277"/>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r>
      <w:tr>
        <w:tc>
          <w:tcPr>
            <w:tcW w:type="dxa" w:w="713"/>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 xml:space="preserve"> </w:t>
            </w:r>
          </w:p>
        </w:tc>
        <w:tc>
          <w:tcPr>
            <w:tcW w:type="dxa" w:w="1589"/>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合计</w:t>
            </w:r>
          </w:p>
        </w:tc>
        <w:tc>
          <w:tcPr>
            <w:tcW w:type="dxa" w:w="114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p>
        </w:tc>
        <w:tc>
          <w:tcPr>
            <w:tcW w:type="dxa" w:w="111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tc>
        <w:tc>
          <w:tcPr>
            <w:tcW w:type="dxa" w:w="1114"/>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tc>
        <w:tc>
          <w:tcPr>
            <w:tcW w:type="dxa" w:w="1307"/>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tc>
        <w:tc>
          <w:tcPr>
            <w:tcW w:type="dxa" w:w="1277"/>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20.35</w:t>
            </w:r>
          </w:p>
        </w:tc>
      </w:tr>
    </w:tbl>
    <w:p>
      <w:pPr>
        <w:pStyle w:val="null3"/>
        <w:jc w:val="left"/>
      </w:pPr>
      <w:r>
        <w:rPr>
          <w:sz w:val="22"/>
        </w:rPr>
        <w:t>备注：（</w:t>
      </w:r>
      <w:r>
        <w:rPr>
          <w:sz w:val="22"/>
        </w:rPr>
        <w:t>1）按每周5天，每天8小时进行设岗，服务岗位总数共20。</w:t>
      </w:r>
    </w:p>
    <w:p>
      <w:pPr>
        <w:pStyle w:val="null3"/>
        <w:jc w:val="left"/>
      </w:pPr>
      <w:r>
        <w:rPr>
          <w:sz w:val="22"/>
        </w:rPr>
        <w:t>（</w:t>
      </w:r>
      <w:r>
        <w:rPr>
          <w:sz w:val="22"/>
        </w:rPr>
        <w:t>2）兼顾</w:t>
      </w:r>
      <w:r>
        <w:rPr>
          <w:sz w:val="22"/>
        </w:rPr>
        <w:t>岐江门诊部及弓箭巷宿舍的日常巡逻服务等安全保卫工作。</w:t>
      </w:r>
    </w:p>
    <w:p>
      <w:pPr>
        <w:pStyle w:val="null3"/>
        <w:jc w:val="left"/>
      </w:pPr>
      <w:r>
        <w:rPr>
          <w:sz w:val="22"/>
        </w:rPr>
        <w:t>4.综合楼保安岗位</w:t>
      </w:r>
    </w:p>
    <w:tbl>
      <w:tblPr>
        <w:tblW w:w="0" w:type="auto"/>
        <w:tblBorders>
          <w:top w:val="none" w:color="000000" w:sz="4"/>
          <w:left w:val="none" w:color="000000" w:sz="4"/>
          <w:bottom w:val="none" w:color="000000" w:sz="4"/>
          <w:right w:val="none" w:color="000000" w:sz="4"/>
          <w:insideH w:val="none"/>
          <w:insideV w:val="none"/>
        </w:tblBorders>
      </w:tblPr>
      <w:tblGrid>
        <w:gridCol w:w="645"/>
        <w:gridCol w:w="2610"/>
        <w:gridCol w:w="1050"/>
        <w:gridCol w:w="1305"/>
        <w:gridCol w:w="1125"/>
        <w:gridCol w:w="1440"/>
      </w:tblGrid>
      <w:tr>
        <w:tc>
          <w:tcPr>
            <w:tcW w:type="dxa" w:w="645"/>
            <w:tcBorders>
              <w:top w:val="single" w:color="000000" w:sz="8"/>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序号</w:t>
            </w:r>
          </w:p>
        </w:tc>
        <w:tc>
          <w:tcPr>
            <w:tcW w:type="dxa" w:w="2610"/>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岗</w:t>
            </w:r>
            <w:r>
              <w:rPr>
                <w:sz w:val="22"/>
              </w:rPr>
              <w:t>位</w:t>
            </w:r>
          </w:p>
        </w:tc>
        <w:tc>
          <w:tcPr>
            <w:tcW w:type="dxa" w:w="1050"/>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早班（</w:t>
            </w:r>
            <w:r>
              <w:rPr>
                <w:sz w:val="22"/>
              </w:rPr>
              <w:t>7点至15点）</w:t>
            </w:r>
          </w:p>
        </w:tc>
        <w:tc>
          <w:tcPr>
            <w:tcW w:type="dxa" w:w="1305"/>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中班（</w:t>
            </w:r>
            <w:r>
              <w:rPr>
                <w:sz w:val="22"/>
              </w:rPr>
              <w:t>15点至23点）</w:t>
            </w:r>
          </w:p>
        </w:tc>
        <w:tc>
          <w:tcPr>
            <w:tcW w:type="dxa" w:w="1125"/>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夜班（</w:t>
            </w:r>
            <w:r>
              <w:rPr>
                <w:sz w:val="22"/>
              </w:rPr>
              <w:t>23点至7点）</w:t>
            </w:r>
          </w:p>
        </w:tc>
        <w:tc>
          <w:tcPr>
            <w:tcW w:type="dxa" w:w="1440"/>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服务岗位总数</w:t>
            </w:r>
          </w:p>
        </w:tc>
      </w:tr>
      <w:tr>
        <w:tc>
          <w:tcPr>
            <w:tcW w:type="dxa" w:w="64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26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综合楼</w:t>
            </w:r>
            <w:r>
              <w:rPr>
                <w:sz w:val="22"/>
              </w:rPr>
              <w:t>12至17楼</w:t>
            </w:r>
          </w:p>
        </w:tc>
        <w:tc>
          <w:tcPr>
            <w:tcW w:type="dxa" w:w="105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44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64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26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综合楼</w:t>
            </w:r>
            <w:r>
              <w:rPr>
                <w:sz w:val="22"/>
              </w:rPr>
              <w:t>6至11楼</w:t>
            </w:r>
          </w:p>
        </w:tc>
        <w:tc>
          <w:tcPr>
            <w:tcW w:type="dxa" w:w="105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44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4.09</w:t>
            </w:r>
          </w:p>
        </w:tc>
      </w:tr>
      <w:tr>
        <w:tc>
          <w:tcPr>
            <w:tcW w:type="dxa" w:w="64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3</w:t>
            </w:r>
          </w:p>
        </w:tc>
        <w:tc>
          <w:tcPr>
            <w:tcW w:type="dxa" w:w="26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综合楼</w:t>
            </w:r>
            <w:r>
              <w:rPr>
                <w:sz w:val="22"/>
              </w:rPr>
              <w:t>2至5楼</w:t>
            </w:r>
          </w:p>
        </w:tc>
        <w:tc>
          <w:tcPr>
            <w:tcW w:type="dxa" w:w="105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3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12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44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2.73</w:t>
            </w:r>
          </w:p>
        </w:tc>
      </w:tr>
      <w:tr>
        <w:tc>
          <w:tcPr>
            <w:tcW w:type="dxa" w:w="64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4</w:t>
            </w:r>
          </w:p>
        </w:tc>
        <w:tc>
          <w:tcPr>
            <w:tcW w:type="dxa" w:w="26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综合楼</w:t>
            </w:r>
            <w:r>
              <w:rPr>
                <w:sz w:val="22"/>
              </w:rPr>
              <w:t>1楼入口安检岗</w:t>
            </w:r>
          </w:p>
        </w:tc>
        <w:tc>
          <w:tcPr>
            <w:tcW w:type="dxa" w:w="105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4（6点至14点）</w:t>
            </w:r>
          </w:p>
        </w:tc>
        <w:tc>
          <w:tcPr>
            <w:tcW w:type="dxa" w:w="13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2（14点至22点）</w:t>
            </w:r>
          </w:p>
        </w:tc>
        <w:tc>
          <w:tcPr>
            <w:tcW w:type="dxa" w:w="112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2（22点至6点）</w:t>
            </w:r>
          </w:p>
        </w:tc>
        <w:tc>
          <w:tcPr>
            <w:tcW w:type="dxa" w:w="144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10.90</w:t>
            </w:r>
          </w:p>
        </w:tc>
      </w:tr>
      <w:tr>
        <w:tc>
          <w:tcPr>
            <w:tcW w:type="dxa" w:w="64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5</w:t>
            </w:r>
          </w:p>
        </w:tc>
        <w:tc>
          <w:tcPr>
            <w:tcW w:type="dxa" w:w="26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综合楼负</w:t>
            </w:r>
            <w:r>
              <w:rPr>
                <w:sz w:val="22"/>
              </w:rPr>
              <w:t>1楼安检岗</w:t>
            </w:r>
          </w:p>
        </w:tc>
        <w:tc>
          <w:tcPr>
            <w:tcW w:type="dxa" w:w="105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2（6点至14点）</w:t>
            </w:r>
          </w:p>
        </w:tc>
        <w:tc>
          <w:tcPr>
            <w:tcW w:type="dxa" w:w="13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2（14点至22点）</w:t>
            </w:r>
          </w:p>
        </w:tc>
        <w:tc>
          <w:tcPr>
            <w:tcW w:type="dxa" w:w="112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44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5.45</w:t>
            </w:r>
          </w:p>
        </w:tc>
      </w:tr>
      <w:tr>
        <w:tc>
          <w:tcPr>
            <w:tcW w:type="dxa" w:w="64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6</w:t>
            </w:r>
          </w:p>
        </w:tc>
        <w:tc>
          <w:tcPr>
            <w:tcW w:type="dxa" w:w="26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综合楼负</w:t>
            </w:r>
            <w:r>
              <w:rPr>
                <w:sz w:val="22"/>
              </w:rPr>
              <w:t>2楼安检岗</w:t>
            </w:r>
          </w:p>
        </w:tc>
        <w:tc>
          <w:tcPr>
            <w:tcW w:type="dxa" w:w="105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2（6点至14点）</w:t>
            </w:r>
          </w:p>
        </w:tc>
        <w:tc>
          <w:tcPr>
            <w:tcW w:type="dxa" w:w="13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2（14点至22点）</w:t>
            </w:r>
          </w:p>
        </w:tc>
        <w:tc>
          <w:tcPr>
            <w:tcW w:type="dxa" w:w="112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44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5.45</w:t>
            </w:r>
          </w:p>
        </w:tc>
      </w:tr>
      <w:tr>
        <w:tc>
          <w:tcPr>
            <w:tcW w:type="dxa" w:w="64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7</w:t>
            </w:r>
          </w:p>
        </w:tc>
        <w:tc>
          <w:tcPr>
            <w:tcW w:type="dxa" w:w="26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综合楼连廊安检岗</w:t>
            </w:r>
          </w:p>
          <w:p>
            <w:pPr>
              <w:pStyle w:val="null3"/>
              <w:jc w:val="center"/>
            </w:pPr>
            <w:r>
              <w:rPr>
                <w:sz w:val="22"/>
              </w:rPr>
              <w:t>（靠后勤楼）</w:t>
            </w:r>
          </w:p>
        </w:tc>
        <w:tc>
          <w:tcPr>
            <w:tcW w:type="dxa" w:w="105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3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12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0</w:t>
            </w:r>
          </w:p>
        </w:tc>
        <w:tc>
          <w:tcPr>
            <w:tcW w:type="dxa" w:w="144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5.45</w:t>
            </w:r>
          </w:p>
        </w:tc>
      </w:tr>
      <w:tr>
        <w:tc>
          <w:tcPr>
            <w:tcW w:type="dxa" w:w="645"/>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1"/>
              </w:rPr>
              <w:t xml:space="preserve"> </w:t>
            </w:r>
          </w:p>
        </w:tc>
        <w:tc>
          <w:tcPr>
            <w:tcW w:type="dxa" w:w="261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合计</w:t>
            </w:r>
          </w:p>
        </w:tc>
        <w:tc>
          <w:tcPr>
            <w:tcW w:type="dxa" w:w="105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p>
        </w:tc>
        <w:tc>
          <w:tcPr>
            <w:tcW w:type="dxa" w:w="130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tc>
        <w:tc>
          <w:tcPr>
            <w:tcW w:type="dxa" w:w="1125"/>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tc>
        <w:tc>
          <w:tcPr>
            <w:tcW w:type="dxa" w:w="144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38.16</w:t>
            </w:r>
          </w:p>
        </w:tc>
      </w:tr>
    </w:tbl>
    <w:p>
      <w:pPr>
        <w:pStyle w:val="null3"/>
        <w:jc w:val="both"/>
      </w:pPr>
      <w:r>
        <w:rPr>
          <w:sz w:val="22"/>
        </w:rPr>
        <w:t>备注：按每周</w:t>
      </w:r>
      <w:r>
        <w:rPr>
          <w:sz w:val="22"/>
        </w:rPr>
        <w:t>5天，每天8小时进行设岗，服务岗位总数共38。</w:t>
      </w:r>
    </w:p>
    <w:p>
      <w:pPr>
        <w:pStyle w:val="null3"/>
        <w:jc w:val="left"/>
      </w:pPr>
      <w:r>
        <w:rPr>
          <w:sz w:val="22"/>
          <w:b/>
        </w:rPr>
        <w:t>附件二</w:t>
      </w:r>
      <w:r>
        <w:rPr>
          <w:sz w:val="22"/>
          <w:b/>
        </w:rPr>
        <w:t>停车场现有设备设施</w:t>
      </w:r>
    </w:p>
    <w:tbl>
      <w:tblPr>
        <w:tblW w:w="0" w:type="auto"/>
        <w:tblBorders>
          <w:top w:val="none" w:color="000000" w:sz="4"/>
          <w:left w:val="none" w:color="000000" w:sz="4"/>
          <w:bottom w:val="none" w:color="000000" w:sz="4"/>
          <w:right w:val="none" w:color="000000" w:sz="4"/>
          <w:insideH w:val="none"/>
          <w:insideV w:val="none"/>
        </w:tblBorders>
      </w:tblPr>
      <w:tblGrid>
        <w:gridCol w:w="508"/>
        <w:gridCol w:w="1242"/>
        <w:gridCol w:w="2020"/>
        <w:gridCol w:w="628"/>
        <w:gridCol w:w="598"/>
        <w:gridCol w:w="3262"/>
      </w:tblGrid>
      <w:tr>
        <w:tc>
          <w:tcPr>
            <w:tcW w:type="dxa" w:w="508"/>
            <w:tcBorders>
              <w:top w:val="single" w:color="000000" w:sz="8"/>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序号</w:t>
            </w:r>
          </w:p>
        </w:tc>
        <w:tc>
          <w:tcPr>
            <w:tcW w:type="dxa" w:w="1242"/>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名称</w:t>
            </w:r>
          </w:p>
        </w:tc>
        <w:tc>
          <w:tcPr>
            <w:tcW w:type="dxa" w:w="2020"/>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型号</w:t>
            </w:r>
          </w:p>
        </w:tc>
        <w:tc>
          <w:tcPr>
            <w:tcW w:type="dxa" w:w="628"/>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数量</w:t>
            </w:r>
          </w:p>
        </w:tc>
        <w:tc>
          <w:tcPr>
            <w:tcW w:type="dxa" w:w="598"/>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单位</w:t>
            </w:r>
          </w:p>
        </w:tc>
        <w:tc>
          <w:tcPr>
            <w:tcW w:type="dxa" w:w="3262"/>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备注</w:t>
            </w:r>
          </w:p>
        </w:tc>
      </w:tr>
      <w:tr>
        <w:tc>
          <w:tcPr>
            <w:tcW w:type="dxa" w:w="8258"/>
            <w:gridSpan w:val="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停车管理系统</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242"/>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一体式控制机</w:t>
            </w:r>
          </w:p>
        </w:tc>
        <w:tc>
          <w:tcPr>
            <w:tcW w:type="dxa" w:w="2020"/>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GIA-18Y-M30S-BW</w:t>
            </w:r>
          </w:p>
        </w:tc>
        <w:tc>
          <w:tcPr>
            <w:tcW w:type="dxa" w:w="628"/>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18</w:t>
            </w:r>
          </w:p>
        </w:tc>
        <w:tc>
          <w:tcPr>
            <w:tcW w:type="dxa" w:w="598"/>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台</w:t>
            </w:r>
          </w:p>
        </w:tc>
        <w:tc>
          <w:tcPr>
            <w:tcW w:type="dxa" w:w="3262"/>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3秒机芯，直杆3米，道闸[左定]。</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24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一体式控制机</w:t>
            </w:r>
          </w:p>
        </w:tc>
        <w:tc>
          <w:tcPr>
            <w:tcW w:type="dxa" w:w="202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GIA-18Y-M30S-BW</w:t>
            </w:r>
          </w:p>
        </w:tc>
        <w:tc>
          <w:tcPr>
            <w:tcW w:type="dxa" w:w="62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9</w:t>
            </w:r>
          </w:p>
        </w:tc>
        <w:tc>
          <w:tcPr>
            <w:tcW w:type="dxa" w:w="5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台</w:t>
            </w:r>
          </w:p>
        </w:tc>
        <w:tc>
          <w:tcPr>
            <w:tcW w:type="dxa" w:w="32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3秒机芯，直杆3米，道闸[右定]。</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3</w:t>
            </w:r>
          </w:p>
        </w:tc>
        <w:tc>
          <w:tcPr>
            <w:tcW w:type="dxa" w:w="124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一体式控制机</w:t>
            </w:r>
          </w:p>
        </w:tc>
        <w:tc>
          <w:tcPr>
            <w:tcW w:type="dxa" w:w="202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GIA-18Y-M30S-BW</w:t>
            </w:r>
          </w:p>
        </w:tc>
        <w:tc>
          <w:tcPr>
            <w:tcW w:type="dxa" w:w="62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5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台</w:t>
            </w:r>
          </w:p>
        </w:tc>
        <w:tc>
          <w:tcPr>
            <w:tcW w:type="dxa" w:w="32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3秒机芯，直杆3米，道闸[左定]。同进同出。</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4</w:t>
            </w:r>
          </w:p>
        </w:tc>
        <w:tc>
          <w:tcPr>
            <w:tcW w:type="dxa" w:w="124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PMS控制器</w:t>
            </w:r>
          </w:p>
        </w:tc>
        <w:tc>
          <w:tcPr>
            <w:tcW w:type="dxa" w:w="202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SAC-18N</w:t>
            </w:r>
          </w:p>
        </w:tc>
        <w:tc>
          <w:tcPr>
            <w:tcW w:type="dxa" w:w="62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5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台</w:t>
            </w:r>
          </w:p>
        </w:tc>
        <w:tc>
          <w:tcPr>
            <w:tcW w:type="dxa" w:w="32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同进同出。</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5</w:t>
            </w:r>
          </w:p>
        </w:tc>
        <w:tc>
          <w:tcPr>
            <w:tcW w:type="dxa" w:w="124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主控总成</w:t>
            </w:r>
          </w:p>
        </w:tc>
        <w:tc>
          <w:tcPr>
            <w:tcW w:type="dxa" w:w="202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MBC-13</w:t>
            </w:r>
          </w:p>
        </w:tc>
        <w:tc>
          <w:tcPr>
            <w:tcW w:type="dxa" w:w="62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14</w:t>
            </w:r>
          </w:p>
        </w:tc>
        <w:tc>
          <w:tcPr>
            <w:tcW w:type="dxa" w:w="5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块</w:t>
            </w:r>
          </w:p>
        </w:tc>
        <w:tc>
          <w:tcPr>
            <w:tcW w:type="dxa" w:w="32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控制系统、含主控板、核心板。</w:t>
            </w:r>
          </w:p>
        </w:tc>
      </w:tr>
      <w:tr>
        <w:tc>
          <w:tcPr>
            <w:tcW w:type="dxa" w:w="8258"/>
            <w:gridSpan w:val="6"/>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车位引导系统</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1242"/>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LED模组总成</w:t>
            </w:r>
          </w:p>
        </w:tc>
        <w:tc>
          <w:tcPr>
            <w:tcW w:type="dxa" w:w="2020"/>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DHM-12R102RGO-16P16</w:t>
            </w:r>
          </w:p>
        </w:tc>
        <w:tc>
          <w:tcPr>
            <w:tcW w:type="dxa" w:w="628"/>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8</w:t>
            </w:r>
          </w:p>
        </w:tc>
        <w:tc>
          <w:tcPr>
            <w:tcW w:type="dxa" w:w="598"/>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块</w:t>
            </w:r>
          </w:p>
        </w:tc>
        <w:tc>
          <w:tcPr>
            <w:tcW w:type="dxa" w:w="3262"/>
            <w:tcBorders>
              <w:top w:val="single" w:color="000000" w:sz="8"/>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rPr>
              <w:t>半户外使用，同屏可显</w:t>
            </w:r>
            <w:r>
              <w:rPr>
                <w:sz w:val="22"/>
              </w:rPr>
              <w:t>4个数字，红绿双色显示，512*256（mm），含LED模组、开关电源、模组安装配件，RS485通信。</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2</w:t>
            </w:r>
          </w:p>
        </w:tc>
        <w:tc>
          <w:tcPr>
            <w:tcW w:type="dxa" w:w="124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LED模组总成</w:t>
            </w:r>
          </w:p>
        </w:tc>
        <w:tc>
          <w:tcPr>
            <w:tcW w:type="dxa" w:w="202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DHM-12R102R</w:t>
            </w:r>
          </w:p>
        </w:tc>
        <w:tc>
          <w:tcPr>
            <w:tcW w:type="dxa" w:w="62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8</w:t>
            </w:r>
          </w:p>
        </w:tc>
        <w:tc>
          <w:tcPr>
            <w:tcW w:type="dxa" w:w="5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块</w:t>
            </w:r>
          </w:p>
        </w:tc>
        <w:tc>
          <w:tcPr>
            <w:tcW w:type="dxa" w:w="32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rPr>
              <w:t>半户外使用，同屏可显</w:t>
            </w:r>
            <w:r>
              <w:rPr>
                <w:sz w:val="22"/>
              </w:rPr>
              <w:t>4个数字，红色显示，400*200（mm），含LED模组、开关电源、模组安装配件，RS486通信。</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3</w:t>
            </w:r>
          </w:p>
        </w:tc>
        <w:tc>
          <w:tcPr>
            <w:tcW w:type="dxa" w:w="124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大门口立式灯箱</w:t>
            </w:r>
          </w:p>
        </w:tc>
        <w:tc>
          <w:tcPr>
            <w:tcW w:type="dxa" w:w="202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2500cm*750cm*150cm</w:t>
            </w:r>
          </w:p>
        </w:tc>
        <w:tc>
          <w:tcPr>
            <w:tcW w:type="dxa" w:w="62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5</w:t>
            </w:r>
          </w:p>
        </w:tc>
        <w:tc>
          <w:tcPr>
            <w:tcW w:type="dxa" w:w="5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台</w:t>
            </w:r>
          </w:p>
        </w:tc>
        <w:tc>
          <w:tcPr>
            <w:tcW w:type="dxa" w:w="32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4</w:t>
            </w:r>
          </w:p>
        </w:tc>
        <w:tc>
          <w:tcPr>
            <w:tcW w:type="dxa" w:w="124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停车楼入口立式灯箱</w:t>
            </w:r>
          </w:p>
        </w:tc>
        <w:tc>
          <w:tcPr>
            <w:tcW w:type="dxa" w:w="202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2590cm*1206cm*306cm</w:t>
            </w:r>
          </w:p>
        </w:tc>
        <w:tc>
          <w:tcPr>
            <w:tcW w:type="dxa" w:w="62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5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台</w:t>
            </w:r>
          </w:p>
        </w:tc>
        <w:tc>
          <w:tcPr>
            <w:tcW w:type="dxa" w:w="32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5</w:t>
            </w:r>
          </w:p>
        </w:tc>
        <w:tc>
          <w:tcPr>
            <w:tcW w:type="dxa" w:w="124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引导服务器</w:t>
            </w:r>
          </w:p>
        </w:tc>
        <w:tc>
          <w:tcPr>
            <w:tcW w:type="dxa" w:w="202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MPGS-CN11</w:t>
            </w:r>
          </w:p>
        </w:tc>
        <w:tc>
          <w:tcPr>
            <w:tcW w:type="dxa" w:w="62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w:t>
            </w:r>
          </w:p>
        </w:tc>
        <w:tc>
          <w:tcPr>
            <w:tcW w:type="dxa" w:w="59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台</w:t>
            </w:r>
          </w:p>
        </w:tc>
        <w:tc>
          <w:tcPr>
            <w:tcW w:type="dxa" w:w="32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6</w:t>
            </w:r>
          </w:p>
        </w:tc>
        <w:tc>
          <w:tcPr>
            <w:tcW w:type="dxa" w:w="124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视频探测（单）</w:t>
            </w:r>
          </w:p>
        </w:tc>
        <w:tc>
          <w:tcPr>
            <w:tcW w:type="dxa" w:w="202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PVD-15N</w:t>
            </w:r>
          </w:p>
        </w:tc>
        <w:tc>
          <w:tcPr>
            <w:tcW w:type="dxa" w:w="62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78</w:t>
            </w:r>
          </w:p>
        </w:tc>
        <w:tc>
          <w:tcPr>
            <w:tcW w:type="dxa" w:w="598"/>
            <w:tcBorders>
              <w:top w:val="none" w:color="000000" w:sz="4"/>
              <w:left w:val="none" w:color="000000" w:sz="4"/>
              <w:bottom w:val="single" w:color="000000" w:sz="8"/>
              <w:right w:val="single" w:color="000000" w:sz="8"/>
            </w:tcBorders>
            <w:shd w:fill="FFFFFF"/>
            <w:tcMar>
              <w:top w:type="dxa" w:w="15"/>
              <w:left w:type="dxa" w:w="15"/>
              <w:bottom w:type="dxa" w:w="15"/>
              <w:right w:type="dxa" w:w="15"/>
            </w:tcMar>
            <w:vAlign w:val="top"/>
          </w:tcPr>
          <w:p>
            <w:pPr>
              <w:pStyle w:val="null3"/>
              <w:jc w:val="center"/>
            </w:pPr>
            <w:r>
              <w:rPr>
                <w:sz w:val="22"/>
              </w:rPr>
              <w:t>个</w:t>
            </w:r>
          </w:p>
        </w:tc>
        <w:tc>
          <w:tcPr>
            <w:tcW w:type="dxa" w:w="32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rPr>
              <w:t>单摄像头，一个探测器最多可监控</w:t>
            </w:r>
            <w:r>
              <w:rPr>
                <w:sz w:val="22"/>
              </w:rPr>
              <w:t>3个车位，有线RJ45通信，带蓝牙定位。</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7</w:t>
            </w:r>
          </w:p>
        </w:tc>
        <w:tc>
          <w:tcPr>
            <w:tcW w:type="dxa" w:w="124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视频探测（双）</w:t>
            </w:r>
          </w:p>
        </w:tc>
        <w:tc>
          <w:tcPr>
            <w:tcW w:type="dxa" w:w="202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PVD-16N</w:t>
            </w:r>
          </w:p>
        </w:tc>
        <w:tc>
          <w:tcPr>
            <w:tcW w:type="dxa" w:w="62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134</w:t>
            </w:r>
          </w:p>
        </w:tc>
        <w:tc>
          <w:tcPr>
            <w:tcW w:type="dxa" w:w="598"/>
            <w:tcBorders>
              <w:top w:val="none" w:color="000000" w:sz="4"/>
              <w:left w:val="none" w:color="000000" w:sz="4"/>
              <w:bottom w:val="single" w:color="000000" w:sz="8"/>
              <w:right w:val="single" w:color="000000" w:sz="8"/>
            </w:tcBorders>
            <w:shd w:fill="FFFFFF"/>
            <w:tcMar>
              <w:top w:type="dxa" w:w="15"/>
              <w:left w:type="dxa" w:w="15"/>
              <w:bottom w:type="dxa" w:w="15"/>
              <w:right w:type="dxa" w:w="15"/>
            </w:tcMar>
            <w:vAlign w:val="top"/>
          </w:tcPr>
          <w:p>
            <w:pPr>
              <w:pStyle w:val="null3"/>
              <w:jc w:val="center"/>
            </w:pPr>
            <w:r>
              <w:rPr>
                <w:sz w:val="22"/>
              </w:rPr>
              <w:t>个</w:t>
            </w:r>
          </w:p>
        </w:tc>
        <w:tc>
          <w:tcPr>
            <w:tcW w:type="dxa" w:w="32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rPr>
              <w:t>双摄像头，一个探测器最多可监控</w:t>
            </w:r>
            <w:r>
              <w:rPr>
                <w:sz w:val="22"/>
              </w:rPr>
              <w:t>6个车位，有线RJ45通信，带蓝牙定位。</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8</w:t>
            </w:r>
          </w:p>
        </w:tc>
        <w:tc>
          <w:tcPr>
            <w:tcW w:type="dxa" w:w="124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开关电源箱</w:t>
            </w:r>
          </w:p>
        </w:tc>
        <w:tc>
          <w:tcPr>
            <w:tcW w:type="dxa" w:w="202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SPS-350</w:t>
            </w:r>
          </w:p>
        </w:tc>
        <w:tc>
          <w:tcPr>
            <w:tcW w:type="dxa" w:w="62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14</w:t>
            </w:r>
          </w:p>
        </w:tc>
        <w:tc>
          <w:tcPr>
            <w:tcW w:type="dxa" w:w="598"/>
            <w:tcBorders>
              <w:top w:val="none" w:color="000000" w:sz="4"/>
              <w:left w:val="none" w:color="000000" w:sz="4"/>
              <w:bottom w:val="single" w:color="000000" w:sz="8"/>
              <w:right w:val="single" w:color="000000" w:sz="8"/>
            </w:tcBorders>
            <w:shd w:fill="FFFFFF"/>
            <w:tcMar>
              <w:top w:type="dxa" w:w="15"/>
              <w:left w:type="dxa" w:w="15"/>
              <w:bottom w:type="dxa" w:w="15"/>
              <w:right w:type="dxa" w:w="15"/>
            </w:tcMar>
            <w:vAlign w:val="top"/>
          </w:tcPr>
          <w:p>
            <w:pPr>
              <w:pStyle w:val="null3"/>
              <w:jc w:val="center"/>
            </w:pPr>
            <w:r>
              <w:rPr>
                <w:sz w:val="22"/>
              </w:rPr>
              <w:t>台</w:t>
            </w:r>
          </w:p>
        </w:tc>
        <w:tc>
          <w:tcPr>
            <w:tcW w:type="dxa" w:w="32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rPr>
              <w:t>双路</w:t>
            </w:r>
            <w:r>
              <w:rPr>
                <w:sz w:val="22"/>
              </w:rPr>
              <w:t>350W电源DC24V输出，每路可负载14个有线视频探测器。</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9</w:t>
            </w:r>
          </w:p>
        </w:tc>
        <w:tc>
          <w:tcPr>
            <w:tcW w:type="dxa" w:w="124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灯箱式引导屏</w:t>
            </w:r>
          </w:p>
        </w:tc>
        <w:tc>
          <w:tcPr>
            <w:tcW w:type="dxa" w:w="202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DIB-15(HN）10(1.5)RGO</w:t>
            </w:r>
          </w:p>
        </w:tc>
        <w:tc>
          <w:tcPr>
            <w:tcW w:type="dxa" w:w="62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13</w:t>
            </w:r>
          </w:p>
        </w:tc>
        <w:tc>
          <w:tcPr>
            <w:tcW w:type="dxa" w:w="598"/>
            <w:tcBorders>
              <w:top w:val="none" w:color="000000" w:sz="4"/>
              <w:left w:val="none" w:color="000000" w:sz="4"/>
              <w:bottom w:val="single" w:color="000000" w:sz="8"/>
              <w:right w:val="single" w:color="000000" w:sz="8"/>
            </w:tcBorders>
            <w:shd w:fill="FFFFFF"/>
            <w:tcMar>
              <w:top w:type="dxa" w:w="15"/>
              <w:left w:type="dxa" w:w="15"/>
              <w:bottom w:type="dxa" w:w="15"/>
              <w:right w:type="dxa" w:w="15"/>
            </w:tcMar>
            <w:vAlign w:val="top"/>
          </w:tcPr>
          <w:p>
            <w:pPr>
              <w:pStyle w:val="null3"/>
              <w:jc w:val="center"/>
            </w:pPr>
            <w:r>
              <w:rPr>
                <w:sz w:val="22"/>
              </w:rPr>
              <w:t>块</w:t>
            </w:r>
          </w:p>
        </w:tc>
        <w:tc>
          <w:tcPr>
            <w:tcW w:type="dxa" w:w="32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rPr>
              <w:t>宽</w:t>
            </w:r>
            <w:r>
              <w:rPr>
                <w:sz w:val="22"/>
              </w:rPr>
              <w:t>*高：2400*300（mm），红绿双色屏，可显示1个方向，有线RJ45。</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10</w:t>
            </w:r>
          </w:p>
        </w:tc>
        <w:tc>
          <w:tcPr>
            <w:tcW w:type="dxa" w:w="124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灯箱式引导屏</w:t>
            </w:r>
          </w:p>
        </w:tc>
        <w:tc>
          <w:tcPr>
            <w:tcW w:type="dxa" w:w="202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DIB-15(HN）103RGO</w:t>
            </w:r>
          </w:p>
        </w:tc>
        <w:tc>
          <w:tcPr>
            <w:tcW w:type="dxa" w:w="62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18</w:t>
            </w:r>
          </w:p>
        </w:tc>
        <w:tc>
          <w:tcPr>
            <w:tcW w:type="dxa" w:w="598"/>
            <w:tcBorders>
              <w:top w:val="none" w:color="000000" w:sz="4"/>
              <w:left w:val="none" w:color="000000" w:sz="4"/>
              <w:bottom w:val="single" w:color="000000" w:sz="8"/>
              <w:right w:val="single" w:color="000000" w:sz="8"/>
            </w:tcBorders>
            <w:shd w:fill="FFFFFF"/>
            <w:tcMar>
              <w:top w:type="dxa" w:w="15"/>
              <w:left w:type="dxa" w:w="15"/>
              <w:bottom w:type="dxa" w:w="15"/>
              <w:right w:type="dxa" w:w="15"/>
            </w:tcMar>
            <w:vAlign w:val="top"/>
          </w:tcPr>
          <w:p>
            <w:pPr>
              <w:pStyle w:val="null3"/>
              <w:jc w:val="center"/>
            </w:pPr>
            <w:r>
              <w:rPr>
                <w:sz w:val="22"/>
              </w:rPr>
              <w:t>块</w:t>
            </w:r>
          </w:p>
        </w:tc>
        <w:tc>
          <w:tcPr>
            <w:tcW w:type="dxa" w:w="32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rPr>
              <w:t>宽</w:t>
            </w:r>
            <w:r>
              <w:rPr>
                <w:sz w:val="22"/>
              </w:rPr>
              <w:t>*高：2400*300（mm），红绿双色屏，可显示2个方向，有线RJ45。</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11</w:t>
            </w:r>
          </w:p>
        </w:tc>
        <w:tc>
          <w:tcPr>
            <w:tcW w:type="dxa" w:w="124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高清车牌识别摄像机</w:t>
            </w:r>
          </w:p>
        </w:tc>
        <w:tc>
          <w:tcPr>
            <w:tcW w:type="dxa" w:w="202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GCDV-22</w:t>
            </w:r>
          </w:p>
        </w:tc>
        <w:tc>
          <w:tcPr>
            <w:tcW w:type="dxa" w:w="62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14</w:t>
            </w:r>
          </w:p>
        </w:tc>
        <w:tc>
          <w:tcPr>
            <w:tcW w:type="dxa" w:w="598"/>
            <w:tcBorders>
              <w:top w:val="none" w:color="000000" w:sz="4"/>
              <w:left w:val="none" w:color="000000" w:sz="4"/>
              <w:bottom w:val="single" w:color="000000" w:sz="8"/>
              <w:right w:val="single" w:color="000000" w:sz="8"/>
            </w:tcBorders>
            <w:shd w:fill="FFFFFF"/>
            <w:tcMar>
              <w:top w:type="dxa" w:w="15"/>
              <w:left w:type="dxa" w:w="15"/>
              <w:bottom w:type="dxa" w:w="15"/>
              <w:right w:type="dxa" w:w="15"/>
            </w:tcMar>
            <w:vAlign w:val="top"/>
          </w:tcPr>
          <w:p>
            <w:pPr>
              <w:pStyle w:val="null3"/>
              <w:jc w:val="center"/>
            </w:pPr>
            <w:r>
              <w:rPr>
                <w:sz w:val="22"/>
              </w:rPr>
              <w:t>台</w:t>
            </w:r>
          </w:p>
        </w:tc>
        <w:tc>
          <w:tcPr>
            <w:tcW w:type="dxa" w:w="32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rPr>
              <w:t>AC220供电，有线以太网通信。</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12</w:t>
            </w:r>
          </w:p>
        </w:tc>
        <w:tc>
          <w:tcPr>
            <w:tcW w:type="dxa" w:w="124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室内信息屏（双向）</w:t>
            </w:r>
          </w:p>
        </w:tc>
        <w:tc>
          <w:tcPr>
            <w:tcW w:type="dxa" w:w="202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DIS-13R108RGO</w:t>
            </w:r>
          </w:p>
        </w:tc>
        <w:tc>
          <w:tcPr>
            <w:tcW w:type="dxa" w:w="62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7</w:t>
            </w:r>
          </w:p>
        </w:tc>
        <w:tc>
          <w:tcPr>
            <w:tcW w:type="dxa" w:w="598"/>
            <w:tcBorders>
              <w:top w:val="none" w:color="000000" w:sz="4"/>
              <w:left w:val="none" w:color="000000" w:sz="4"/>
              <w:bottom w:val="single" w:color="000000" w:sz="8"/>
              <w:right w:val="single" w:color="000000" w:sz="8"/>
            </w:tcBorders>
            <w:shd w:fill="FFFFFF"/>
            <w:tcMar>
              <w:top w:type="dxa" w:w="15"/>
              <w:left w:type="dxa" w:w="15"/>
              <w:bottom w:type="dxa" w:w="15"/>
              <w:right w:type="dxa" w:w="15"/>
            </w:tcMar>
            <w:vAlign w:val="top"/>
          </w:tcPr>
          <w:p>
            <w:pPr>
              <w:pStyle w:val="null3"/>
              <w:jc w:val="center"/>
            </w:pPr>
            <w:r>
              <w:rPr>
                <w:sz w:val="22"/>
              </w:rPr>
              <w:t>块</w:t>
            </w:r>
          </w:p>
        </w:tc>
        <w:tc>
          <w:tcPr>
            <w:tcW w:type="dxa" w:w="32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rPr>
              <w:t>室内使用，红绿双色屏，可显示两个方向，有线</w:t>
            </w:r>
            <w:r>
              <w:rPr>
                <w:sz w:val="22"/>
              </w:rPr>
              <w:t>RS485通信。</w:t>
            </w:r>
          </w:p>
        </w:tc>
      </w:tr>
      <w:tr>
        <w:tc>
          <w:tcPr>
            <w:tcW w:type="dxa" w:w="508"/>
            <w:tcBorders>
              <w:top w:val="none" w:color="000000" w:sz="4"/>
              <w:left w:val="single" w:color="000000" w:sz="8"/>
              <w:bottom w:val="single" w:color="000000" w:sz="8"/>
              <w:right w:val="single" w:color="000000" w:sz="8"/>
            </w:tcBorders>
            <w:tcMar>
              <w:top w:type="dxa" w:w="15"/>
              <w:left w:type="dxa" w:w="15"/>
              <w:bottom w:type="dxa" w:w="15"/>
              <w:right w:type="dxa" w:w="15"/>
            </w:tcMar>
            <w:vAlign w:val="top"/>
          </w:tcPr>
          <w:p>
            <w:pPr>
              <w:pStyle w:val="null3"/>
              <w:jc w:val="center"/>
            </w:pPr>
            <w:r>
              <w:rPr>
                <w:sz w:val="22"/>
              </w:rPr>
              <w:t>13</w:t>
            </w:r>
          </w:p>
        </w:tc>
        <w:tc>
          <w:tcPr>
            <w:tcW w:type="dxa" w:w="124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寻车查询机</w:t>
            </w:r>
          </w:p>
        </w:tc>
        <w:tc>
          <w:tcPr>
            <w:tcW w:type="dxa" w:w="2020"/>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DCO-17N22H</w:t>
            </w:r>
          </w:p>
        </w:tc>
        <w:tc>
          <w:tcPr>
            <w:tcW w:type="dxa" w:w="628"/>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2"/>
              </w:rPr>
              <w:t>5</w:t>
            </w:r>
          </w:p>
        </w:tc>
        <w:tc>
          <w:tcPr>
            <w:tcW w:type="dxa" w:w="598"/>
            <w:tcBorders>
              <w:top w:val="none" w:color="000000" w:sz="4"/>
              <w:left w:val="none" w:color="000000" w:sz="4"/>
              <w:bottom w:val="single" w:color="000000" w:sz="8"/>
              <w:right w:val="single" w:color="000000" w:sz="8"/>
            </w:tcBorders>
            <w:shd w:fill="FFFFFF"/>
            <w:tcMar>
              <w:top w:type="dxa" w:w="15"/>
              <w:left w:type="dxa" w:w="15"/>
              <w:bottom w:type="dxa" w:w="15"/>
              <w:right w:type="dxa" w:w="15"/>
            </w:tcMar>
            <w:vAlign w:val="top"/>
          </w:tcPr>
          <w:p>
            <w:pPr>
              <w:pStyle w:val="null3"/>
              <w:jc w:val="center"/>
            </w:pPr>
            <w:r>
              <w:rPr>
                <w:sz w:val="22"/>
              </w:rPr>
              <w:t>台</w:t>
            </w:r>
          </w:p>
        </w:tc>
        <w:tc>
          <w:tcPr>
            <w:tcW w:type="dxa" w:w="3262"/>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left"/>
            </w:pPr>
            <w:r>
              <w:rPr>
                <w:sz w:val="22"/>
              </w:rPr>
              <w:t>22寸落地式，红外触摸屏。</w:t>
            </w:r>
          </w:p>
        </w:tc>
      </w:tr>
    </w:tbl>
    <w:p>
      <w:pPr>
        <w:pStyle w:val="null3"/>
        <w:jc w:val="center"/>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442000-2025-04316</w:t>
      </w:r>
    </w:p>
    <w:p>
      <w:pPr>
        <w:pStyle w:val="null3"/>
        <w:jc w:val="center"/>
        <w:outlineLvl w:val="3"/>
      </w:pPr>
      <w:r>
        <w:rPr>
          <w:sz w:val="24"/>
          <w:b/>
        </w:rPr>
        <w:t>采购项目编号：</w:t>
      </w:r>
      <w:r>
        <w:rPr>
          <w:sz w:val="24"/>
          <w:b/>
        </w:rPr>
        <w:t>442000-2025-04316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中山市中医院2025-2028年保安服务项目</w:t>
      </w:r>
      <w:r>
        <w:rPr>
          <w:u w:val="single"/>
        </w:rPr>
        <w:t>”</w:t>
      </w:r>
      <w:r>
        <w:rPr/>
        <w:t>项目的招标[采购项目编号为：</w:t>
      </w:r>
      <w:r>
        <w:rPr>
          <w:u w:val="single"/>
        </w:rPr>
        <w:t>442000-2025-04316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中山市中医院2025-2028年保安服务项目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中山市中医院2025-2028年保安服务项目</w:t>
      </w:r>
      <w:r>
        <w:rPr/>
        <w:t>”项目采购[采购项目编号为</w:t>
      </w:r>
      <w:r>
        <w:rPr/>
        <w:t>442000-2025-04316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中山市中医院2025-2028年保安服务项目</w:t>
      </w:r>
      <w:r>
        <w:rPr/>
        <w:t>招标中获中标（采购项目编号：</w:t>
      </w:r>
      <w:r>
        <w:rPr/>
        <w:t>442000-2025-04316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中山市中医院2025-2028年保安服务项目</w:t>
      </w:r>
      <w:r>
        <w:rPr/>
        <w:t>”项目（采购项目编号：</w:t>
      </w:r>
      <w:r>
        <w:rPr/>
        <w:t>442000-2025-04316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