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BA0F0">
      <w:pPr>
        <w:pStyle w:val="4"/>
        <w:jc w:val="center"/>
        <w:outlineLvl w:val="1"/>
      </w:pPr>
      <w:r>
        <w:rPr>
          <w:b/>
          <w:sz w:val="36"/>
        </w:rPr>
        <w:t>采购需求</w:t>
      </w:r>
    </w:p>
    <w:p w14:paraId="38DD4E95">
      <w:pPr>
        <w:pStyle w:val="4"/>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一、项目概况：</w:t>
      </w:r>
    </w:p>
    <w:p w14:paraId="3690FF9A">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（一）项目说明</w:t>
      </w:r>
    </w:p>
    <w:p w14:paraId="2495D2BE">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本项目符合《政府采购框架协议采购方式管理暂行办法》（中华人民共和国财政部令第110号）第三条第三款规定情形：</w:t>
      </w:r>
      <w:r>
        <w:rPr>
          <w:rFonts w:hint="eastAsia" w:ascii="宋体" w:hAnsi="宋体" w:eastAsia="宋体" w:cs="宋体"/>
          <w:color w:val="333333"/>
          <w:sz w:val="22"/>
          <w:szCs w:val="22"/>
          <w:shd w:val="clear" w:color="auto" w:fill="auto"/>
        </w:rPr>
        <w:t>集中采购目录以外，采购限额标准以上，为本部门、本系统以外的服务对象提供服务的政府购买服务项目，需要确定2家以上供应商由服务对象自主选择的。</w:t>
      </w:r>
    </w:p>
    <w:p w14:paraId="3DFFA7CD">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（二）项目基本概况</w:t>
      </w:r>
    </w:p>
    <w:p w14:paraId="22E9A33D">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1.征集人：中山市残疾人联合会</w:t>
      </w:r>
    </w:p>
    <w:p w14:paraId="375B9651">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2.项目名称：2025年中山市残疾人康复救助服务框架协议采购项目</w:t>
      </w:r>
    </w:p>
    <w:p w14:paraId="737085DD">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3.服务范围：中山市残疾人联合会采用框架协议方式公开征集供应商提供0-6岁残疾儿童康复救助或残疾人听力类辅助器具适配救助服务。</w:t>
      </w:r>
    </w:p>
    <w:p w14:paraId="7F5AD958">
      <w:pPr>
        <w:pStyle w:val="4"/>
        <w:keepNext w:val="0"/>
        <w:keepLines w:val="0"/>
        <w:pageBreakBefore w:val="0"/>
        <w:kinsoku/>
        <w:wordWrap/>
        <w:overflowPunct/>
        <w:topLinePunct w:val="0"/>
        <w:autoSpaceDE/>
        <w:autoSpaceDN/>
        <w:bidi w:val="0"/>
        <w:adjustRightInd/>
        <w:snapToGrid/>
        <w:spacing w:line="360" w:lineRule="auto"/>
        <w:ind w:firstLine="44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4.项目内容：</w:t>
      </w:r>
    </w:p>
    <w:tbl>
      <w:tblPr>
        <w:tblStyle w:val="2"/>
        <w:tblW w:w="8652"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08"/>
        <w:gridCol w:w="4144"/>
        <w:gridCol w:w="1422"/>
        <w:gridCol w:w="1878"/>
      </w:tblGrid>
      <w:tr w14:paraId="2EA6F6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B39BC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采购包号</w:t>
            </w:r>
          </w:p>
        </w:tc>
        <w:tc>
          <w:tcPr>
            <w:tcW w:w="41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74E463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采购包名称</w:t>
            </w:r>
          </w:p>
        </w:tc>
        <w:tc>
          <w:tcPr>
            <w:tcW w:w="142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CED908">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入围供应商（中标人）数量</w:t>
            </w:r>
          </w:p>
        </w:tc>
        <w:tc>
          <w:tcPr>
            <w:tcW w:w="18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53750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预算金额（</w:t>
            </w:r>
            <w:r>
              <w:rPr>
                <w:rFonts w:hint="eastAsia" w:ascii="宋体" w:hAnsi="宋体" w:eastAsia="宋体" w:cs="宋体"/>
                <w:sz w:val="22"/>
                <w:szCs w:val="22"/>
                <w:shd w:val="clear" w:color="auto" w:fill="auto"/>
              </w:rPr>
              <w:t>元</w:t>
            </w:r>
            <w:r>
              <w:rPr>
                <w:rFonts w:hint="eastAsia" w:ascii="宋体" w:hAnsi="宋体" w:eastAsia="宋体" w:cs="宋体"/>
                <w:b/>
                <w:sz w:val="22"/>
                <w:szCs w:val="22"/>
                <w:shd w:val="clear" w:color="auto" w:fill="auto"/>
              </w:rPr>
              <w:t>）</w:t>
            </w:r>
          </w:p>
        </w:tc>
      </w:tr>
      <w:tr w14:paraId="31B3BC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941B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采购包1</w:t>
            </w:r>
          </w:p>
        </w:tc>
        <w:tc>
          <w:tcPr>
            <w:tcW w:w="4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11CEE">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0-6岁残疾儿童医疗康复救助项目</w:t>
            </w:r>
          </w:p>
        </w:tc>
        <w:tc>
          <w:tcPr>
            <w:tcW w:w="1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FA32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lang w:val="en-US" w:eastAsia="zh-CN"/>
              </w:rPr>
            </w:pPr>
            <w:r>
              <w:rPr>
                <w:rFonts w:hint="eastAsia" w:ascii="宋体" w:hAnsi="宋体" w:eastAsia="宋体" w:cs="宋体"/>
                <w:sz w:val="22"/>
                <w:szCs w:val="22"/>
                <w:shd w:val="clear" w:color="auto" w:fill="auto"/>
                <w:lang w:val="en-US" w:eastAsia="zh-CN"/>
              </w:rPr>
              <w:t>5</w:t>
            </w:r>
          </w:p>
        </w:tc>
        <w:tc>
          <w:tcPr>
            <w:tcW w:w="1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B4D0B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w:t>
            </w:r>
            <w:r>
              <w:rPr>
                <w:rFonts w:hint="eastAsia" w:ascii="宋体" w:hAnsi="宋体" w:eastAsia="宋体" w:cs="宋体"/>
                <w:sz w:val="22"/>
                <w:szCs w:val="22"/>
                <w:shd w:val="clear" w:color="auto" w:fill="auto"/>
                <w:lang w:val="en-US" w:eastAsia="zh-CN"/>
              </w:rPr>
              <w:t>8</w:t>
            </w:r>
            <w:r>
              <w:rPr>
                <w:rFonts w:hint="eastAsia" w:ascii="宋体" w:hAnsi="宋体" w:eastAsia="宋体" w:cs="宋体"/>
                <w:sz w:val="22"/>
                <w:szCs w:val="22"/>
                <w:shd w:val="clear" w:color="auto" w:fill="auto"/>
              </w:rPr>
              <w:t>50000.00</w:t>
            </w:r>
          </w:p>
        </w:tc>
      </w:tr>
      <w:tr w14:paraId="26FED7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D43818">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采购包2</w:t>
            </w:r>
          </w:p>
        </w:tc>
        <w:tc>
          <w:tcPr>
            <w:tcW w:w="4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DD379">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0-6岁残疾儿童非医疗康复救助项目</w:t>
            </w:r>
          </w:p>
        </w:tc>
        <w:tc>
          <w:tcPr>
            <w:tcW w:w="1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FCB0D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9</w:t>
            </w:r>
          </w:p>
        </w:tc>
        <w:tc>
          <w:tcPr>
            <w:tcW w:w="1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9B695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lang w:eastAsia="zh-CN"/>
              </w:rPr>
            </w:pPr>
            <w:r>
              <w:rPr>
                <w:rFonts w:hint="eastAsia" w:ascii="宋体" w:hAnsi="宋体" w:eastAsia="宋体" w:cs="宋体"/>
                <w:sz w:val="22"/>
                <w:szCs w:val="22"/>
                <w:shd w:val="clear" w:color="auto" w:fill="auto"/>
              </w:rPr>
              <w:t>¥</w:t>
            </w:r>
            <w:r>
              <w:rPr>
                <w:rFonts w:hint="eastAsia" w:ascii="宋体" w:hAnsi="宋体" w:eastAsia="宋体" w:cs="宋体"/>
                <w:sz w:val="22"/>
                <w:szCs w:val="22"/>
                <w:shd w:val="clear" w:color="auto" w:fill="auto"/>
                <w:lang w:eastAsia="zh-CN"/>
              </w:rPr>
              <w:t>500000.00</w:t>
            </w:r>
          </w:p>
        </w:tc>
      </w:tr>
      <w:tr w14:paraId="1C476C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70400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采购包3</w:t>
            </w:r>
          </w:p>
        </w:tc>
        <w:tc>
          <w:tcPr>
            <w:tcW w:w="4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F49B4F">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残疾人（听力类）辅助器具适配救助项目</w:t>
            </w:r>
          </w:p>
        </w:tc>
        <w:tc>
          <w:tcPr>
            <w:tcW w:w="1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561DA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lang w:val="en-US" w:eastAsia="zh-CN"/>
              </w:rPr>
            </w:pPr>
            <w:r>
              <w:rPr>
                <w:rFonts w:hint="eastAsia" w:ascii="宋体" w:hAnsi="宋体" w:eastAsia="宋体" w:cs="宋体"/>
                <w:sz w:val="22"/>
                <w:szCs w:val="22"/>
                <w:shd w:val="clear" w:color="auto" w:fill="auto"/>
                <w:lang w:val="en-US" w:eastAsia="zh-CN"/>
              </w:rPr>
              <w:t>5</w:t>
            </w:r>
          </w:p>
        </w:tc>
        <w:tc>
          <w:tcPr>
            <w:tcW w:w="1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B2CF9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lang w:eastAsia="zh-CN"/>
              </w:rPr>
            </w:pPr>
            <w:r>
              <w:rPr>
                <w:rFonts w:hint="eastAsia" w:ascii="宋体" w:hAnsi="宋体" w:eastAsia="宋体" w:cs="宋体"/>
                <w:sz w:val="22"/>
                <w:szCs w:val="22"/>
                <w:shd w:val="clear" w:color="auto" w:fill="auto"/>
              </w:rPr>
              <w:t>¥</w:t>
            </w:r>
            <w:r>
              <w:rPr>
                <w:rFonts w:hint="eastAsia" w:ascii="宋体" w:hAnsi="宋体" w:eastAsia="宋体" w:cs="宋体"/>
                <w:sz w:val="22"/>
                <w:szCs w:val="22"/>
                <w:shd w:val="clear" w:color="auto" w:fill="auto"/>
                <w:lang w:eastAsia="zh-CN"/>
              </w:rPr>
              <w:t>1059000.00</w:t>
            </w:r>
          </w:p>
        </w:tc>
      </w:tr>
      <w:tr w14:paraId="6F36B8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C4B78D">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合计</w:t>
            </w:r>
          </w:p>
          <w:p w14:paraId="47DA046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p>
        </w:tc>
        <w:tc>
          <w:tcPr>
            <w:tcW w:w="1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B575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lang w:eastAsia="zh-CN"/>
              </w:rPr>
            </w:pPr>
            <w:r>
              <w:rPr>
                <w:rFonts w:hint="eastAsia" w:ascii="宋体" w:hAnsi="宋体" w:eastAsia="宋体" w:cs="宋体"/>
                <w:sz w:val="22"/>
                <w:szCs w:val="22"/>
                <w:shd w:val="clear" w:color="auto" w:fill="auto"/>
              </w:rPr>
              <w:t>¥</w:t>
            </w:r>
            <w:r>
              <w:rPr>
                <w:rFonts w:hint="eastAsia" w:ascii="宋体" w:hAnsi="宋体" w:eastAsia="宋体" w:cs="宋体"/>
                <w:sz w:val="22"/>
                <w:szCs w:val="22"/>
                <w:shd w:val="clear" w:color="auto" w:fill="auto"/>
                <w:lang w:eastAsia="zh-CN"/>
              </w:rPr>
              <w:t>2409000.00</w:t>
            </w:r>
          </w:p>
        </w:tc>
      </w:tr>
    </w:tbl>
    <w:p w14:paraId="070E08FF">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5.入围评审方法说明：</w:t>
      </w:r>
    </w:p>
    <w:p w14:paraId="6A750951">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（1）根据《政府采购框架协议采购方式管理暂行办法》，本次采购采用“封闭式框架协议”的方式，以“质量优先”为评审标准，公开择优确定入围供</w:t>
      </w:r>
      <w:bookmarkStart w:id="0" w:name="_GoBack"/>
      <w:bookmarkEnd w:id="0"/>
      <w:r>
        <w:rPr>
          <w:rFonts w:hint="eastAsia" w:ascii="宋体" w:hAnsi="宋体" w:eastAsia="宋体" w:cs="宋体"/>
          <w:sz w:val="22"/>
          <w:szCs w:val="22"/>
          <w:shd w:val="clear" w:color="auto" w:fill="auto"/>
        </w:rPr>
        <w:t>应商时有竞争和淘汰，淘汰比例为20％。在封闭式框架协议有效期内，除《政府采购框架协议采购方式管理暂行办法》约定的补充征集程序外，不随意增加协议供应商，入围供应商无正当理由不允许退出。</w:t>
      </w:r>
    </w:p>
    <w:p w14:paraId="3F8B15CE">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（2）确定第一阶段入围供应商的评审方法及淘汰率</w:t>
      </w:r>
    </w:p>
    <w:p w14:paraId="13561AB3">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确定第一阶段入围供应商时，提交响应文件和符合资格条件、实质性要求的供应商不得低于2家。淘汰比例为20%，且至少淘汰一家供应商。当符合资格条件、实质性要求的响应供应商仅为2家时，淘汰1家供应商；当符合资格条件、实质性要求的响应供应商大于2家时，按比例淘汰供应商；当按照前款规定的淘汰比例淘汰供应商后，供应商数量仍大于征集入围上限的，则按评审排序和上限数量要求淘汰其余供应商。</w:t>
      </w:r>
    </w:p>
    <w:p w14:paraId="522C4717">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第一阶段入围供应商采用质量优先法进行综合评分，按照质量评分从高到低的排序，按照数量上限进行确定。服务项目质量因素包括服务内容、服务水平、供应商的履约能力、服务经验等。</w:t>
      </w:r>
    </w:p>
    <w:p w14:paraId="6110B1B2">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（3）确定第二阶段成交供应商的方法</w:t>
      </w:r>
    </w:p>
    <w:p w14:paraId="12FAFBE8">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第二阶段通过“直接选定”方式，根据服务质量以及服务便利性、用户评价等因素（结合征集人的选定规则“直接选定”），从第一阶段入围供应商中直接选定，征集人与入围供应商签订纸质项目服务合同，以符合救助要求的残疾人自愿选择服务机构为原则。入围供应商取得了服务资格并不意味实际业务量已经产生，征集人无法预计也无法保证将来的服务数量/采购数量以及各个入围供应商所占的市场份额，供应商应充分考虑经营风险，并提供优质的服务以提高自身的竞争力。</w:t>
      </w:r>
    </w:p>
    <w:p w14:paraId="104686CA">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（4）签订第二阶段采购合同的入围供应商应根据有关规定，遵循客观、公正、独立原则，按征集人要求按时按质为残疾人提供服务。</w:t>
      </w:r>
    </w:p>
    <w:p w14:paraId="695A58AA">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（5）入围供应商有下列情形之一，尚未签订框架协议的，取消其入围资格；已经签订框架协议的，解除与其签订的框架协议：</w:t>
      </w:r>
    </w:p>
    <w:p w14:paraId="1A0B454E">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（一）恶意串通谋取入围或者合同成交的；</w:t>
      </w:r>
    </w:p>
    <w:p w14:paraId="7635AC91">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（二）提供虚假材料谋取入围或者合同成交的；</w:t>
      </w:r>
    </w:p>
    <w:p w14:paraId="148C6121">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（三）无正当理由拒不接受合同授予的；</w:t>
      </w:r>
    </w:p>
    <w:p w14:paraId="18303E75">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（四）不履行合同义务或者履行合同义务不符合约定，经征集人请求履行后仍不履行或者仍未按约定履行的；</w:t>
      </w:r>
    </w:p>
    <w:p w14:paraId="647A3B6B">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（五）框架协议有效期内，因违法行为被禁止或限制参加政府采购活动的；</w:t>
      </w:r>
    </w:p>
    <w:p w14:paraId="54D2677A">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（六）框架协议约定的其他情形。</w:t>
      </w:r>
    </w:p>
    <w:p w14:paraId="07487E13">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被取消入围资格或者被解除框架协议的供应商不得参加同一封闭式框架协议补充征集，或者重新申请加入同一开放式框架协议。</w:t>
      </w:r>
    </w:p>
    <w:p w14:paraId="019A44EA">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6）在框架协议期限内，无正当理由入围供应商不得拒绝委托。已接受委托的项目，签订第二阶段成交合同的入围供应商必须按照框架协议要求按时保质提供服务。未经征集人书面同意，不得擅自将受托项目转委托给第三方承担。</w:t>
      </w:r>
    </w:p>
    <w:p w14:paraId="5138AF64">
      <w:pPr>
        <w:pStyle w:val="4"/>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6.本项目由入围供应商负责征集文件对入围供应商要求的一切事宜及责任。投标报价中不得包含征集文件要求以外的内容，否则，在评标时不予核减；若投标报价有缺漏项的，缺漏项部分的价格视为已包含在投标报价中，入围后不作任何调整，征集人将不再额外支付任何费用。</w:t>
      </w:r>
    </w:p>
    <w:p w14:paraId="5EFAA6FC">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7.重要说明</w:t>
      </w:r>
    </w:p>
    <w:p w14:paraId="29ED2D8A">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7.1.如供应商认为本征集文件中存在“不合理的条件对投标人实行差别待遇或者歧视待遇”，或有其他问题的，应当在征集文件公示期间内或者自公示期满之日起七个工作日内，以书面形式（须签字盖章并提供相关证明材料）向采购代理机构反映，逾期或匿名反映的将不予受理。开标前未提出的则视同供应商已充分理解并愿意按照本征集文件的所有条款执行。</w:t>
      </w:r>
    </w:p>
    <w:p w14:paraId="23FC3D3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7.2有关定义</w:t>
      </w:r>
    </w:p>
    <w:p w14:paraId="02043593">
      <w:pPr>
        <w:pStyle w:val="4"/>
        <w:keepNext w:val="0"/>
        <w:keepLines w:val="0"/>
        <w:pageBreakBefore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7.2.1.“征集人”是指负责征集程序和订立框架协议的集中采购机构、主管预算单位及其委托的采购代理机构。本次征集项目的征集人是中山市残疾人联合会。</w:t>
      </w:r>
    </w:p>
    <w:p w14:paraId="090D9C56">
      <w:pPr>
        <w:pStyle w:val="4"/>
        <w:keepNext w:val="0"/>
        <w:keepLines w:val="0"/>
        <w:pageBreakBefore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7.2.2.“供应商”是指按照征集公告规定获取了征集文件，拟参加征集并签订框架协议的法人、其他组织或者自然人。</w:t>
      </w:r>
    </w:p>
    <w:p w14:paraId="022A76A9">
      <w:pPr>
        <w:pStyle w:val="4"/>
        <w:keepNext w:val="0"/>
        <w:keepLines w:val="0"/>
        <w:pageBreakBefore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7.2.3 因系统限制相关描述无法修改，本征集文件中“采购人”指“征集人”、“投标人”指“供应商”、“中标人（中标供应商）”指“入围供应商”、“招标文件”指“征集文件”、“招标公告”指“征集公告”。</w:t>
      </w:r>
    </w:p>
    <w:p w14:paraId="1F96397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1FE2FD4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2F711F8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4F20834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2E93477F">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7882CCD6">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0CCFB4A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53D07D9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58EC591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2018DF00">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采购包1（0-6岁残疾儿童医疗康复救助项目）</w:t>
      </w:r>
    </w:p>
    <w:p w14:paraId="508BCF2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4"/>
        <w:gridCol w:w="6062"/>
      </w:tblGrid>
      <w:tr w14:paraId="09E72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6500C9D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标的提供的时间</w:t>
            </w:r>
          </w:p>
        </w:tc>
        <w:tc>
          <w:tcPr>
            <w:tcW w:w="6062" w:type="dxa"/>
          </w:tcPr>
          <w:p w14:paraId="66E4B13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自协议约定生效之日起至202</w:t>
            </w:r>
            <w:r>
              <w:rPr>
                <w:rFonts w:hint="eastAsia" w:ascii="宋体" w:hAnsi="宋体" w:eastAsia="宋体" w:cs="宋体"/>
                <w:sz w:val="22"/>
                <w:szCs w:val="22"/>
                <w:shd w:val="clear" w:color="auto" w:fill="auto"/>
                <w:lang w:val="en-US" w:eastAsia="zh-CN"/>
              </w:rPr>
              <w:t>6</w:t>
            </w:r>
            <w:r>
              <w:rPr>
                <w:rFonts w:hint="eastAsia" w:ascii="宋体" w:hAnsi="宋体" w:eastAsia="宋体" w:cs="宋体"/>
                <w:sz w:val="22"/>
                <w:szCs w:val="22"/>
                <w:shd w:val="clear" w:color="auto" w:fill="auto"/>
              </w:rPr>
              <w:t>年1月31日。结算金额累计达到采购包预算金额或服务期满（以先到者为准），框架协议终止。</w:t>
            </w:r>
          </w:p>
        </w:tc>
      </w:tr>
      <w:tr w14:paraId="7132C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402ACE5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标的提供的地点</w:t>
            </w:r>
          </w:p>
        </w:tc>
        <w:tc>
          <w:tcPr>
            <w:tcW w:w="6062" w:type="dxa"/>
          </w:tcPr>
          <w:p w14:paraId="342C25E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中山市</w:t>
            </w:r>
          </w:p>
        </w:tc>
      </w:tr>
      <w:tr w14:paraId="253D9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10ED6B8F">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付款方式</w:t>
            </w:r>
          </w:p>
        </w:tc>
        <w:tc>
          <w:tcPr>
            <w:tcW w:w="6062" w:type="dxa"/>
          </w:tcPr>
          <w:p w14:paraId="36D64C8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第1期为(按月支付)：支付比例100%，1.征集人每月按照中山市残疾儿童康复救助的相关规定，根据实际服务情况向入围供应商支付相应补助费用，入围供应商应向征集人提供符合征集人财务要求的等额有效发票。如果入围供应商提供的发票证实为虚假发票或与税务局数据不符的，征集人有权拒付票面金额，征集人已付款的，入围供应商应退回。由于发票原因造成的一切损失由入围供应商承担。 2.如因非征集人原因导致的当期结算费用未能准时到账，具体支付时间由双方共同协商解决。</w:t>
            </w:r>
          </w:p>
          <w:p w14:paraId="5ED8E59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如项目发生合同融资，采购人应当将合同款项支付到合同约定收款账户。</w:t>
            </w:r>
          </w:p>
        </w:tc>
      </w:tr>
      <w:tr w14:paraId="4F085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64D0E72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验收要求</w:t>
            </w:r>
          </w:p>
        </w:tc>
        <w:tc>
          <w:tcPr>
            <w:tcW w:w="6062" w:type="dxa"/>
          </w:tcPr>
          <w:p w14:paraId="0688EE5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1期：（1）档案管理。检查服务对象的申请资料、评估内容、跟踪随访等体现服务过程及内容的资料是否齐全。 （2）服务质量。按照不低于10％的比例对服务对象进行回访，对入围供应商提供的预约时效、机构环境、服务态度等服务满意程度进行评分，综合评价服务质量。</w:t>
            </w:r>
          </w:p>
        </w:tc>
      </w:tr>
      <w:tr w14:paraId="21DFF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058AE21F">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履约保证金</w:t>
            </w:r>
          </w:p>
        </w:tc>
        <w:tc>
          <w:tcPr>
            <w:tcW w:w="6062" w:type="dxa"/>
          </w:tcPr>
          <w:p w14:paraId="0C52FEE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不收取</w:t>
            </w:r>
          </w:p>
        </w:tc>
      </w:tr>
      <w:tr w14:paraId="5BB06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2B805027">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w:t>
            </w:r>
          </w:p>
        </w:tc>
        <w:tc>
          <w:tcPr>
            <w:tcW w:w="6062" w:type="dxa"/>
          </w:tcPr>
          <w:p w14:paraId="7EE2A0F0">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供应商针对本项目的特点和征集人需求制定康复服务方案、人员管理方案（包括但不限于人员招聘、人员培训、人员储备、人员激励、人员考核、人员管理规范等）、规章管理制度（包括但不限于内部管理架构、运营管理制度、服务管理制度、档案管理报送制度等），还需结合项目实施过程中可能发生的紧急情况提供应急方案。</w:t>
            </w:r>
          </w:p>
        </w:tc>
      </w:tr>
    </w:tbl>
    <w:p w14:paraId="32FA1C2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2"/>
        <w:gridCol w:w="1111"/>
        <w:gridCol w:w="1400"/>
        <w:gridCol w:w="4271"/>
        <w:gridCol w:w="3"/>
      </w:tblGrid>
      <w:tr w14:paraId="38F37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522" w:type="dxa"/>
          </w:tcPr>
          <w:p w14:paraId="0AFD5E2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参数性质</w:t>
            </w:r>
          </w:p>
        </w:tc>
        <w:tc>
          <w:tcPr>
            <w:tcW w:w="1111" w:type="dxa"/>
          </w:tcPr>
          <w:p w14:paraId="50B765F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编号</w:t>
            </w:r>
          </w:p>
        </w:tc>
        <w:tc>
          <w:tcPr>
            <w:tcW w:w="1400" w:type="dxa"/>
          </w:tcPr>
          <w:p w14:paraId="2CF7693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内容明细</w:t>
            </w:r>
          </w:p>
        </w:tc>
        <w:tc>
          <w:tcPr>
            <w:tcW w:w="4271" w:type="dxa"/>
          </w:tcPr>
          <w:p w14:paraId="258C061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内容说明</w:t>
            </w:r>
          </w:p>
        </w:tc>
      </w:tr>
      <w:tr w14:paraId="46C05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522" w:type="dxa"/>
          </w:tcPr>
          <w:p w14:paraId="0200353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111" w:type="dxa"/>
          </w:tcPr>
          <w:p w14:paraId="7B985D8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w:t>
            </w:r>
          </w:p>
        </w:tc>
        <w:tc>
          <w:tcPr>
            <w:tcW w:w="1400" w:type="dxa"/>
          </w:tcPr>
          <w:p w14:paraId="6905C00B">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报价要求</w:t>
            </w:r>
          </w:p>
        </w:tc>
        <w:tc>
          <w:tcPr>
            <w:tcW w:w="4271" w:type="dxa"/>
          </w:tcPr>
          <w:p w14:paraId="5907E58A">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本采购包投标报价不列为评审因素，故不再执行中小企业价格扣除政策。如系统要求填写报价，供应商在填写系统报价或填写投标文件报价部分时，建议统一填写采购包预算金额。所填报价不涉及价格评审，亦不作为后续的结算依据。</w:t>
            </w:r>
          </w:p>
        </w:tc>
      </w:tr>
      <w:tr w14:paraId="5EE46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522" w:type="dxa"/>
          </w:tcPr>
          <w:p w14:paraId="30E4686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w:t>
            </w:r>
          </w:p>
        </w:tc>
        <w:tc>
          <w:tcPr>
            <w:tcW w:w="1111" w:type="dxa"/>
          </w:tcPr>
          <w:p w14:paraId="5975AFF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w:t>
            </w:r>
          </w:p>
        </w:tc>
        <w:tc>
          <w:tcPr>
            <w:tcW w:w="1400" w:type="dxa"/>
          </w:tcPr>
          <w:p w14:paraId="244DAD72">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分包要求</w:t>
            </w:r>
          </w:p>
        </w:tc>
        <w:tc>
          <w:tcPr>
            <w:tcW w:w="4271" w:type="dxa"/>
          </w:tcPr>
          <w:p w14:paraId="3993FFAD">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入围供应商应独立完成康复医疗服务，不得把相关的业务转包或分包（包括变相转包或变相分包）给其他单位或自然人完成。</w:t>
            </w:r>
          </w:p>
        </w:tc>
      </w:tr>
      <w:tr w14:paraId="63C84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2" w:type="dxa"/>
          </w:tcPr>
          <w:p w14:paraId="450C658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说明</w:t>
            </w:r>
          </w:p>
        </w:tc>
        <w:tc>
          <w:tcPr>
            <w:tcW w:w="6785" w:type="dxa"/>
            <w:gridSpan w:val="4"/>
          </w:tcPr>
          <w:p w14:paraId="6344A1B7">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打“★”号条款为实质性条款，若有任何一条负偏离或不满足则导致投标（响应）无效。 </w:t>
            </w:r>
            <w:r>
              <w:rPr>
                <w:rFonts w:hint="eastAsia" w:ascii="宋体" w:hAnsi="宋体" w:eastAsia="宋体" w:cs="宋体"/>
                <w:sz w:val="22"/>
                <w:szCs w:val="22"/>
                <w:shd w:val="clear" w:color="auto" w:fill="auto"/>
              </w:rPr>
              <w:br w:type="textWrapping"/>
            </w:r>
            <w:r>
              <w:rPr>
                <w:rFonts w:hint="eastAsia" w:ascii="宋体" w:hAnsi="宋体" w:eastAsia="宋体" w:cs="宋体"/>
                <w:sz w:val="22"/>
                <w:szCs w:val="22"/>
                <w:shd w:val="clear" w:color="auto" w:fill="auto"/>
              </w:rPr>
              <w:t>打“▲”号条款为重要参数（如有），若有部分“▲”条款未响应或不满足，将根据评审要求影响其得分，但不作为无效投标（响应）条款。</w:t>
            </w:r>
          </w:p>
        </w:tc>
      </w:tr>
    </w:tbl>
    <w:p w14:paraId="5BFCC28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880"/>
        <w:gridCol w:w="891"/>
        <w:gridCol w:w="880"/>
        <w:gridCol w:w="903"/>
        <w:gridCol w:w="1206"/>
        <w:gridCol w:w="1206"/>
        <w:gridCol w:w="797"/>
        <w:gridCol w:w="880"/>
      </w:tblGrid>
      <w:tr w14:paraId="07DA6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2A67FE8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序号</w:t>
            </w:r>
          </w:p>
        </w:tc>
        <w:tc>
          <w:tcPr>
            <w:tcW w:w="933" w:type="dxa"/>
          </w:tcPr>
          <w:p w14:paraId="0C465FA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品目名称</w:t>
            </w:r>
          </w:p>
        </w:tc>
        <w:tc>
          <w:tcPr>
            <w:tcW w:w="933" w:type="dxa"/>
          </w:tcPr>
          <w:p w14:paraId="4BEF6F6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标的名称</w:t>
            </w:r>
          </w:p>
        </w:tc>
        <w:tc>
          <w:tcPr>
            <w:tcW w:w="933" w:type="dxa"/>
          </w:tcPr>
          <w:p w14:paraId="632BF90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单位</w:t>
            </w:r>
          </w:p>
        </w:tc>
        <w:tc>
          <w:tcPr>
            <w:tcW w:w="933" w:type="dxa"/>
          </w:tcPr>
          <w:p w14:paraId="7FF09D0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数量</w:t>
            </w:r>
          </w:p>
        </w:tc>
        <w:tc>
          <w:tcPr>
            <w:tcW w:w="933" w:type="dxa"/>
          </w:tcPr>
          <w:p w14:paraId="0CEF5D2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分项预算单价（元）</w:t>
            </w:r>
          </w:p>
        </w:tc>
        <w:tc>
          <w:tcPr>
            <w:tcW w:w="933" w:type="dxa"/>
          </w:tcPr>
          <w:p w14:paraId="502D54D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分项预算总价（元）</w:t>
            </w:r>
          </w:p>
        </w:tc>
        <w:tc>
          <w:tcPr>
            <w:tcW w:w="840" w:type="dxa"/>
          </w:tcPr>
          <w:p w14:paraId="786DE6A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所属行业</w:t>
            </w:r>
          </w:p>
        </w:tc>
        <w:tc>
          <w:tcPr>
            <w:tcW w:w="933" w:type="dxa"/>
          </w:tcPr>
          <w:p w14:paraId="2B41265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技术要求</w:t>
            </w:r>
          </w:p>
        </w:tc>
      </w:tr>
      <w:tr w14:paraId="1846A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7F77D99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w:t>
            </w:r>
          </w:p>
        </w:tc>
        <w:tc>
          <w:tcPr>
            <w:tcW w:w="933" w:type="dxa"/>
          </w:tcPr>
          <w:p w14:paraId="02FDCCB8">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康复服务</w:t>
            </w:r>
          </w:p>
        </w:tc>
        <w:tc>
          <w:tcPr>
            <w:tcW w:w="933" w:type="dxa"/>
          </w:tcPr>
          <w:p w14:paraId="6F5B37B3">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0-6岁残疾儿童医疗康复救助项目</w:t>
            </w:r>
          </w:p>
        </w:tc>
        <w:tc>
          <w:tcPr>
            <w:tcW w:w="933" w:type="dxa"/>
          </w:tcPr>
          <w:p w14:paraId="29FD195B">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项</w:t>
            </w:r>
          </w:p>
        </w:tc>
        <w:tc>
          <w:tcPr>
            <w:tcW w:w="933" w:type="dxa"/>
          </w:tcPr>
          <w:p w14:paraId="6B4CD6C6">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1.00</w:t>
            </w:r>
          </w:p>
        </w:tc>
        <w:tc>
          <w:tcPr>
            <w:tcW w:w="933" w:type="dxa"/>
          </w:tcPr>
          <w:p w14:paraId="1E6DA277">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shd w:val="clear" w:color="auto" w:fill="auto"/>
                <w:lang w:eastAsia="zh-CN"/>
              </w:rPr>
            </w:pPr>
            <w:r>
              <w:rPr>
                <w:rFonts w:hint="eastAsia" w:ascii="宋体" w:hAnsi="宋体" w:eastAsia="宋体" w:cs="宋体"/>
                <w:sz w:val="22"/>
                <w:szCs w:val="22"/>
                <w:shd w:val="clear" w:color="auto" w:fill="auto"/>
                <w:lang w:eastAsia="zh-CN"/>
              </w:rPr>
              <w:t>850000.00</w:t>
            </w:r>
          </w:p>
        </w:tc>
        <w:tc>
          <w:tcPr>
            <w:tcW w:w="933" w:type="dxa"/>
          </w:tcPr>
          <w:p w14:paraId="4D3F8A75">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shd w:val="clear" w:color="auto" w:fill="auto"/>
                <w:lang w:eastAsia="zh-CN"/>
              </w:rPr>
            </w:pPr>
            <w:r>
              <w:rPr>
                <w:rFonts w:hint="eastAsia" w:ascii="宋体" w:hAnsi="宋体" w:eastAsia="宋体" w:cs="宋体"/>
                <w:sz w:val="22"/>
                <w:szCs w:val="22"/>
                <w:shd w:val="clear" w:color="auto" w:fill="auto"/>
                <w:lang w:eastAsia="zh-CN"/>
              </w:rPr>
              <w:t>850000.00</w:t>
            </w:r>
          </w:p>
        </w:tc>
        <w:tc>
          <w:tcPr>
            <w:tcW w:w="840" w:type="dxa"/>
          </w:tcPr>
          <w:p w14:paraId="256E8CA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其他未列明行业</w:t>
            </w:r>
          </w:p>
        </w:tc>
        <w:tc>
          <w:tcPr>
            <w:tcW w:w="933" w:type="dxa"/>
          </w:tcPr>
          <w:p w14:paraId="585AC92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详见附表一</w:t>
            </w:r>
          </w:p>
        </w:tc>
      </w:tr>
    </w:tbl>
    <w:p w14:paraId="246AABF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附表一：0-6岁残疾儿童医疗康复救助项目</w:t>
      </w:r>
    </w:p>
    <w:tbl>
      <w:tblPr>
        <w:tblStyle w:val="2"/>
        <w:tblW w:w="85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5"/>
        <w:gridCol w:w="878"/>
        <w:gridCol w:w="6600"/>
      </w:tblGrid>
      <w:tr w14:paraId="1170A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3B020C5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参数性质</w:t>
            </w:r>
          </w:p>
        </w:tc>
        <w:tc>
          <w:tcPr>
            <w:tcW w:w="878" w:type="dxa"/>
          </w:tcPr>
          <w:p w14:paraId="4B583B1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序号</w:t>
            </w:r>
          </w:p>
        </w:tc>
        <w:tc>
          <w:tcPr>
            <w:tcW w:w="6600" w:type="dxa"/>
          </w:tcPr>
          <w:p w14:paraId="004356D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具体技术(参数)要求</w:t>
            </w:r>
          </w:p>
        </w:tc>
      </w:tr>
      <w:tr w14:paraId="0D0DC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7559FD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878" w:type="dxa"/>
          </w:tcPr>
          <w:p w14:paraId="115A991F">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w:t>
            </w:r>
          </w:p>
        </w:tc>
        <w:tc>
          <w:tcPr>
            <w:tcW w:w="6600" w:type="dxa"/>
          </w:tcPr>
          <w:p w14:paraId="0D41723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一、康复服务内容</w:t>
            </w:r>
          </w:p>
          <w:p w14:paraId="3FE1E3D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1.服务对象：</w:t>
            </w:r>
          </w:p>
          <w:p w14:paraId="1DF5EA15">
            <w:pPr>
              <w:pStyle w:val="4"/>
              <w:keepNext w:val="0"/>
              <w:keepLines w:val="0"/>
              <w:pageBreakBefore w:val="0"/>
              <w:kinsoku/>
              <w:wordWrap/>
              <w:overflowPunct/>
              <w:topLinePunct w:val="0"/>
              <w:autoSpaceDE/>
              <w:autoSpaceDN/>
              <w:bidi w:val="0"/>
              <w:adjustRightInd/>
              <w:snapToGrid/>
              <w:spacing w:line="360" w:lineRule="auto"/>
              <w:ind w:firstLine="44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按照中山市残疾儿童康复救助申报程序审批合格的0-6岁听力、言语、肢体、智力等残疾儿童和孤独症儿童。</w:t>
            </w:r>
          </w:p>
          <w:p w14:paraId="134BE4F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2.康复服务主要内容：</w:t>
            </w:r>
          </w:p>
          <w:p w14:paraId="008F569A">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为中山市户籍0-6岁听力、言语、肢体、智力等残疾儿童和孤独症儿童提供康复医疗服务。</w:t>
            </w:r>
          </w:p>
          <w:p w14:paraId="58B421A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3.人员配置：</w:t>
            </w:r>
          </w:p>
          <w:p w14:paraId="2C2FCFE3">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（1）配备开展相关业务的康复类专业人员或执业医师及一定数量的工作人员。</w:t>
            </w:r>
          </w:p>
          <w:p w14:paraId="0E9A4B35">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（2）康复类专业人员包括但不限于康复医师、康复治疗师、康复工程师、康复教师、社工等相关人员。</w:t>
            </w:r>
          </w:p>
          <w:p w14:paraId="28435AF8">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（3）康复服务管理人员及相关人员需熟悉《中山市残疾儿童康复救助实施细则》的有关0-6岁残疾儿童康复救助规定与基本操作，熟悉残疾儿童康复救助的相关法规政策。</w:t>
            </w:r>
          </w:p>
          <w:p w14:paraId="553F99D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4.场地要求：</w:t>
            </w:r>
          </w:p>
          <w:p w14:paraId="116A4C18">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（1）机构建设应符合国家、省、市的有关标准要求。</w:t>
            </w:r>
          </w:p>
          <w:p w14:paraId="6AE8B398">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（2）康复机构应设置在安全区域内，远离地处污染区、噪声区和危险区。服务场所应符合无障碍环境要求，并符合安全、消防、卫生、环境保护等国家现行有关法规和标准要求。建筑设计应符合下列要求：</w:t>
            </w:r>
          </w:p>
          <w:p w14:paraId="337F005B">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①体现无障碍设计：门道有斜坡、能过轮椅；</w:t>
            </w:r>
          </w:p>
          <w:p w14:paraId="33F4B8FF">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②有安全防护设计：地面防滑，过道、厕所有扶手；</w:t>
            </w:r>
          </w:p>
          <w:p w14:paraId="1B6BF106">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③地、墙、天顶设计便于管线安装、维修及设备固定；</w:t>
            </w:r>
          </w:p>
          <w:p w14:paraId="54796092">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④通风性良好，有温度、湿度调节装置；</w:t>
            </w:r>
          </w:p>
          <w:p w14:paraId="327EC127">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⑤室内色彩、装饰符合残疾人心理。</w:t>
            </w:r>
          </w:p>
          <w:p w14:paraId="221020EA">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（3）康复机构的场地使用面积应符合《广东省残疾人康复服务定点机构管理办法》服务场所设置要求。</w:t>
            </w:r>
          </w:p>
          <w:p w14:paraId="7576661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5.基本设备：</w:t>
            </w:r>
          </w:p>
          <w:p w14:paraId="6C86441E">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根据国家及行业有关规定配置开展业务需要的设备。</w:t>
            </w:r>
          </w:p>
          <w:p w14:paraId="0B82D6B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6.业务开展：</w:t>
            </w:r>
          </w:p>
          <w:p w14:paraId="034EA1B0">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（1）项目齐全。按照《广东省残疾儿童康复服务定点机构服务规范（试行）》或中山市制定的服务目录规定的服务内容和标准，开展相关服务项目。</w:t>
            </w:r>
          </w:p>
          <w:p w14:paraId="69EF075C">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（2）管理规范。制定明确的运营管理规范，包括：接收和转诊审批制度，举报投诉管理制度，服务内容、服务流程、员工岗位职责、考核、培训等相关管理制度，严格按照管理制度执行。</w:t>
            </w:r>
          </w:p>
          <w:p w14:paraId="5AC56075">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（3）服务规范。制定明确的服务管理规范，包括：管理制度、财务管理制度、质量控制制度、岗位责任制度、回访制度等相关管理制度，明确康复服务工作流程和操作规范。</w:t>
            </w:r>
          </w:p>
          <w:p w14:paraId="3469DE3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7.档案管理：</w:t>
            </w:r>
          </w:p>
          <w:p w14:paraId="75EB52DC">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建立残疾人康复服务档案管理制度，配备必要的管理人员，配置符合要求的计算机信息管理系统，为接受康复服务的残疾人建档立卡，并及时准确将相关服务信息录入到有关残疾人康复服务信息管理系统。</w:t>
            </w:r>
          </w:p>
          <w:p w14:paraId="63F5C93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二、质量监控要求</w:t>
            </w:r>
          </w:p>
          <w:p w14:paraId="076B86D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儿童康复建档率100%；儿童康复评估率100%；家长对儿童康复训练的满意率≥85%；无重大责任事故发生。</w:t>
            </w:r>
          </w:p>
        </w:tc>
      </w:tr>
      <w:tr w14:paraId="2E1F3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3A44F4B7">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w:t>
            </w:r>
          </w:p>
        </w:tc>
        <w:tc>
          <w:tcPr>
            <w:tcW w:w="878" w:type="dxa"/>
          </w:tcPr>
          <w:p w14:paraId="792FA32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w:t>
            </w:r>
          </w:p>
        </w:tc>
        <w:tc>
          <w:tcPr>
            <w:tcW w:w="6600" w:type="dxa"/>
          </w:tcPr>
          <w:p w14:paraId="3B9B8DC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一、</w:t>
            </w:r>
            <w:r>
              <w:rPr>
                <w:rFonts w:hint="eastAsia" w:ascii="宋体" w:hAnsi="宋体" w:eastAsia="宋体" w:cs="宋体"/>
                <w:b/>
                <w:color w:val="000000"/>
                <w:sz w:val="22"/>
                <w:szCs w:val="22"/>
                <w:shd w:val="clear" w:color="auto" w:fill="auto"/>
              </w:rPr>
              <w:t>补助标准</w:t>
            </w:r>
            <w:r>
              <w:rPr>
                <w:rFonts w:hint="eastAsia" w:ascii="宋体" w:hAnsi="宋体" w:eastAsia="宋体" w:cs="宋体"/>
                <w:b/>
                <w:sz w:val="22"/>
                <w:szCs w:val="22"/>
                <w:shd w:val="clear" w:color="auto" w:fill="auto"/>
              </w:rPr>
              <w:t>：</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1"/>
              <w:gridCol w:w="1842"/>
              <w:gridCol w:w="1369"/>
              <w:gridCol w:w="1466"/>
            </w:tblGrid>
            <w:tr w14:paraId="4659D7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35CEAC">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残疾类别</w:t>
                  </w:r>
                </w:p>
              </w:tc>
              <w:tc>
                <w:tcPr>
                  <w:tcW w:w="184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41CCD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补助条件</w:t>
                  </w:r>
                </w:p>
              </w:tc>
              <w:tc>
                <w:tcPr>
                  <w:tcW w:w="13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45F2D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康复训练</w:t>
                  </w:r>
                </w:p>
                <w:p w14:paraId="2B8E613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形式</w:t>
                  </w:r>
                </w:p>
              </w:tc>
              <w:tc>
                <w:tcPr>
                  <w:tcW w:w="14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30138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补助标准</w:t>
                  </w:r>
                </w:p>
                <w:p w14:paraId="69A8AC4B">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p>
              </w:tc>
            </w:tr>
            <w:tr w14:paraId="5D5132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78810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听力</w:t>
                  </w:r>
                </w:p>
                <w:p w14:paraId="0DC6D86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残疾</w:t>
                  </w:r>
                </w:p>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9B0EF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一、二级或困难残疾儿童</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DC68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4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F39FC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1500元/人/月</w:t>
                  </w:r>
                </w:p>
              </w:tc>
            </w:tr>
            <w:tr w14:paraId="048642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 w:type="dxa"/>
                  <w:vMerge w:val="continue"/>
                  <w:tcBorders>
                    <w:top w:val="nil"/>
                    <w:left w:val="single" w:color="000000" w:sz="4" w:space="0"/>
                    <w:bottom w:val="single" w:color="000000" w:sz="4" w:space="0"/>
                    <w:right w:val="single" w:color="000000" w:sz="4" w:space="0"/>
                  </w:tcBorders>
                </w:tcPr>
                <w:p w14:paraId="464A10F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7F63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三、四级非困难残疾儿童</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002D9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4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69A6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1200元/人/月</w:t>
                  </w:r>
                </w:p>
              </w:tc>
            </w:tr>
            <w:tr w14:paraId="6420CB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93D19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言语</w:t>
                  </w:r>
                </w:p>
                <w:p w14:paraId="5074CC9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残疾</w:t>
                  </w:r>
                </w:p>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5C8A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一、二级或困难残疾儿童</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F0CB1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4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22146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1500元/人/月</w:t>
                  </w:r>
                </w:p>
              </w:tc>
            </w:tr>
            <w:tr w14:paraId="086F7B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 w:type="dxa"/>
                  <w:vMerge w:val="continue"/>
                  <w:tcBorders>
                    <w:top w:val="nil"/>
                    <w:left w:val="single" w:color="000000" w:sz="4" w:space="0"/>
                    <w:bottom w:val="single" w:color="000000" w:sz="4" w:space="0"/>
                    <w:right w:val="single" w:color="000000" w:sz="4" w:space="0"/>
                  </w:tcBorders>
                </w:tcPr>
                <w:p w14:paraId="0847A76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1209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三、四级非困难残疾儿童</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A3B6C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4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6F27D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1200元/人/月</w:t>
                  </w:r>
                </w:p>
              </w:tc>
            </w:tr>
            <w:tr w14:paraId="3BA1FD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C8559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肢体</w:t>
                  </w:r>
                </w:p>
                <w:p w14:paraId="0FE29D9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残疾</w:t>
                  </w:r>
                </w:p>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92539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一、二级或困难残疾儿童</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D9F88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4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E7443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1500元/人/月</w:t>
                  </w:r>
                </w:p>
              </w:tc>
            </w:tr>
            <w:tr w14:paraId="7AF5D8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 w:type="dxa"/>
                  <w:vMerge w:val="continue"/>
                  <w:tcBorders>
                    <w:top w:val="nil"/>
                    <w:left w:val="single" w:color="000000" w:sz="4" w:space="0"/>
                    <w:bottom w:val="single" w:color="000000" w:sz="4" w:space="0"/>
                    <w:right w:val="single" w:color="000000" w:sz="4" w:space="0"/>
                  </w:tcBorders>
                </w:tcPr>
                <w:p w14:paraId="2E872C7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69309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三、四级非困难残疾儿童</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CBF3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4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CDF5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1200元/人/月</w:t>
                  </w:r>
                </w:p>
              </w:tc>
            </w:tr>
            <w:tr w14:paraId="5FFC58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917DD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智力</w:t>
                  </w:r>
                </w:p>
                <w:p w14:paraId="1226560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残疾</w:t>
                  </w:r>
                </w:p>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A60CD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一、二级或困难残疾儿童</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DBE7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4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35DD8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1500元/人/月</w:t>
                  </w:r>
                </w:p>
              </w:tc>
            </w:tr>
            <w:tr w14:paraId="51D348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 w:type="dxa"/>
                  <w:vMerge w:val="continue"/>
                  <w:tcBorders>
                    <w:top w:val="nil"/>
                    <w:left w:val="single" w:color="000000" w:sz="4" w:space="0"/>
                    <w:bottom w:val="single" w:color="000000" w:sz="4" w:space="0"/>
                    <w:right w:val="single" w:color="000000" w:sz="4" w:space="0"/>
                  </w:tcBorders>
                </w:tcPr>
                <w:p w14:paraId="1740553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3B348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三、四级非困难残疾儿童</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6E8C6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4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7DA4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1200元/人/月</w:t>
                  </w:r>
                </w:p>
              </w:tc>
            </w:tr>
            <w:tr w14:paraId="76BAD0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37B7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孤独症儿童</w:t>
                  </w:r>
                </w:p>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71E4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一、二级或困难残疾儿童</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D89A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4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A9EB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1500元/人/月</w:t>
                  </w:r>
                </w:p>
              </w:tc>
            </w:tr>
            <w:tr w14:paraId="20DDE5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 w:type="dxa"/>
                  <w:vMerge w:val="continue"/>
                  <w:tcBorders>
                    <w:top w:val="nil"/>
                    <w:left w:val="single" w:color="000000" w:sz="4" w:space="0"/>
                    <w:bottom w:val="single" w:color="000000" w:sz="4" w:space="0"/>
                    <w:right w:val="single" w:color="000000" w:sz="4" w:space="0"/>
                  </w:tcBorders>
                </w:tcPr>
                <w:p w14:paraId="1142B2E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A3AB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三、四级非困难残疾儿童</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1C0C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4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6F247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1200元/人/月</w:t>
                  </w:r>
                </w:p>
              </w:tc>
            </w:tr>
          </w:tbl>
          <w:p w14:paraId="7B0468B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0F4A6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00FA9BC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说明</w:t>
            </w:r>
          </w:p>
        </w:tc>
        <w:tc>
          <w:tcPr>
            <w:tcW w:w="7478" w:type="dxa"/>
            <w:gridSpan w:val="2"/>
          </w:tcPr>
          <w:p w14:paraId="4A296223">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打“★”号条款为实质性条款，若有任何一条负偏离或不满足则导致投标无效。 </w:t>
            </w:r>
            <w:r>
              <w:rPr>
                <w:rFonts w:hint="eastAsia" w:ascii="宋体" w:hAnsi="宋体" w:eastAsia="宋体" w:cs="宋体"/>
                <w:sz w:val="22"/>
                <w:szCs w:val="22"/>
                <w:shd w:val="clear" w:color="auto" w:fill="auto"/>
              </w:rPr>
              <w:br w:type="textWrapping"/>
            </w:r>
            <w:r>
              <w:rPr>
                <w:rFonts w:hint="eastAsia" w:ascii="宋体" w:hAnsi="宋体" w:eastAsia="宋体" w:cs="宋体"/>
                <w:sz w:val="22"/>
                <w:szCs w:val="22"/>
                <w:shd w:val="clear" w:color="auto" w:fill="auto"/>
              </w:rPr>
              <w:t>打“▲”号条款为重要技术参数，若有部分“▲”条款未响应或不满足，将导致其响应性评审加重扣分，但不作为无效投标条款。</w:t>
            </w:r>
          </w:p>
        </w:tc>
      </w:tr>
    </w:tbl>
    <w:p w14:paraId="6DAA7926">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3318EF5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6318443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采购包2（0-6岁残疾儿童非医疗康复救助项目）</w:t>
      </w:r>
    </w:p>
    <w:p w14:paraId="2979816A">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1.主要商务要求</w:t>
      </w:r>
    </w:p>
    <w:tbl>
      <w:tblPr>
        <w:tblStyle w:val="2"/>
        <w:tblW w:w="85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33"/>
        <w:gridCol w:w="6544"/>
      </w:tblGrid>
      <w:tr w14:paraId="01C91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3" w:type="dxa"/>
          </w:tcPr>
          <w:p w14:paraId="71B8B8C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标的提供的时间</w:t>
            </w:r>
          </w:p>
        </w:tc>
        <w:tc>
          <w:tcPr>
            <w:tcW w:w="6544" w:type="dxa"/>
          </w:tcPr>
          <w:p w14:paraId="2EBCF31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自协议约定生效之日起至202</w:t>
            </w:r>
            <w:r>
              <w:rPr>
                <w:rFonts w:hint="eastAsia" w:ascii="宋体" w:hAnsi="宋体" w:eastAsia="宋体" w:cs="宋体"/>
                <w:sz w:val="22"/>
                <w:szCs w:val="22"/>
                <w:shd w:val="clear" w:color="auto" w:fill="auto"/>
                <w:lang w:val="en-US" w:eastAsia="zh-CN"/>
              </w:rPr>
              <w:t>6</w:t>
            </w:r>
            <w:r>
              <w:rPr>
                <w:rFonts w:hint="eastAsia" w:ascii="宋体" w:hAnsi="宋体" w:eastAsia="宋体" w:cs="宋体"/>
                <w:sz w:val="22"/>
                <w:szCs w:val="22"/>
                <w:shd w:val="clear" w:color="auto" w:fill="auto"/>
              </w:rPr>
              <w:t>年1月31日。结算金额累计达到采购包预算金额或服务期满（以先到者为准），框架协议终止。</w:t>
            </w:r>
          </w:p>
        </w:tc>
      </w:tr>
      <w:tr w14:paraId="5C6D2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3" w:type="dxa"/>
          </w:tcPr>
          <w:p w14:paraId="64DAFF6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标的提供的地点</w:t>
            </w:r>
          </w:p>
        </w:tc>
        <w:tc>
          <w:tcPr>
            <w:tcW w:w="6544" w:type="dxa"/>
          </w:tcPr>
          <w:p w14:paraId="6DC70DE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中山市</w:t>
            </w:r>
          </w:p>
        </w:tc>
      </w:tr>
      <w:tr w14:paraId="2EE60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3" w:type="dxa"/>
          </w:tcPr>
          <w:p w14:paraId="168A364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付款方式</w:t>
            </w:r>
          </w:p>
        </w:tc>
        <w:tc>
          <w:tcPr>
            <w:tcW w:w="6544" w:type="dxa"/>
          </w:tcPr>
          <w:p w14:paraId="61EB7E1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第1期为(按月支付)：支付比例100%，1.征集人每月按照中山市残疾儿童康复救助的相关规定，根据实际服务情况向入围供应商支付相应补助费用，入围供应商应向征集人提供符合征集人财务要求的等额有效发票。如果入围供应商提供的发票证实为虚假发票或与税务局数据不符的，征集人有权拒付票面金额，征集人已付款的，入围供应商应退回。由于发票原因造成的一切损失由入围供应商承担。 2.如因非征集人原因导致的当期结算费用未能准时到账，具体支付时间由双方共同协商解决。</w:t>
            </w:r>
          </w:p>
          <w:p w14:paraId="1A5FDB8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如项目发生合同融资，采购人应当将合同款项支付到合同约定收款账户。</w:t>
            </w:r>
          </w:p>
        </w:tc>
      </w:tr>
      <w:tr w14:paraId="38780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3" w:type="dxa"/>
          </w:tcPr>
          <w:p w14:paraId="13A37F8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验收要求</w:t>
            </w:r>
          </w:p>
        </w:tc>
        <w:tc>
          <w:tcPr>
            <w:tcW w:w="6544" w:type="dxa"/>
          </w:tcPr>
          <w:p w14:paraId="5F5377D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1期：（1）档案管理。检查服务对象的申请资料、评估内容、跟踪随访等体现服务过程及内容的资料是否齐全。 （2）服务质量。按照不低于10％的比例对服务对象进行回访，对入围供应商提供的预约时效、机构环境、服务态度等服务满意程度进行评分，综合评价服务质量。</w:t>
            </w:r>
          </w:p>
        </w:tc>
      </w:tr>
      <w:tr w14:paraId="08C3A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3" w:type="dxa"/>
          </w:tcPr>
          <w:p w14:paraId="628E7CF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履约保证金</w:t>
            </w:r>
          </w:p>
        </w:tc>
        <w:tc>
          <w:tcPr>
            <w:tcW w:w="6544" w:type="dxa"/>
          </w:tcPr>
          <w:p w14:paraId="03599DB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不收取</w:t>
            </w:r>
          </w:p>
        </w:tc>
      </w:tr>
      <w:tr w14:paraId="103E7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3" w:type="dxa"/>
          </w:tcPr>
          <w:p w14:paraId="5B6D5B6F">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w:t>
            </w:r>
          </w:p>
        </w:tc>
        <w:tc>
          <w:tcPr>
            <w:tcW w:w="6544" w:type="dxa"/>
          </w:tcPr>
          <w:p w14:paraId="4425C97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供应商针对本项目的特点和征集人需求制定康复服务方案（包括但不限于全日制和非全日制康复教育计划）、人员管理方案（包括但不限于人员招聘、人员培训、人员储备、人员激励、人员考核、人员管理规范等）、规章管理制度（包括但不限于内部管理架构、运营管理制度、服务管理制度、档案管理报送制度等）、还需结合项目实施过程中可能发生的紧急情况提供应急方案。</w:t>
            </w:r>
          </w:p>
        </w:tc>
      </w:tr>
    </w:tbl>
    <w:p w14:paraId="40D32CA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0"/>
        <w:gridCol w:w="900"/>
        <w:gridCol w:w="1711"/>
        <w:gridCol w:w="4593"/>
        <w:gridCol w:w="3"/>
      </w:tblGrid>
      <w:tr w14:paraId="701BC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100" w:type="dxa"/>
          </w:tcPr>
          <w:p w14:paraId="7D21152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参数性质</w:t>
            </w:r>
          </w:p>
        </w:tc>
        <w:tc>
          <w:tcPr>
            <w:tcW w:w="900" w:type="dxa"/>
          </w:tcPr>
          <w:p w14:paraId="7178266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编号</w:t>
            </w:r>
          </w:p>
        </w:tc>
        <w:tc>
          <w:tcPr>
            <w:tcW w:w="1711" w:type="dxa"/>
          </w:tcPr>
          <w:p w14:paraId="4F6BE5A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内容明细</w:t>
            </w:r>
          </w:p>
        </w:tc>
        <w:tc>
          <w:tcPr>
            <w:tcW w:w="4593" w:type="dxa"/>
          </w:tcPr>
          <w:p w14:paraId="40B0AF4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内容说明</w:t>
            </w:r>
          </w:p>
        </w:tc>
      </w:tr>
      <w:tr w14:paraId="332C6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100" w:type="dxa"/>
          </w:tcPr>
          <w:p w14:paraId="2B96BE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900" w:type="dxa"/>
          </w:tcPr>
          <w:p w14:paraId="6A91BA7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w:t>
            </w:r>
          </w:p>
        </w:tc>
        <w:tc>
          <w:tcPr>
            <w:tcW w:w="1711" w:type="dxa"/>
          </w:tcPr>
          <w:p w14:paraId="1DB1C5E2">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报价要求</w:t>
            </w:r>
          </w:p>
        </w:tc>
        <w:tc>
          <w:tcPr>
            <w:tcW w:w="4593" w:type="dxa"/>
          </w:tcPr>
          <w:p w14:paraId="1EF9D0E5">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本采购包投标报价不列为评审因素，故不再执行中小企业价格扣除政策。如系统要求填写报价，供应商在填写系统报价或填写投标文件报价部分时，建议统一填写采购包预算金额。所填报价不涉及价格评审，亦不作为后续的结算依据。</w:t>
            </w:r>
          </w:p>
        </w:tc>
      </w:tr>
      <w:tr w14:paraId="12FF0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100" w:type="dxa"/>
          </w:tcPr>
          <w:p w14:paraId="4458EBF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w:t>
            </w:r>
          </w:p>
        </w:tc>
        <w:tc>
          <w:tcPr>
            <w:tcW w:w="900" w:type="dxa"/>
          </w:tcPr>
          <w:p w14:paraId="2E2CE37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w:t>
            </w:r>
          </w:p>
        </w:tc>
        <w:tc>
          <w:tcPr>
            <w:tcW w:w="1711" w:type="dxa"/>
          </w:tcPr>
          <w:p w14:paraId="339DD2C1">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分包要求</w:t>
            </w:r>
          </w:p>
        </w:tc>
        <w:tc>
          <w:tcPr>
            <w:tcW w:w="4593" w:type="dxa"/>
          </w:tcPr>
          <w:p w14:paraId="0BBC9C3D">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入围供应商应独立完成康复训练服务，不得把相关的业务转包或分包（包括变相转包或变相分包）给其他单位或自然人完成。</w:t>
            </w:r>
          </w:p>
        </w:tc>
      </w:tr>
      <w:tr w14:paraId="0E2D5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0" w:type="dxa"/>
            <w:gridSpan w:val="2"/>
          </w:tcPr>
          <w:p w14:paraId="6B48387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说明</w:t>
            </w:r>
          </w:p>
        </w:tc>
        <w:tc>
          <w:tcPr>
            <w:tcW w:w="6307" w:type="dxa"/>
            <w:gridSpan w:val="3"/>
          </w:tcPr>
          <w:p w14:paraId="7D417789">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打“★”号条款为实质性条款，若有任何一条负偏离或不满足则导致投标（响应）无效。 </w:t>
            </w:r>
            <w:r>
              <w:rPr>
                <w:rFonts w:hint="eastAsia" w:ascii="宋体" w:hAnsi="宋体" w:eastAsia="宋体" w:cs="宋体"/>
                <w:sz w:val="22"/>
                <w:szCs w:val="22"/>
                <w:shd w:val="clear" w:color="auto" w:fill="auto"/>
              </w:rPr>
              <w:br w:type="textWrapping"/>
            </w:r>
            <w:r>
              <w:rPr>
                <w:rFonts w:hint="eastAsia" w:ascii="宋体" w:hAnsi="宋体" w:eastAsia="宋体" w:cs="宋体"/>
                <w:sz w:val="22"/>
                <w:szCs w:val="22"/>
                <w:shd w:val="clear" w:color="auto" w:fill="auto"/>
              </w:rPr>
              <w:t>打“▲”号条款为重要参数（如有），若有部分“▲”条款未响应或不满足，将根据评审要求影响其得分，但不作为无效投标（响应）条款。</w:t>
            </w:r>
          </w:p>
        </w:tc>
      </w:tr>
    </w:tbl>
    <w:p w14:paraId="0B82C3DA">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3"/>
        <w:gridCol w:w="844"/>
        <w:gridCol w:w="864"/>
        <w:gridCol w:w="844"/>
        <w:gridCol w:w="883"/>
        <w:gridCol w:w="1316"/>
        <w:gridCol w:w="1316"/>
        <w:gridCol w:w="768"/>
        <w:gridCol w:w="844"/>
      </w:tblGrid>
      <w:tr w14:paraId="260F0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0BDDDF3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序号</w:t>
            </w:r>
          </w:p>
        </w:tc>
        <w:tc>
          <w:tcPr>
            <w:tcW w:w="933" w:type="dxa"/>
          </w:tcPr>
          <w:p w14:paraId="2415BFE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品目名称</w:t>
            </w:r>
          </w:p>
        </w:tc>
        <w:tc>
          <w:tcPr>
            <w:tcW w:w="933" w:type="dxa"/>
          </w:tcPr>
          <w:p w14:paraId="7638105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标的名称</w:t>
            </w:r>
          </w:p>
        </w:tc>
        <w:tc>
          <w:tcPr>
            <w:tcW w:w="933" w:type="dxa"/>
          </w:tcPr>
          <w:p w14:paraId="1F06DB4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单位</w:t>
            </w:r>
          </w:p>
        </w:tc>
        <w:tc>
          <w:tcPr>
            <w:tcW w:w="933" w:type="dxa"/>
          </w:tcPr>
          <w:p w14:paraId="1FC870B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数量</w:t>
            </w:r>
          </w:p>
        </w:tc>
        <w:tc>
          <w:tcPr>
            <w:tcW w:w="933" w:type="dxa"/>
          </w:tcPr>
          <w:p w14:paraId="0C5FCA1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分项预算单价（元）</w:t>
            </w:r>
          </w:p>
        </w:tc>
        <w:tc>
          <w:tcPr>
            <w:tcW w:w="933" w:type="dxa"/>
          </w:tcPr>
          <w:p w14:paraId="26C08EF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分项预算总价（元）</w:t>
            </w:r>
          </w:p>
        </w:tc>
        <w:tc>
          <w:tcPr>
            <w:tcW w:w="840" w:type="dxa"/>
          </w:tcPr>
          <w:p w14:paraId="213083B6">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所属行业</w:t>
            </w:r>
          </w:p>
        </w:tc>
        <w:tc>
          <w:tcPr>
            <w:tcW w:w="933" w:type="dxa"/>
          </w:tcPr>
          <w:p w14:paraId="6EB47C6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技术要求</w:t>
            </w:r>
          </w:p>
        </w:tc>
      </w:tr>
      <w:tr w14:paraId="13D09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6ACC590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w:t>
            </w:r>
          </w:p>
        </w:tc>
        <w:tc>
          <w:tcPr>
            <w:tcW w:w="933" w:type="dxa"/>
          </w:tcPr>
          <w:p w14:paraId="26741ABD">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康复服务</w:t>
            </w:r>
          </w:p>
        </w:tc>
        <w:tc>
          <w:tcPr>
            <w:tcW w:w="933" w:type="dxa"/>
          </w:tcPr>
          <w:p w14:paraId="47B9419C">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0-6岁残疾儿童非医疗康复救助项目</w:t>
            </w:r>
          </w:p>
        </w:tc>
        <w:tc>
          <w:tcPr>
            <w:tcW w:w="933" w:type="dxa"/>
          </w:tcPr>
          <w:p w14:paraId="4065140B">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项</w:t>
            </w:r>
          </w:p>
        </w:tc>
        <w:tc>
          <w:tcPr>
            <w:tcW w:w="933" w:type="dxa"/>
          </w:tcPr>
          <w:p w14:paraId="2FBDE697">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1.00</w:t>
            </w:r>
          </w:p>
        </w:tc>
        <w:tc>
          <w:tcPr>
            <w:tcW w:w="933" w:type="dxa"/>
          </w:tcPr>
          <w:p w14:paraId="7E75FB1D">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shd w:val="clear" w:color="auto" w:fill="auto"/>
                <w:lang w:eastAsia="zh-CN"/>
              </w:rPr>
            </w:pPr>
            <w:r>
              <w:rPr>
                <w:rFonts w:hint="eastAsia" w:ascii="宋体" w:hAnsi="宋体" w:eastAsia="宋体" w:cs="宋体"/>
                <w:sz w:val="22"/>
                <w:szCs w:val="22"/>
                <w:shd w:val="clear" w:color="auto" w:fill="auto"/>
                <w:lang w:eastAsia="zh-CN"/>
              </w:rPr>
              <w:t>500,000.00</w:t>
            </w:r>
          </w:p>
        </w:tc>
        <w:tc>
          <w:tcPr>
            <w:tcW w:w="933" w:type="dxa"/>
          </w:tcPr>
          <w:p w14:paraId="61AA6C6C">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shd w:val="clear" w:color="auto" w:fill="auto"/>
                <w:lang w:eastAsia="zh-CN"/>
              </w:rPr>
            </w:pPr>
            <w:r>
              <w:rPr>
                <w:rFonts w:hint="eastAsia" w:ascii="宋体" w:hAnsi="宋体" w:eastAsia="宋体" w:cs="宋体"/>
                <w:sz w:val="22"/>
                <w:szCs w:val="22"/>
                <w:shd w:val="clear" w:color="auto" w:fill="auto"/>
                <w:lang w:eastAsia="zh-CN"/>
              </w:rPr>
              <w:t>500,000.00</w:t>
            </w:r>
          </w:p>
        </w:tc>
        <w:tc>
          <w:tcPr>
            <w:tcW w:w="840" w:type="dxa"/>
          </w:tcPr>
          <w:p w14:paraId="7619514A">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其他未列明行业</w:t>
            </w:r>
          </w:p>
        </w:tc>
        <w:tc>
          <w:tcPr>
            <w:tcW w:w="933" w:type="dxa"/>
          </w:tcPr>
          <w:p w14:paraId="49DEB647">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详见附表一</w:t>
            </w:r>
          </w:p>
        </w:tc>
      </w:tr>
    </w:tbl>
    <w:p w14:paraId="1DA7E3C0">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附表一：0-6岁残疾儿童非医疗康复救助项目</w:t>
      </w:r>
    </w:p>
    <w:tbl>
      <w:tblPr>
        <w:tblStyle w:val="2"/>
        <w:tblW w:w="85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733"/>
        <w:gridCol w:w="6800"/>
      </w:tblGrid>
      <w:tr w14:paraId="03A13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44" w:type="dxa"/>
          </w:tcPr>
          <w:p w14:paraId="286FD08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参数性质</w:t>
            </w:r>
          </w:p>
        </w:tc>
        <w:tc>
          <w:tcPr>
            <w:tcW w:w="733" w:type="dxa"/>
          </w:tcPr>
          <w:p w14:paraId="0B3CD06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序号</w:t>
            </w:r>
          </w:p>
        </w:tc>
        <w:tc>
          <w:tcPr>
            <w:tcW w:w="6800" w:type="dxa"/>
          </w:tcPr>
          <w:p w14:paraId="33F9B13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具体技术(参数)要求</w:t>
            </w:r>
          </w:p>
        </w:tc>
      </w:tr>
      <w:tr w14:paraId="703A9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4" w:type="dxa"/>
          </w:tcPr>
          <w:p w14:paraId="2D57D52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733" w:type="dxa"/>
          </w:tcPr>
          <w:p w14:paraId="391F6E6F">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w:t>
            </w:r>
          </w:p>
        </w:tc>
        <w:tc>
          <w:tcPr>
            <w:tcW w:w="6800" w:type="dxa"/>
          </w:tcPr>
          <w:p w14:paraId="0EB0B42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一、康复服务内容</w:t>
            </w:r>
          </w:p>
          <w:p w14:paraId="776850A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1.服务对象：</w:t>
            </w:r>
          </w:p>
          <w:p w14:paraId="1925ECA3">
            <w:pPr>
              <w:pStyle w:val="4"/>
              <w:keepNext w:val="0"/>
              <w:keepLines w:val="0"/>
              <w:pageBreakBefore w:val="0"/>
              <w:kinsoku/>
              <w:wordWrap/>
              <w:overflowPunct/>
              <w:topLinePunct w:val="0"/>
              <w:autoSpaceDE/>
              <w:autoSpaceDN/>
              <w:bidi w:val="0"/>
              <w:adjustRightInd/>
              <w:snapToGrid/>
              <w:spacing w:line="360" w:lineRule="auto"/>
              <w:ind w:firstLine="44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按照中山市残疾儿童康复救助申报程序审批合格的0-6岁听力、言语、肢体、智力等残疾儿童和孤独症儿童。</w:t>
            </w:r>
          </w:p>
          <w:p w14:paraId="1DB425A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2.康复服务主要内容：</w:t>
            </w:r>
          </w:p>
          <w:p w14:paraId="45E91B13">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为中山市户籍0-6岁听力、言语、肢体、智力等残疾儿童和孤独症儿童提供康复训练服务。</w:t>
            </w:r>
          </w:p>
          <w:p w14:paraId="384CE96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3.人员配置：</w:t>
            </w:r>
          </w:p>
          <w:p w14:paraId="0B0B04A2">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（1）配备开展相关业务的康复类专业人员或执业医师及一定数量的工作人员，其中康复专业人员应不低于职工总数的70%。</w:t>
            </w:r>
          </w:p>
          <w:p w14:paraId="48A1D3C2">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（2）康复类专业人员包括但不限于康复医师、康复治疗师、康复工程师、康复教师、社工等相关人员。</w:t>
            </w:r>
          </w:p>
          <w:p w14:paraId="547B547B">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（3）康复服务管理人员及相关人员需熟悉《中山市残疾儿童康复救助实施细则》的有关0-6岁残疾儿童康复救助规定与基本操作，熟悉残疾儿童康复的相关法规政策。</w:t>
            </w:r>
          </w:p>
          <w:p w14:paraId="46A552A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4.场地要求：</w:t>
            </w:r>
          </w:p>
          <w:p w14:paraId="1452573B">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（1）机构建设应符合国家、省、市的有关标准要求。</w:t>
            </w:r>
          </w:p>
          <w:p w14:paraId="28B8BB68">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（2）民办康复机构的住所地址和实际服务场所应当设置在建筑的一至三层。</w:t>
            </w:r>
          </w:p>
          <w:p w14:paraId="2507C8A4">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（3）康复机构应设置在安全区域内，严禁地处污染区、噪声区和危险区内。服务场所应符合无障碍环境要求，并符合安全、消防、卫生、环境保护等国家现行有关法规和标准要求。建筑设计应符合下列要求：</w:t>
            </w:r>
          </w:p>
          <w:p w14:paraId="63EC6EEA">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①无障碍设计：门道有斜坡、能过轮椅；</w:t>
            </w:r>
          </w:p>
          <w:p w14:paraId="251ED7BB">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②安全防护设计：地面防滑，过道、厕所有扶手；</w:t>
            </w:r>
          </w:p>
          <w:p w14:paraId="1E146D7F">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③地、墙、天顶设计便于管线安装、维修及设备固定；</w:t>
            </w:r>
          </w:p>
          <w:p w14:paraId="7420CFE2">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④通风性良好，有温度、湿度调节装置；</w:t>
            </w:r>
          </w:p>
          <w:p w14:paraId="267F6C98">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⑤室内色彩、装饰符合残疾人心理。</w:t>
            </w:r>
          </w:p>
          <w:p w14:paraId="0064184A">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（4）康复机构的场地使用面积应符合《广东省残疾人康复服务定点机构管理办法》对服务场所的设置要求。</w:t>
            </w:r>
          </w:p>
          <w:p w14:paraId="309818C9">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(5)投标人须在投标文件中响应或承诺：成交后签订第二阶段框架协议前，在康复机构出入口及残疾儿童活动、康复训练等公共区域安装实时高清监控联网设备装置，监控视频记录应严格保密且保存不少于60天，以备征集人检查考核。（承诺函格式参考第六章投标文件格式与要求中“格式十”）</w:t>
            </w:r>
          </w:p>
          <w:p w14:paraId="121A52F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5.基本设备：</w:t>
            </w:r>
          </w:p>
          <w:p w14:paraId="033FFA04">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根据国家及行业有关规定配置开展业务需要的设备。</w:t>
            </w:r>
          </w:p>
          <w:p w14:paraId="57C1CC6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6.业务开展：</w:t>
            </w:r>
          </w:p>
          <w:p w14:paraId="5C194195">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（1）项目齐全。按照《广东省残疾儿童康复服务定点机构服务规范（试行）》或中山市制定的服务目录规定的服务内容和标准，开展相关服务项目。</w:t>
            </w:r>
          </w:p>
          <w:p w14:paraId="21C58663">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（2）管理规范。制定明确的运营管理规范，包括：接收和转诊审批制度，举报投诉管理制度，服务内容、服务流程、员工岗位职责、考核、培训等相关管理制度，严格按照管理制度执行。</w:t>
            </w:r>
          </w:p>
          <w:p w14:paraId="03E7391E">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（3）服务规范。制定明确的服务管理规范，包括：管理制度、财务管理制度、质量控制制度、岗位责任制度、回访制度等相关管理制度，明确康复服务工作流程和操作规范。</w:t>
            </w:r>
          </w:p>
          <w:p w14:paraId="319F096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7.档案管理：</w:t>
            </w:r>
          </w:p>
          <w:p w14:paraId="3B7445BC">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建立残疾人康复服务档案管理制度，配备必要的管理人员，配置符合要求的计算机信息管理系统，为接受康复服务的残疾人建档立卡，并及时准确将相关服务信息录入到有关残疾人康复服务信息管理系统。</w:t>
            </w:r>
          </w:p>
          <w:p w14:paraId="22724A2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二、质量监控要求</w:t>
            </w:r>
          </w:p>
          <w:p w14:paraId="57411E7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儿童康复建档率100%；儿童康复评估率100%；家长对儿童康复训练的满意率≥85%；无重大责任事故发生。</w:t>
            </w:r>
          </w:p>
        </w:tc>
      </w:tr>
      <w:tr w14:paraId="20471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4" w:type="dxa"/>
          </w:tcPr>
          <w:p w14:paraId="53F9CC9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w:t>
            </w:r>
          </w:p>
        </w:tc>
        <w:tc>
          <w:tcPr>
            <w:tcW w:w="733" w:type="dxa"/>
          </w:tcPr>
          <w:p w14:paraId="2391CF2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w:t>
            </w:r>
          </w:p>
        </w:tc>
        <w:tc>
          <w:tcPr>
            <w:tcW w:w="6800" w:type="dxa"/>
          </w:tcPr>
          <w:p w14:paraId="4C47102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一、补助标准及收费最高上限价：</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8"/>
              <w:gridCol w:w="1215"/>
              <w:gridCol w:w="956"/>
              <w:gridCol w:w="1195"/>
              <w:gridCol w:w="2468"/>
            </w:tblGrid>
            <w:tr w14:paraId="74ADD8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E9F6A6A">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残疾类别</w:t>
                  </w:r>
                </w:p>
              </w:tc>
              <w:tc>
                <w:tcPr>
                  <w:tcW w:w="12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437D38">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补助条件</w:t>
                  </w:r>
                </w:p>
              </w:tc>
              <w:tc>
                <w:tcPr>
                  <w:tcW w:w="9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B2937F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康复训练</w:t>
                  </w:r>
                </w:p>
                <w:p w14:paraId="761E049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形式</w:t>
                  </w:r>
                </w:p>
              </w:tc>
              <w:tc>
                <w:tcPr>
                  <w:tcW w:w="11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3485F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补助标准</w:t>
                  </w:r>
                </w:p>
                <w:p w14:paraId="1B9E0FB8">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p>
              </w:tc>
              <w:tc>
                <w:tcPr>
                  <w:tcW w:w="246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7494E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收费最高上限价</w:t>
                  </w:r>
                </w:p>
              </w:tc>
            </w:tr>
            <w:tr w14:paraId="3D2C4B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FB051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听力残疾</w:t>
                  </w:r>
                </w:p>
              </w:tc>
              <w:tc>
                <w:tcPr>
                  <w:tcW w:w="12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9ED7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一、二级或困难残疾儿童</w:t>
                  </w: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1D4A3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83C0F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3000元/人/月</w:t>
                  </w:r>
                </w:p>
              </w:tc>
              <w:tc>
                <w:tcPr>
                  <w:tcW w:w="246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49390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在补助标准范围内，根据《广东省残疾儿童康复服务定点机构服务规范（试行）》要求，安排合适的康复时长和教学内容，其中，一对一形式（个别化康复教学）收费最高上限价为100元/节（30分钟/节），小组形式（集体康复教学）收费最高上限价为40元/节（30分钟/节）。</w:t>
                  </w:r>
                </w:p>
              </w:tc>
            </w:tr>
            <w:tr w14:paraId="4B148D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6A62CAC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continue"/>
                  <w:tcBorders>
                    <w:top w:val="nil"/>
                    <w:left w:val="single" w:color="000000" w:sz="4" w:space="0"/>
                    <w:bottom w:val="single" w:color="000000" w:sz="4" w:space="0"/>
                    <w:right w:val="single" w:color="000000" w:sz="4" w:space="0"/>
                  </w:tcBorders>
                </w:tcPr>
                <w:p w14:paraId="6D6825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FBE71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6626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1500元/人/月</w:t>
                  </w:r>
                </w:p>
              </w:tc>
              <w:tc>
                <w:tcPr>
                  <w:tcW w:w="2468" w:type="dxa"/>
                  <w:vMerge w:val="continue"/>
                  <w:tcBorders>
                    <w:top w:val="nil"/>
                    <w:left w:val="single" w:color="000000" w:sz="4" w:space="0"/>
                    <w:bottom w:val="single" w:color="000000" w:sz="4" w:space="0"/>
                    <w:right w:val="single" w:color="000000" w:sz="4" w:space="0"/>
                  </w:tcBorders>
                </w:tcPr>
                <w:p w14:paraId="1A34C9F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434FC5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76C1C6B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9D5B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三、四级非困难残疾儿童</w:t>
                  </w: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CC92F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81AB5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2400元/人/月</w:t>
                  </w:r>
                </w:p>
              </w:tc>
              <w:tc>
                <w:tcPr>
                  <w:tcW w:w="2468" w:type="dxa"/>
                  <w:vMerge w:val="continue"/>
                  <w:tcBorders>
                    <w:top w:val="nil"/>
                    <w:left w:val="single" w:color="000000" w:sz="4" w:space="0"/>
                    <w:bottom w:val="single" w:color="000000" w:sz="4" w:space="0"/>
                    <w:right w:val="single" w:color="000000" w:sz="4" w:space="0"/>
                  </w:tcBorders>
                </w:tcPr>
                <w:p w14:paraId="1620995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6EA7C8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34F808D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continue"/>
                  <w:tcBorders>
                    <w:top w:val="nil"/>
                    <w:left w:val="single" w:color="000000" w:sz="4" w:space="0"/>
                    <w:bottom w:val="single" w:color="000000" w:sz="4" w:space="0"/>
                    <w:right w:val="single" w:color="000000" w:sz="4" w:space="0"/>
                  </w:tcBorders>
                </w:tcPr>
                <w:p w14:paraId="75B83AB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2958B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9845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1200元/人/月</w:t>
                  </w:r>
                </w:p>
              </w:tc>
              <w:tc>
                <w:tcPr>
                  <w:tcW w:w="2468" w:type="dxa"/>
                  <w:vMerge w:val="continue"/>
                  <w:tcBorders>
                    <w:top w:val="nil"/>
                    <w:left w:val="single" w:color="000000" w:sz="4" w:space="0"/>
                    <w:bottom w:val="single" w:color="000000" w:sz="4" w:space="0"/>
                    <w:right w:val="single" w:color="000000" w:sz="4" w:space="0"/>
                  </w:tcBorders>
                </w:tcPr>
                <w:p w14:paraId="6BA052E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55CC4A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ED681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言语残疾</w:t>
                  </w:r>
                </w:p>
              </w:tc>
              <w:tc>
                <w:tcPr>
                  <w:tcW w:w="12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63A23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一、二级或困难残疾儿童</w:t>
                  </w: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1D782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33E4A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3000元/人/月</w:t>
                  </w:r>
                </w:p>
              </w:tc>
              <w:tc>
                <w:tcPr>
                  <w:tcW w:w="2468" w:type="dxa"/>
                  <w:vMerge w:val="continue"/>
                  <w:tcBorders>
                    <w:top w:val="nil"/>
                    <w:left w:val="single" w:color="000000" w:sz="4" w:space="0"/>
                    <w:bottom w:val="single" w:color="000000" w:sz="4" w:space="0"/>
                    <w:right w:val="single" w:color="000000" w:sz="4" w:space="0"/>
                  </w:tcBorders>
                </w:tcPr>
                <w:p w14:paraId="2E1F548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01D64D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47CD8B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continue"/>
                  <w:tcBorders>
                    <w:top w:val="nil"/>
                    <w:left w:val="single" w:color="000000" w:sz="4" w:space="0"/>
                    <w:bottom w:val="single" w:color="000000" w:sz="4" w:space="0"/>
                    <w:right w:val="single" w:color="000000" w:sz="4" w:space="0"/>
                  </w:tcBorders>
                </w:tcPr>
                <w:p w14:paraId="0A743A7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A8F81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AB397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1500元/人/月</w:t>
                  </w:r>
                </w:p>
              </w:tc>
              <w:tc>
                <w:tcPr>
                  <w:tcW w:w="2468" w:type="dxa"/>
                  <w:vMerge w:val="continue"/>
                  <w:tcBorders>
                    <w:top w:val="nil"/>
                    <w:left w:val="single" w:color="000000" w:sz="4" w:space="0"/>
                    <w:bottom w:val="single" w:color="000000" w:sz="4" w:space="0"/>
                    <w:right w:val="single" w:color="000000" w:sz="4" w:space="0"/>
                  </w:tcBorders>
                </w:tcPr>
                <w:p w14:paraId="69929F3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25173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5F03CC6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4FCAB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三、四级非困难残疾儿童</w:t>
                  </w: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19043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8B3ED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2400元/人/月</w:t>
                  </w:r>
                </w:p>
              </w:tc>
              <w:tc>
                <w:tcPr>
                  <w:tcW w:w="2468" w:type="dxa"/>
                  <w:vMerge w:val="continue"/>
                  <w:tcBorders>
                    <w:top w:val="nil"/>
                    <w:left w:val="single" w:color="000000" w:sz="4" w:space="0"/>
                    <w:bottom w:val="single" w:color="000000" w:sz="4" w:space="0"/>
                    <w:right w:val="single" w:color="000000" w:sz="4" w:space="0"/>
                  </w:tcBorders>
                </w:tcPr>
                <w:p w14:paraId="2343A8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1B701E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4EAB916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continue"/>
                  <w:tcBorders>
                    <w:top w:val="nil"/>
                    <w:left w:val="single" w:color="000000" w:sz="4" w:space="0"/>
                    <w:bottom w:val="single" w:color="000000" w:sz="4" w:space="0"/>
                    <w:right w:val="single" w:color="000000" w:sz="4" w:space="0"/>
                  </w:tcBorders>
                </w:tcPr>
                <w:p w14:paraId="6BFC1AC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7C5D9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FCA17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1200元/人/月</w:t>
                  </w:r>
                </w:p>
              </w:tc>
              <w:tc>
                <w:tcPr>
                  <w:tcW w:w="2468" w:type="dxa"/>
                  <w:vMerge w:val="continue"/>
                  <w:tcBorders>
                    <w:top w:val="nil"/>
                    <w:left w:val="single" w:color="000000" w:sz="4" w:space="0"/>
                    <w:bottom w:val="single" w:color="000000" w:sz="4" w:space="0"/>
                    <w:right w:val="single" w:color="000000" w:sz="4" w:space="0"/>
                  </w:tcBorders>
                </w:tcPr>
                <w:p w14:paraId="6054C3A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3BAE26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1F32A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肢体残疾</w:t>
                  </w:r>
                </w:p>
              </w:tc>
              <w:tc>
                <w:tcPr>
                  <w:tcW w:w="12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E1D1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一、二级或困难残疾儿童</w:t>
                  </w: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06A82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0821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3000元/人/月</w:t>
                  </w:r>
                </w:p>
              </w:tc>
              <w:tc>
                <w:tcPr>
                  <w:tcW w:w="2468" w:type="dxa"/>
                  <w:vMerge w:val="continue"/>
                  <w:tcBorders>
                    <w:top w:val="nil"/>
                    <w:left w:val="single" w:color="000000" w:sz="4" w:space="0"/>
                    <w:bottom w:val="single" w:color="000000" w:sz="4" w:space="0"/>
                    <w:right w:val="single" w:color="000000" w:sz="4" w:space="0"/>
                  </w:tcBorders>
                </w:tcPr>
                <w:p w14:paraId="15B4852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54D7A7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610F0EE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continue"/>
                  <w:tcBorders>
                    <w:top w:val="nil"/>
                    <w:left w:val="single" w:color="000000" w:sz="4" w:space="0"/>
                    <w:bottom w:val="single" w:color="000000" w:sz="4" w:space="0"/>
                    <w:right w:val="single" w:color="000000" w:sz="4" w:space="0"/>
                  </w:tcBorders>
                </w:tcPr>
                <w:p w14:paraId="24ABC2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C433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0FCE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1500元/人/月</w:t>
                  </w:r>
                </w:p>
              </w:tc>
              <w:tc>
                <w:tcPr>
                  <w:tcW w:w="2468" w:type="dxa"/>
                  <w:vMerge w:val="continue"/>
                  <w:tcBorders>
                    <w:top w:val="nil"/>
                    <w:left w:val="single" w:color="000000" w:sz="4" w:space="0"/>
                    <w:bottom w:val="single" w:color="000000" w:sz="4" w:space="0"/>
                    <w:right w:val="single" w:color="000000" w:sz="4" w:space="0"/>
                  </w:tcBorders>
                </w:tcPr>
                <w:p w14:paraId="2CA8A41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2CAA25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6F95757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28D85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三、四级非困难残疾儿童</w:t>
                  </w: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B34BB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F230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2400元/人/月</w:t>
                  </w:r>
                </w:p>
              </w:tc>
              <w:tc>
                <w:tcPr>
                  <w:tcW w:w="2468" w:type="dxa"/>
                  <w:vMerge w:val="continue"/>
                  <w:tcBorders>
                    <w:top w:val="nil"/>
                    <w:left w:val="single" w:color="000000" w:sz="4" w:space="0"/>
                    <w:bottom w:val="single" w:color="000000" w:sz="4" w:space="0"/>
                    <w:right w:val="single" w:color="000000" w:sz="4" w:space="0"/>
                  </w:tcBorders>
                </w:tcPr>
                <w:p w14:paraId="39F4EC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022BF6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59DC58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continue"/>
                  <w:tcBorders>
                    <w:top w:val="nil"/>
                    <w:left w:val="single" w:color="000000" w:sz="4" w:space="0"/>
                    <w:bottom w:val="single" w:color="000000" w:sz="4" w:space="0"/>
                    <w:right w:val="single" w:color="000000" w:sz="4" w:space="0"/>
                  </w:tcBorders>
                </w:tcPr>
                <w:p w14:paraId="141D36D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9D06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77DE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1200元/人/月</w:t>
                  </w:r>
                </w:p>
              </w:tc>
              <w:tc>
                <w:tcPr>
                  <w:tcW w:w="2468" w:type="dxa"/>
                  <w:vMerge w:val="continue"/>
                  <w:tcBorders>
                    <w:top w:val="nil"/>
                    <w:left w:val="single" w:color="000000" w:sz="4" w:space="0"/>
                    <w:bottom w:val="single" w:color="000000" w:sz="4" w:space="0"/>
                    <w:right w:val="single" w:color="000000" w:sz="4" w:space="0"/>
                  </w:tcBorders>
                </w:tcPr>
                <w:p w14:paraId="4AD9039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54D38C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B44F0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智力残疾</w:t>
                  </w:r>
                </w:p>
              </w:tc>
              <w:tc>
                <w:tcPr>
                  <w:tcW w:w="12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AB7D5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一、二级或困难残疾儿童</w:t>
                  </w: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D2360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4D63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3000元/人/月</w:t>
                  </w:r>
                </w:p>
              </w:tc>
              <w:tc>
                <w:tcPr>
                  <w:tcW w:w="2468" w:type="dxa"/>
                  <w:vMerge w:val="continue"/>
                  <w:tcBorders>
                    <w:top w:val="nil"/>
                    <w:left w:val="single" w:color="000000" w:sz="4" w:space="0"/>
                    <w:bottom w:val="single" w:color="000000" w:sz="4" w:space="0"/>
                    <w:right w:val="single" w:color="000000" w:sz="4" w:space="0"/>
                  </w:tcBorders>
                </w:tcPr>
                <w:p w14:paraId="1A960D6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22DE86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016C4EE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continue"/>
                  <w:tcBorders>
                    <w:top w:val="nil"/>
                    <w:left w:val="single" w:color="000000" w:sz="4" w:space="0"/>
                    <w:bottom w:val="single" w:color="000000" w:sz="4" w:space="0"/>
                    <w:right w:val="single" w:color="000000" w:sz="4" w:space="0"/>
                  </w:tcBorders>
                </w:tcPr>
                <w:p w14:paraId="6199EE1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5DD34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CFCF7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1500元/人/月</w:t>
                  </w:r>
                </w:p>
              </w:tc>
              <w:tc>
                <w:tcPr>
                  <w:tcW w:w="2468" w:type="dxa"/>
                  <w:vMerge w:val="continue"/>
                  <w:tcBorders>
                    <w:top w:val="nil"/>
                    <w:left w:val="single" w:color="000000" w:sz="4" w:space="0"/>
                    <w:bottom w:val="single" w:color="000000" w:sz="4" w:space="0"/>
                    <w:right w:val="single" w:color="000000" w:sz="4" w:space="0"/>
                  </w:tcBorders>
                </w:tcPr>
                <w:p w14:paraId="1E8DF6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709E22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0FD5195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2D59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三、四级非困难残疾儿童</w:t>
                  </w: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A6CF1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46C7A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2400元/人/月</w:t>
                  </w:r>
                </w:p>
              </w:tc>
              <w:tc>
                <w:tcPr>
                  <w:tcW w:w="2468" w:type="dxa"/>
                  <w:vMerge w:val="continue"/>
                  <w:tcBorders>
                    <w:top w:val="nil"/>
                    <w:left w:val="single" w:color="000000" w:sz="4" w:space="0"/>
                    <w:bottom w:val="single" w:color="000000" w:sz="4" w:space="0"/>
                    <w:right w:val="single" w:color="000000" w:sz="4" w:space="0"/>
                  </w:tcBorders>
                </w:tcPr>
                <w:p w14:paraId="07FA70F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067390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0E38B27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continue"/>
                  <w:tcBorders>
                    <w:top w:val="nil"/>
                    <w:left w:val="single" w:color="000000" w:sz="4" w:space="0"/>
                    <w:bottom w:val="single" w:color="000000" w:sz="4" w:space="0"/>
                    <w:right w:val="single" w:color="000000" w:sz="4" w:space="0"/>
                  </w:tcBorders>
                </w:tcPr>
                <w:p w14:paraId="1CD2A6D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FEE9A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FDA2E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1200元/人/月</w:t>
                  </w:r>
                </w:p>
              </w:tc>
              <w:tc>
                <w:tcPr>
                  <w:tcW w:w="2468" w:type="dxa"/>
                  <w:vMerge w:val="continue"/>
                  <w:tcBorders>
                    <w:top w:val="nil"/>
                    <w:left w:val="single" w:color="000000" w:sz="4" w:space="0"/>
                    <w:bottom w:val="single" w:color="000000" w:sz="4" w:space="0"/>
                    <w:right w:val="single" w:color="000000" w:sz="4" w:space="0"/>
                  </w:tcBorders>
                </w:tcPr>
                <w:p w14:paraId="7723E92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22D878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46157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孤独症儿童</w:t>
                  </w:r>
                </w:p>
              </w:tc>
              <w:tc>
                <w:tcPr>
                  <w:tcW w:w="12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321C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一、二级或困难残疾儿童</w:t>
                  </w: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F0C7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08B9A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3000元/人/月</w:t>
                  </w:r>
                </w:p>
              </w:tc>
              <w:tc>
                <w:tcPr>
                  <w:tcW w:w="2468" w:type="dxa"/>
                  <w:vMerge w:val="continue"/>
                  <w:tcBorders>
                    <w:top w:val="nil"/>
                    <w:left w:val="single" w:color="000000" w:sz="4" w:space="0"/>
                    <w:bottom w:val="single" w:color="000000" w:sz="4" w:space="0"/>
                    <w:right w:val="single" w:color="000000" w:sz="4" w:space="0"/>
                  </w:tcBorders>
                </w:tcPr>
                <w:p w14:paraId="4A6F34C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33F591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2FA093A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continue"/>
                  <w:tcBorders>
                    <w:top w:val="nil"/>
                    <w:left w:val="single" w:color="000000" w:sz="4" w:space="0"/>
                    <w:bottom w:val="single" w:color="000000" w:sz="4" w:space="0"/>
                    <w:right w:val="single" w:color="000000" w:sz="4" w:space="0"/>
                  </w:tcBorders>
                </w:tcPr>
                <w:p w14:paraId="369EE57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9B3C4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7B0C4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1500元/人/月</w:t>
                  </w:r>
                </w:p>
              </w:tc>
              <w:tc>
                <w:tcPr>
                  <w:tcW w:w="2468" w:type="dxa"/>
                  <w:vMerge w:val="continue"/>
                  <w:tcBorders>
                    <w:top w:val="nil"/>
                    <w:left w:val="single" w:color="000000" w:sz="4" w:space="0"/>
                    <w:bottom w:val="single" w:color="000000" w:sz="4" w:space="0"/>
                    <w:right w:val="single" w:color="000000" w:sz="4" w:space="0"/>
                  </w:tcBorders>
                </w:tcPr>
                <w:p w14:paraId="4710E3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463A9B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235B7BE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4924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三、四级非困难残疾儿童</w:t>
                  </w: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3CB3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96F70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2400元/人/月</w:t>
                  </w:r>
                </w:p>
              </w:tc>
              <w:tc>
                <w:tcPr>
                  <w:tcW w:w="2468" w:type="dxa"/>
                  <w:vMerge w:val="continue"/>
                  <w:tcBorders>
                    <w:top w:val="nil"/>
                    <w:left w:val="single" w:color="000000" w:sz="4" w:space="0"/>
                    <w:bottom w:val="single" w:color="000000" w:sz="4" w:space="0"/>
                    <w:right w:val="single" w:color="000000" w:sz="4" w:space="0"/>
                  </w:tcBorders>
                </w:tcPr>
                <w:p w14:paraId="0BD48E6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32C921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8" w:type="dxa"/>
                  <w:vMerge w:val="continue"/>
                  <w:tcBorders>
                    <w:top w:val="nil"/>
                    <w:left w:val="single" w:color="000000" w:sz="4" w:space="0"/>
                    <w:bottom w:val="single" w:color="000000" w:sz="4" w:space="0"/>
                    <w:right w:val="single" w:color="000000" w:sz="4" w:space="0"/>
                  </w:tcBorders>
                </w:tcPr>
                <w:p w14:paraId="1E6DA66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215" w:type="dxa"/>
                  <w:vMerge w:val="continue"/>
                  <w:tcBorders>
                    <w:top w:val="nil"/>
                    <w:left w:val="single" w:color="000000" w:sz="4" w:space="0"/>
                    <w:bottom w:val="single" w:color="000000" w:sz="4" w:space="0"/>
                    <w:right w:val="single" w:color="000000" w:sz="4" w:space="0"/>
                  </w:tcBorders>
                </w:tcPr>
                <w:p w14:paraId="2076222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0E4AF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非全日制</w:t>
                  </w:r>
                </w:p>
              </w:tc>
              <w:tc>
                <w:tcPr>
                  <w:tcW w:w="1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88BEE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1200元/人/月</w:t>
                  </w:r>
                </w:p>
              </w:tc>
              <w:tc>
                <w:tcPr>
                  <w:tcW w:w="2468" w:type="dxa"/>
                  <w:vMerge w:val="continue"/>
                  <w:tcBorders>
                    <w:top w:val="nil"/>
                    <w:left w:val="single" w:color="000000" w:sz="4" w:space="0"/>
                    <w:bottom w:val="single" w:color="000000" w:sz="4" w:space="0"/>
                    <w:right w:val="single" w:color="000000" w:sz="4" w:space="0"/>
                  </w:tcBorders>
                </w:tcPr>
                <w:p w14:paraId="3238A17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bl>
          <w:p w14:paraId="2E9D5E4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r>
      <w:tr w14:paraId="7E435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4" w:type="dxa"/>
          </w:tcPr>
          <w:p w14:paraId="4208EED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说明</w:t>
            </w:r>
          </w:p>
        </w:tc>
        <w:tc>
          <w:tcPr>
            <w:tcW w:w="7533" w:type="dxa"/>
            <w:gridSpan w:val="2"/>
          </w:tcPr>
          <w:p w14:paraId="166E6A84">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打“★”号条款为实质性条款，若有任何一条负偏离或不满足则导致投标无效。 </w:t>
            </w:r>
            <w:r>
              <w:rPr>
                <w:rFonts w:hint="eastAsia" w:ascii="宋体" w:hAnsi="宋体" w:eastAsia="宋体" w:cs="宋体"/>
                <w:sz w:val="22"/>
                <w:szCs w:val="22"/>
                <w:shd w:val="clear" w:color="auto" w:fill="auto"/>
              </w:rPr>
              <w:br w:type="textWrapping"/>
            </w:r>
            <w:r>
              <w:rPr>
                <w:rFonts w:hint="eastAsia" w:ascii="宋体" w:hAnsi="宋体" w:eastAsia="宋体" w:cs="宋体"/>
                <w:sz w:val="22"/>
                <w:szCs w:val="22"/>
                <w:shd w:val="clear" w:color="auto" w:fill="auto"/>
              </w:rPr>
              <w:t>打“▲”号条款为重要技术参数，若有部分“▲”条款未响应或不满足，将导致其响应性评审加重扣分，但不作为无效投标条款。</w:t>
            </w:r>
          </w:p>
        </w:tc>
      </w:tr>
    </w:tbl>
    <w:p w14:paraId="4259D94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7E530E0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p w14:paraId="531DEA8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采购包3（残疾人（听力类）辅助器具适配救助项目）</w:t>
      </w:r>
    </w:p>
    <w:p w14:paraId="672A8DE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1.主要商务要求</w:t>
      </w:r>
    </w:p>
    <w:tbl>
      <w:tblPr>
        <w:tblStyle w:val="2"/>
        <w:tblW w:w="86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22"/>
        <w:gridCol w:w="6100"/>
      </w:tblGrid>
      <w:tr w14:paraId="12EAF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22" w:type="dxa"/>
          </w:tcPr>
          <w:p w14:paraId="3761B64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标的提供的时间</w:t>
            </w:r>
          </w:p>
        </w:tc>
        <w:tc>
          <w:tcPr>
            <w:tcW w:w="6100" w:type="dxa"/>
          </w:tcPr>
          <w:p w14:paraId="3484893F">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自协议约定生效之日起至2025年12月31日。结算金额累计达到采购包预算金额或服务期满（以先到者为准），框架协议终止。</w:t>
            </w:r>
          </w:p>
        </w:tc>
      </w:tr>
      <w:tr w14:paraId="7F58D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22" w:type="dxa"/>
          </w:tcPr>
          <w:p w14:paraId="4824A43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标的提供的地点</w:t>
            </w:r>
          </w:p>
        </w:tc>
        <w:tc>
          <w:tcPr>
            <w:tcW w:w="6100" w:type="dxa"/>
          </w:tcPr>
          <w:p w14:paraId="3960FDA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中山市</w:t>
            </w:r>
          </w:p>
        </w:tc>
      </w:tr>
      <w:tr w14:paraId="5A400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22" w:type="dxa"/>
          </w:tcPr>
          <w:p w14:paraId="1810CBB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付款方式</w:t>
            </w:r>
          </w:p>
        </w:tc>
        <w:tc>
          <w:tcPr>
            <w:tcW w:w="6100" w:type="dxa"/>
          </w:tcPr>
          <w:p w14:paraId="1774FE3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第1期为(按月支付)：支付比例100%，1.征集人每月按照《中山市残疾人基本型辅助器具适配补贴实施细则》补助标准及相关规定，根据实际服务情况向入围供应商支付相应补助费用，入围供应商应向征集人提供符合征集人财务要求的等额有效发票。如果入围供应商提供的发票证实为虚假发票或与税务局数据不符的，征集人有权拒付票面金额，征集人已付款的，入围供应商应退回。由于发票原因造成的一切损失由入围供应商承担。 2.如因非征集人原因导致的当期结算费用未能准时到账，具体支付时间由双方共同协商解决。</w:t>
            </w:r>
          </w:p>
          <w:p w14:paraId="6CF3BD4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如项目发生合同融资，采购人应当将合同款项支付到合同约定收款账户。</w:t>
            </w:r>
          </w:p>
        </w:tc>
      </w:tr>
      <w:tr w14:paraId="61307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22" w:type="dxa"/>
          </w:tcPr>
          <w:p w14:paraId="44BD3CE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验收要求</w:t>
            </w:r>
          </w:p>
        </w:tc>
        <w:tc>
          <w:tcPr>
            <w:tcW w:w="6100" w:type="dxa"/>
          </w:tcPr>
          <w:p w14:paraId="6FBE415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1期：（1）档案管理。征集人检查服务对象的申请资料、评估内容、辅助器具适配过程、使用指导、跟踪随访、辅助器具维修保养、售后服务等体现服务过程及内容的资料是否齐全。 （2）服务质量。征集人按照一定比例对服务对象进行回访，对入围供应商提供的预约时效、机构环境、服务态度等服务进行定期检查。</w:t>
            </w:r>
          </w:p>
        </w:tc>
      </w:tr>
      <w:tr w14:paraId="1EED7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22" w:type="dxa"/>
          </w:tcPr>
          <w:p w14:paraId="0E223D3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履约保证金</w:t>
            </w:r>
          </w:p>
        </w:tc>
        <w:tc>
          <w:tcPr>
            <w:tcW w:w="6100" w:type="dxa"/>
          </w:tcPr>
          <w:p w14:paraId="76064CF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不收取</w:t>
            </w:r>
          </w:p>
        </w:tc>
      </w:tr>
      <w:tr w14:paraId="6C801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22" w:type="dxa"/>
          </w:tcPr>
          <w:p w14:paraId="19BD58D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w:t>
            </w:r>
          </w:p>
        </w:tc>
        <w:tc>
          <w:tcPr>
            <w:tcW w:w="6100" w:type="dxa"/>
          </w:tcPr>
          <w:p w14:paraId="6E92CDC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其他，1.辅助器具品目内容详见《中山市残疾人基本型辅助器具适配补贴实施细则》。残疾人根据自愿原则选择入围供应商作为辅助器具适配机构，由征集人与入围供应商按照适配辅助器具进行补贴结算。 2.供应商针对本项目的特点和征集人需求提供相关人员、场所、设备，还需结合需求制定实施方案(包括但不限于器具适配服务、辅助器具质量保障措施、档案管理等)、售后服务承诺方案(包括但不限于售后服务体系、服务承诺、服务应急措施（响应时间、应急能力、应急方法及措施等）、规章管理制度（包括但不限于工作职责、组织机构说明、员工岗位职责、考核、培训等相关管理制度）。</w:t>
            </w:r>
          </w:p>
        </w:tc>
      </w:tr>
    </w:tbl>
    <w:p w14:paraId="4CB866F7">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0"/>
        <w:gridCol w:w="1033"/>
        <w:gridCol w:w="1555"/>
        <w:gridCol w:w="4516"/>
        <w:gridCol w:w="3"/>
      </w:tblGrid>
      <w:tr w14:paraId="223FA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200" w:type="dxa"/>
          </w:tcPr>
          <w:p w14:paraId="455A405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参数性质</w:t>
            </w:r>
          </w:p>
        </w:tc>
        <w:tc>
          <w:tcPr>
            <w:tcW w:w="1033" w:type="dxa"/>
          </w:tcPr>
          <w:p w14:paraId="1F29488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编号</w:t>
            </w:r>
          </w:p>
        </w:tc>
        <w:tc>
          <w:tcPr>
            <w:tcW w:w="1555" w:type="dxa"/>
          </w:tcPr>
          <w:p w14:paraId="564C3AB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内容明细</w:t>
            </w:r>
          </w:p>
        </w:tc>
        <w:tc>
          <w:tcPr>
            <w:tcW w:w="4516" w:type="dxa"/>
          </w:tcPr>
          <w:p w14:paraId="6D23632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内容说明</w:t>
            </w:r>
          </w:p>
        </w:tc>
      </w:tr>
      <w:tr w14:paraId="1C4B8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200" w:type="dxa"/>
          </w:tcPr>
          <w:p w14:paraId="402DD63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033" w:type="dxa"/>
          </w:tcPr>
          <w:p w14:paraId="472C76E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w:t>
            </w:r>
          </w:p>
        </w:tc>
        <w:tc>
          <w:tcPr>
            <w:tcW w:w="1555" w:type="dxa"/>
          </w:tcPr>
          <w:p w14:paraId="17EA23D7">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报价要求</w:t>
            </w:r>
          </w:p>
        </w:tc>
        <w:tc>
          <w:tcPr>
            <w:tcW w:w="4516" w:type="dxa"/>
          </w:tcPr>
          <w:p w14:paraId="14F64E13">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本采购包投标报价不列为评审因素，故不再执行中小企业价格扣除政策。如系统要求填写报价，供应商在填写系统报价或填写投标文件报价部分时，建议统一填写采购包预算金额。所填报价不涉及价格评审，亦不作为后续的结算依据。</w:t>
            </w:r>
          </w:p>
        </w:tc>
      </w:tr>
      <w:tr w14:paraId="59156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200" w:type="dxa"/>
          </w:tcPr>
          <w:p w14:paraId="60424278">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w:t>
            </w:r>
          </w:p>
        </w:tc>
        <w:tc>
          <w:tcPr>
            <w:tcW w:w="1033" w:type="dxa"/>
          </w:tcPr>
          <w:p w14:paraId="17599E5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w:t>
            </w:r>
          </w:p>
        </w:tc>
        <w:tc>
          <w:tcPr>
            <w:tcW w:w="1555" w:type="dxa"/>
          </w:tcPr>
          <w:p w14:paraId="1A6D2AA0">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分包要求</w:t>
            </w:r>
          </w:p>
        </w:tc>
        <w:tc>
          <w:tcPr>
            <w:tcW w:w="4516" w:type="dxa"/>
          </w:tcPr>
          <w:p w14:paraId="69E0517D">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入围供应商应独立履行辅助器具的采购、咨询、评估、定制、适配、配送、维护维修等服务，不得把相关的业务转包或分包（包括变相转包或变相分包）给其他单位或自然人完成。</w:t>
            </w:r>
          </w:p>
        </w:tc>
      </w:tr>
      <w:tr w14:paraId="3BA5C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tcPr>
          <w:p w14:paraId="3C817D2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说明</w:t>
            </w:r>
          </w:p>
        </w:tc>
        <w:tc>
          <w:tcPr>
            <w:tcW w:w="7107" w:type="dxa"/>
            <w:gridSpan w:val="4"/>
          </w:tcPr>
          <w:p w14:paraId="752307C6">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打“★”号条款为实质性条款，若有任何一条负偏离或不满足则导致投标（响应）无效。 </w:t>
            </w:r>
            <w:r>
              <w:rPr>
                <w:rFonts w:hint="eastAsia" w:ascii="宋体" w:hAnsi="宋体" w:eastAsia="宋体" w:cs="宋体"/>
                <w:sz w:val="22"/>
                <w:szCs w:val="22"/>
                <w:shd w:val="clear" w:color="auto" w:fill="auto"/>
              </w:rPr>
              <w:br w:type="textWrapping"/>
            </w:r>
            <w:r>
              <w:rPr>
                <w:rFonts w:hint="eastAsia" w:ascii="宋体" w:hAnsi="宋体" w:eastAsia="宋体" w:cs="宋体"/>
                <w:sz w:val="22"/>
                <w:szCs w:val="22"/>
                <w:shd w:val="clear" w:color="auto" w:fill="auto"/>
              </w:rPr>
              <w:t>打“▲”号条款为重要参数（如有），若有部分“▲”条款未响应或不满足，将根据评审要求影响其得分，但不作为无效投标（响应）条款。</w:t>
            </w:r>
          </w:p>
        </w:tc>
      </w:tr>
    </w:tbl>
    <w:p w14:paraId="0F6DAB3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6"/>
        <w:gridCol w:w="766"/>
        <w:gridCol w:w="840"/>
        <w:gridCol w:w="766"/>
        <w:gridCol w:w="840"/>
        <w:gridCol w:w="1536"/>
        <w:gridCol w:w="1536"/>
        <w:gridCol w:w="705"/>
        <w:gridCol w:w="767"/>
      </w:tblGrid>
      <w:tr w14:paraId="25A61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5B89245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序号</w:t>
            </w:r>
          </w:p>
        </w:tc>
        <w:tc>
          <w:tcPr>
            <w:tcW w:w="933" w:type="dxa"/>
          </w:tcPr>
          <w:p w14:paraId="0B2174B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品目名称</w:t>
            </w:r>
          </w:p>
        </w:tc>
        <w:tc>
          <w:tcPr>
            <w:tcW w:w="933" w:type="dxa"/>
          </w:tcPr>
          <w:p w14:paraId="7E79903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标的名称</w:t>
            </w:r>
          </w:p>
        </w:tc>
        <w:tc>
          <w:tcPr>
            <w:tcW w:w="933" w:type="dxa"/>
          </w:tcPr>
          <w:p w14:paraId="7ED21B5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单位</w:t>
            </w:r>
          </w:p>
        </w:tc>
        <w:tc>
          <w:tcPr>
            <w:tcW w:w="933" w:type="dxa"/>
          </w:tcPr>
          <w:p w14:paraId="080D929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数量</w:t>
            </w:r>
          </w:p>
        </w:tc>
        <w:tc>
          <w:tcPr>
            <w:tcW w:w="933" w:type="dxa"/>
          </w:tcPr>
          <w:p w14:paraId="0D5DFC58">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分项预算单价（元）</w:t>
            </w:r>
          </w:p>
        </w:tc>
        <w:tc>
          <w:tcPr>
            <w:tcW w:w="933" w:type="dxa"/>
          </w:tcPr>
          <w:p w14:paraId="0B67054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分项预算总价（元）</w:t>
            </w:r>
          </w:p>
        </w:tc>
        <w:tc>
          <w:tcPr>
            <w:tcW w:w="840" w:type="dxa"/>
          </w:tcPr>
          <w:p w14:paraId="5A5C6FBA">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所属行业</w:t>
            </w:r>
          </w:p>
        </w:tc>
        <w:tc>
          <w:tcPr>
            <w:tcW w:w="933" w:type="dxa"/>
          </w:tcPr>
          <w:p w14:paraId="7C749C6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技术要求</w:t>
            </w:r>
          </w:p>
        </w:tc>
      </w:tr>
      <w:tr w14:paraId="55123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5FFFC8F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w:t>
            </w:r>
          </w:p>
        </w:tc>
        <w:tc>
          <w:tcPr>
            <w:tcW w:w="933" w:type="dxa"/>
          </w:tcPr>
          <w:p w14:paraId="60D76965">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康复服务</w:t>
            </w:r>
          </w:p>
        </w:tc>
        <w:tc>
          <w:tcPr>
            <w:tcW w:w="933" w:type="dxa"/>
          </w:tcPr>
          <w:p w14:paraId="4B2117AD">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残疾人（听力类）辅助器具适配救助项目</w:t>
            </w:r>
          </w:p>
        </w:tc>
        <w:tc>
          <w:tcPr>
            <w:tcW w:w="933" w:type="dxa"/>
          </w:tcPr>
          <w:p w14:paraId="6B2F5A1A">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项</w:t>
            </w:r>
          </w:p>
        </w:tc>
        <w:tc>
          <w:tcPr>
            <w:tcW w:w="933" w:type="dxa"/>
          </w:tcPr>
          <w:p w14:paraId="5D73A369">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1.00</w:t>
            </w:r>
          </w:p>
        </w:tc>
        <w:tc>
          <w:tcPr>
            <w:tcW w:w="933" w:type="dxa"/>
          </w:tcPr>
          <w:p w14:paraId="6059EFE0">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shd w:val="clear" w:color="auto" w:fill="auto"/>
                <w:lang w:eastAsia="zh-CN"/>
              </w:rPr>
            </w:pPr>
            <w:r>
              <w:rPr>
                <w:rFonts w:hint="eastAsia" w:ascii="宋体" w:hAnsi="宋体" w:eastAsia="宋体" w:cs="宋体"/>
                <w:sz w:val="22"/>
                <w:szCs w:val="22"/>
                <w:shd w:val="clear" w:color="auto" w:fill="auto"/>
                <w:lang w:eastAsia="zh-CN"/>
              </w:rPr>
              <w:t>1,059,000.00</w:t>
            </w:r>
          </w:p>
        </w:tc>
        <w:tc>
          <w:tcPr>
            <w:tcW w:w="933" w:type="dxa"/>
          </w:tcPr>
          <w:p w14:paraId="6F1EEA2A">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shd w:val="clear" w:color="auto" w:fill="auto"/>
                <w:lang w:eastAsia="zh-CN"/>
              </w:rPr>
            </w:pPr>
            <w:r>
              <w:rPr>
                <w:rFonts w:hint="eastAsia" w:ascii="宋体" w:hAnsi="宋体" w:eastAsia="宋体" w:cs="宋体"/>
                <w:sz w:val="22"/>
                <w:szCs w:val="22"/>
                <w:shd w:val="clear" w:color="auto" w:fill="auto"/>
                <w:lang w:eastAsia="zh-CN"/>
              </w:rPr>
              <w:t>1,059,000.00</w:t>
            </w:r>
          </w:p>
        </w:tc>
        <w:tc>
          <w:tcPr>
            <w:tcW w:w="840" w:type="dxa"/>
          </w:tcPr>
          <w:p w14:paraId="2B92B74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其他未列明行业</w:t>
            </w:r>
          </w:p>
        </w:tc>
        <w:tc>
          <w:tcPr>
            <w:tcW w:w="933" w:type="dxa"/>
          </w:tcPr>
          <w:p w14:paraId="4FA085C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详见附表一</w:t>
            </w:r>
          </w:p>
        </w:tc>
      </w:tr>
    </w:tbl>
    <w:p w14:paraId="3157FE90">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附表一：残疾人（听力类）辅助器具适配救助项目</w:t>
      </w:r>
    </w:p>
    <w:tbl>
      <w:tblPr>
        <w:tblStyle w:val="2"/>
        <w:tblW w:w="858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66"/>
        <w:gridCol w:w="822"/>
        <w:gridCol w:w="6600"/>
      </w:tblGrid>
      <w:tr w14:paraId="0F936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6" w:type="dxa"/>
          </w:tcPr>
          <w:p w14:paraId="793E86A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参数性质</w:t>
            </w:r>
          </w:p>
        </w:tc>
        <w:tc>
          <w:tcPr>
            <w:tcW w:w="822" w:type="dxa"/>
          </w:tcPr>
          <w:p w14:paraId="6592AEE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序号</w:t>
            </w:r>
          </w:p>
        </w:tc>
        <w:tc>
          <w:tcPr>
            <w:tcW w:w="6600" w:type="dxa"/>
          </w:tcPr>
          <w:p w14:paraId="4653D6E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具体技术(参数)要求</w:t>
            </w:r>
          </w:p>
        </w:tc>
      </w:tr>
      <w:tr w14:paraId="424B8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7210453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822" w:type="dxa"/>
          </w:tcPr>
          <w:p w14:paraId="7EA2095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w:t>
            </w:r>
          </w:p>
        </w:tc>
        <w:tc>
          <w:tcPr>
            <w:tcW w:w="6600" w:type="dxa"/>
          </w:tcPr>
          <w:p w14:paraId="69C14EA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一、服务内容</w:t>
            </w:r>
          </w:p>
          <w:p w14:paraId="527DAE47">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按照《中山市残疾人基本型辅助器具适配补贴实施细则》文件要求为残疾人基本型辅助器具适配补贴对象提供《中山市残疾人基本型辅助器具适配补贴目录》中的辅助器具的采购、咨询、评估、定制、适配、配送、维护维修等服务。</w:t>
            </w:r>
          </w:p>
          <w:p w14:paraId="307D87D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二、人员配置要求</w:t>
            </w:r>
          </w:p>
          <w:p w14:paraId="2C85C58D">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1.应至少配有2名听力测试人员。</w:t>
            </w:r>
          </w:p>
          <w:p w14:paraId="62891B7E">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2.机构工作人员需接受过专业技术培训、熟悉相关的业务知识、具备相关技能。</w:t>
            </w:r>
          </w:p>
          <w:p w14:paraId="4212DE3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三、场地要求</w:t>
            </w:r>
          </w:p>
          <w:p w14:paraId="19A8DBE6">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机构应设置在安全区域内，严禁地处污染区、噪声区和危险区内。服务场所应符合无障碍环境建设要求，符合安全、消防、卫生、环境保护等国家现行有关法规和标准要求。环境设计应适合残疾人特点、满足服务内容、功能需求，配置相关服务设备。</w:t>
            </w:r>
          </w:p>
          <w:p w14:paraId="739888F8">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2.入围供应商必须保证在服务期内提供满足本项目要求的位于中山市内的履约服务能力（包括但不限于服务场所、投入项目人员），有固定的服务场所、设备设施，每个服务场地面积须不少于100平方米，其中业务用房面积不低于总面积的70%。（供应商需同时提供以下证明材料，否则视为负偏离：①服务场所图片或文字说明。②场地如为自有的，提供产权证明复印件并加盖供应商公章；场地如为租赁的，须提供租赁合同（协议）复印件并加盖供应商公章；或提供其他可证明场地使用权的证明材料。③承诺提供开放时间为工作日的08:30-12:00，14:30-17:30，承诺函格式参考第六章投标文件格式与要求中“格式十”。）</w:t>
            </w:r>
          </w:p>
          <w:p w14:paraId="77127855">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3.功能用房配置：独立设置测听室、诊断室、耳模室、助听器验配室、言语康复指导室等。</w:t>
            </w:r>
          </w:p>
          <w:p w14:paraId="030ADD0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四、设备要求</w:t>
            </w:r>
          </w:p>
          <w:p w14:paraId="1329EDAA">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1.根据服务项目的需要配置相应的设备及办公、宣传、培训设备等。</w:t>
            </w:r>
          </w:p>
          <w:p w14:paraId="58B142FB">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2.可提供对0-6岁儿童进行测听、评估等服务，应具备小儿听力评估所需的相关仪器以及设备，如：行为测听声场、视觉强化测试设备等。</w:t>
            </w:r>
          </w:p>
          <w:p w14:paraId="6F989331">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3.入围供应商应具备展示服务项目相应的辅助器具品种的能力。</w:t>
            </w:r>
          </w:p>
          <w:p w14:paraId="3339907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五、业务功能</w:t>
            </w:r>
          </w:p>
          <w:p w14:paraId="62E7BF45">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1.根据残疾人辅助器具服务需求，按照《中山市残疾人基本型辅助器具适配补贴目录》开展相关服务项目。</w:t>
            </w:r>
          </w:p>
          <w:p w14:paraId="166C9E1D">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2.制定规章制度和工作职责、组织架构说明、员工岗位职责、考核、培训等相关管理制度。机构服务职能、服务流程、服务承诺等上墙明示。</w:t>
            </w:r>
          </w:p>
          <w:p w14:paraId="6C37F875">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3.开展残疾人需求调查、知识宣传、辅助器具选配、转介服务、上门服务、辅助器具转借等服务。</w:t>
            </w:r>
          </w:p>
          <w:p w14:paraId="6A218225">
            <w:pPr>
              <w:pStyle w:val="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4.具体服务规范和服务标准按照国家和省现行的残疾人辅助器具适配项目所规定的服务内容、服务流程、服务周期和质量要求提供康复服务。</w:t>
            </w:r>
          </w:p>
          <w:p w14:paraId="2C50B78E">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六、档案管理</w:t>
            </w:r>
          </w:p>
          <w:p w14:paraId="04D392B8">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1.按照相关要求建立残疾人辅助器具服务档案，完整填写档案内容，提供服务前、后反映残疾人辅助器具服务状况的文字、图片和音像资料。</w:t>
            </w:r>
          </w:p>
          <w:p w14:paraId="4434662B">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2.符合残疾人精准康复辅助器具服务信息化管理要求。</w:t>
            </w:r>
          </w:p>
          <w:p w14:paraId="6C273F69">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3.具有家长服务相关记录。</w:t>
            </w:r>
          </w:p>
        </w:tc>
      </w:tr>
      <w:tr w14:paraId="1C37F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6B8081E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822" w:type="dxa"/>
          </w:tcPr>
          <w:p w14:paraId="5C97F84F">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w:t>
            </w:r>
          </w:p>
        </w:tc>
        <w:tc>
          <w:tcPr>
            <w:tcW w:w="6600" w:type="dxa"/>
          </w:tcPr>
          <w:p w14:paraId="18E14A8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一、辅助器具产品及服务要求</w:t>
            </w:r>
          </w:p>
          <w:p w14:paraId="2167BF8D">
            <w:pPr>
              <w:pStyle w:val="4"/>
              <w:keepNext w:val="0"/>
              <w:keepLines w:val="0"/>
              <w:pageBreakBefore w:val="0"/>
              <w:kinsoku/>
              <w:wordWrap/>
              <w:overflowPunct/>
              <w:topLinePunct w:val="0"/>
              <w:autoSpaceDE/>
              <w:autoSpaceDN/>
              <w:bidi w:val="0"/>
              <w:adjustRightInd/>
              <w:snapToGrid/>
              <w:spacing w:line="360" w:lineRule="auto"/>
              <w:ind w:firstLine="440"/>
              <w:jc w:val="both"/>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（一）听力类残疾类别的产品及服务（包括但不限于如下目录内容）：依照《中山市残疾人基本型辅助器具适配补贴目录》提供其中全部辅助器具的适配服务。</w:t>
            </w:r>
          </w:p>
          <w:p w14:paraId="0EC1EA02">
            <w:pPr>
              <w:pStyle w:val="4"/>
              <w:keepNext w:val="0"/>
              <w:keepLines w:val="0"/>
              <w:pageBreakBefore w:val="0"/>
              <w:kinsoku/>
              <w:wordWrap/>
              <w:overflowPunct/>
              <w:topLinePunct w:val="0"/>
              <w:autoSpaceDE/>
              <w:autoSpaceDN/>
              <w:bidi w:val="0"/>
              <w:adjustRightInd/>
              <w:snapToGrid/>
              <w:spacing w:line="360" w:lineRule="auto"/>
              <w:ind w:firstLine="44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（二）听力类残疾类别的产品应符合相关国家标准或有关企业标准，其中助听器应满足以下技术标准与要求：</w:t>
            </w:r>
          </w:p>
          <w:p w14:paraId="628DDEE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1.超大功率电脑编程智能型耳背式助听器技术参数：</w:t>
            </w:r>
          </w:p>
          <w:p w14:paraId="62D8E870">
            <w:pPr>
              <w:pStyle w:val="4"/>
              <w:keepNext w:val="0"/>
              <w:keepLines w:val="0"/>
              <w:pageBreakBefore w:val="0"/>
              <w:kinsoku/>
              <w:wordWrap/>
              <w:overflowPunct/>
              <w:topLinePunct w:val="0"/>
              <w:autoSpaceDE/>
              <w:autoSpaceDN/>
              <w:bidi w:val="0"/>
              <w:adjustRightInd/>
              <w:snapToGrid/>
              <w:spacing w:line="360" w:lineRule="auto"/>
              <w:ind w:firstLine="442"/>
              <w:jc w:val="both"/>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注：供应商需同时提供以下证明材料，否则视为负偏离：1.单个产品的照片，拍摄要求：单个产品正面左前方,俯视照片一张,白底,图像清晰。2.国家级质量检测中心出具的检测报告，检测报告中的检测结果不满足对应技术参数要求的，该条参数视为负偏离。</w:t>
            </w:r>
          </w:p>
          <w:p w14:paraId="17D4F8B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（1）全数字信号处理，自适应双麦克风，自动聆听程序≥3个；</w:t>
            </w:r>
          </w:p>
          <w:p w14:paraId="29C105E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▲（2）独立调节通道≥12个,最大声输出&gt;138dB SPL；</w:t>
            </w:r>
          </w:p>
          <w:p w14:paraId="2858BE6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▲（3）满档声增益&gt;75dB,频率响应范围：100～5800Hz；</w:t>
            </w:r>
          </w:p>
          <w:p w14:paraId="26A2696E">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（4）等效输入噪声&lt;10dB SPL，谐波失真&lt;0.8%；</w:t>
            </w:r>
          </w:p>
          <w:p w14:paraId="07ED52A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▲（5）聆听程序&gt;4个，具备自动声反馈抑制设置；</w:t>
            </w:r>
          </w:p>
          <w:p w14:paraId="5A7471F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▲（6）拥有≥4个验配公式；</w:t>
            </w:r>
          </w:p>
          <w:p w14:paraId="6CC0198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（7）拥有移频技术，同时具备防风及IP68防水防尘设计；</w:t>
            </w:r>
          </w:p>
          <w:p w14:paraId="3D0999A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（8）具备智能控制系统，自适应噪声抑制。</w:t>
            </w:r>
          </w:p>
          <w:p w14:paraId="162B680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2.中大功率电脑编程智能型耳内式助听器技术参数：</w:t>
            </w:r>
          </w:p>
          <w:p w14:paraId="7F7E9BB8">
            <w:pPr>
              <w:pStyle w:val="4"/>
              <w:keepNext w:val="0"/>
              <w:keepLines w:val="0"/>
              <w:pageBreakBefore w:val="0"/>
              <w:kinsoku/>
              <w:wordWrap/>
              <w:overflowPunct/>
              <w:topLinePunct w:val="0"/>
              <w:autoSpaceDE/>
              <w:autoSpaceDN/>
              <w:bidi w:val="0"/>
              <w:adjustRightInd/>
              <w:snapToGrid/>
              <w:spacing w:line="360" w:lineRule="auto"/>
              <w:ind w:firstLine="442"/>
              <w:jc w:val="both"/>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注：供应商需同时提供以下证明材料，否则视为负偏离：1.单个产品的照片，拍摄要求：单个产品正面左前方,俯视照片一张,白底,图像清晰。2.国家级质量检测中心出具的检测报告，检测报告中的检测结果不满足对应技术参数要求的，该条参数视为负偏离。</w:t>
            </w:r>
          </w:p>
          <w:p w14:paraId="2660D7F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（1）全数字信号处理，宽动态范围压缩技术，自动聆听程序≥3个；</w:t>
            </w:r>
          </w:p>
          <w:p w14:paraId="3DA9B56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▲（2）独立调节通道≥12个，最大声输出≥110dB SPL；</w:t>
            </w:r>
          </w:p>
          <w:p w14:paraId="406F040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（3）满档声增益≥70dB，频率响应：100～5800Hz；</w:t>
            </w:r>
          </w:p>
          <w:p w14:paraId="71332AE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（4）电感灵敏度&lt;120dB SPL；</w:t>
            </w:r>
          </w:p>
          <w:p w14:paraId="09B3031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▲（5）聆听程序&gt;4个，具备自动声反馈抑制设置；</w:t>
            </w:r>
          </w:p>
          <w:p w14:paraId="640F7BB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▲（6）拥有≥4个验配公式；</w:t>
            </w:r>
          </w:p>
          <w:p w14:paraId="074C786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（7）拥有移频功能，同时具备防风及IP68防水防尘设计；</w:t>
            </w:r>
          </w:p>
          <w:p w14:paraId="7822CED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（8）具备智能控制系统，自适应噪声抑制；</w:t>
            </w:r>
          </w:p>
          <w:p w14:paraId="756CAD9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▲（9）具备蓝牙功能，支持安卓、鸿蒙及苹果等手机APP远程调试。</w:t>
            </w:r>
          </w:p>
          <w:p w14:paraId="729EE18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3.大功率电脑编程智能型RIC助听器技术参数：</w:t>
            </w:r>
          </w:p>
          <w:p w14:paraId="34CB96ED">
            <w:pPr>
              <w:pStyle w:val="4"/>
              <w:keepNext w:val="0"/>
              <w:keepLines w:val="0"/>
              <w:pageBreakBefore w:val="0"/>
              <w:kinsoku/>
              <w:wordWrap/>
              <w:overflowPunct/>
              <w:topLinePunct w:val="0"/>
              <w:autoSpaceDE/>
              <w:autoSpaceDN/>
              <w:bidi w:val="0"/>
              <w:adjustRightInd/>
              <w:snapToGrid/>
              <w:spacing w:line="360" w:lineRule="auto"/>
              <w:ind w:firstLine="442"/>
              <w:jc w:val="both"/>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注：供应商需同时提供以下证明材料，否则视为负偏离：1.单个产品的照片，拍摄要求：单个产品正面左前方,俯视照片一张,白底,图像清晰。2.国家级质量检测中心出具的检测报告，检测报告中的检测结果不满足对应技术参数要求的，该条参数视为负偏离。</w:t>
            </w:r>
          </w:p>
          <w:p w14:paraId="3A15532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（1）全数字信号处理，宽动态范围压缩技术，自动聆听程序≥3个；</w:t>
            </w:r>
          </w:p>
          <w:p w14:paraId="2DBCE8B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▲（2）独立调节通道≥12个，最大声输出110dB SPL；</w:t>
            </w:r>
          </w:p>
          <w:p w14:paraId="602A60FE">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（3）高频平均声输出≥100dB SPL，频率响应范围：100～5600Hz；</w:t>
            </w:r>
          </w:p>
          <w:p w14:paraId="6E9DBDE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▲（4）聆听程序&gt;4个，具备自动声反馈抑制设置；</w:t>
            </w:r>
          </w:p>
          <w:p w14:paraId="66BA211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▲（5）拥有≥4个验配公式；</w:t>
            </w:r>
          </w:p>
          <w:p w14:paraId="3E4EE34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（6）具备内置测听功能，同时具备防风及IP68防水防尘设计；</w:t>
            </w:r>
          </w:p>
          <w:p w14:paraId="0C7A564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（7）具备智能控制系统，自适应噪声抑制；</w:t>
            </w:r>
          </w:p>
          <w:p w14:paraId="31C86B1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▲（8）具备蓝牙功能，支持安卓、鸿蒙及苹果等手机APP远程调试。</w:t>
            </w:r>
          </w:p>
          <w:p w14:paraId="78D0B32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 0-17岁残疾儿童及少年超大功率电脑编程智能型耳背式助听器技术参数：</w:t>
            </w:r>
          </w:p>
          <w:p w14:paraId="1D11DBDD">
            <w:pPr>
              <w:pStyle w:val="4"/>
              <w:keepNext w:val="0"/>
              <w:keepLines w:val="0"/>
              <w:pageBreakBefore w:val="0"/>
              <w:kinsoku/>
              <w:wordWrap/>
              <w:overflowPunct/>
              <w:topLinePunct w:val="0"/>
              <w:autoSpaceDE/>
              <w:autoSpaceDN/>
              <w:bidi w:val="0"/>
              <w:adjustRightInd/>
              <w:snapToGrid/>
              <w:spacing w:line="360" w:lineRule="auto"/>
              <w:ind w:firstLine="442"/>
              <w:jc w:val="both"/>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注：供应商需同时提供以下证明材料，否则视为负偏离：1.单个产品的照片，拍摄要求：单个产品正面左前方,俯视照片一张,白底,图像清晰。2.国家级质量检测中心出具的检测报告，检测报告中的检测结果不满足对应技术参数要求的，该条参数视为负偏离。</w:t>
            </w:r>
          </w:p>
          <w:p w14:paraId="09F38BE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▲（1）全数字信号处理，双麦克风技术，自动聆听程序≥4个；</w:t>
            </w:r>
          </w:p>
          <w:p w14:paraId="169E218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▲（2）独立调节通道≥16个,最大声输出&gt;135dB SPL；</w:t>
            </w:r>
          </w:p>
          <w:p w14:paraId="6444306E">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（3）满档声增益&gt;78dB,频率响应范围：100～5500Hz；</w:t>
            </w:r>
          </w:p>
          <w:p w14:paraId="6B1925A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（4）等效输入噪声&lt;10dB SPL，谐波失真&lt;0.8%；</w:t>
            </w:r>
          </w:p>
          <w:p w14:paraId="04254A0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（5）手动聆听程序&gt;3个，具备自动声反馈抑制设置；</w:t>
            </w:r>
          </w:p>
          <w:p w14:paraId="0B9492C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▲（6）拥有≥5个验配公式；</w:t>
            </w:r>
          </w:p>
          <w:p w14:paraId="0F70846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（7）拥有移频功能，同时具备防风及IP68防水防尘设计；</w:t>
            </w:r>
          </w:p>
          <w:p w14:paraId="5225FF0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（8）具备风噪声抑制功能；</w:t>
            </w:r>
          </w:p>
          <w:p w14:paraId="41F22FB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（9）具备智能控制系统，自适应噪声抑制；</w:t>
            </w:r>
          </w:p>
          <w:p w14:paraId="0C4244A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▲（10）具备蓝牙功能，支持安卓、鸿蒙及苹果等手机APP远程调试。</w:t>
            </w:r>
          </w:p>
          <w:p w14:paraId="1EA4630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5. 困难残疾人特大功率电脑编程智能型耳背式助听器技术参数：</w:t>
            </w:r>
          </w:p>
          <w:p w14:paraId="22325E78">
            <w:pPr>
              <w:pStyle w:val="4"/>
              <w:keepNext w:val="0"/>
              <w:keepLines w:val="0"/>
              <w:pageBreakBefore w:val="0"/>
              <w:kinsoku/>
              <w:wordWrap/>
              <w:overflowPunct/>
              <w:topLinePunct w:val="0"/>
              <w:autoSpaceDE/>
              <w:autoSpaceDN/>
              <w:bidi w:val="0"/>
              <w:adjustRightInd/>
              <w:snapToGrid/>
              <w:spacing w:line="360" w:lineRule="auto"/>
              <w:ind w:firstLine="442"/>
              <w:jc w:val="both"/>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注：供应商需同时提供以下证明材料，否则视为负偏离：1.单个产品的照片，拍摄要求：单个产品正面左前方,俯视照片一张,白底,图像清晰。2.国家级质量检测中心出具的检测报告，检测报告中的检测结果不满足对应技术参数要求的，该条参数视为负偏离。</w:t>
            </w:r>
          </w:p>
          <w:p w14:paraId="48A7A7A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（1）全数字信号处理，双麦克风技术，</w:t>
            </w:r>
          </w:p>
          <w:p w14:paraId="3EA14D5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▲（2）独立调节通道≥16个,最大声输出&gt;140dB SPL；</w:t>
            </w:r>
          </w:p>
          <w:p w14:paraId="7616277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▲（3）满档声增益&gt;78dB,频率响应范围：100-5800Hz；</w:t>
            </w:r>
          </w:p>
          <w:p w14:paraId="4F71493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（4）等效输入噪声&lt;10dB SPL，谐波失真&lt;0.8%</w:t>
            </w:r>
          </w:p>
          <w:p w14:paraId="53F5734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▲（5）聆听程序&gt;4个，具备自动声反馈抑制设置；</w:t>
            </w:r>
          </w:p>
          <w:p w14:paraId="74485AC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▲（6）拥有≥4个验配公式；</w:t>
            </w:r>
          </w:p>
          <w:p w14:paraId="5170504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（7）拥有移频功能，同时具备防风及IP68防水防尘设计；</w:t>
            </w:r>
          </w:p>
          <w:p w14:paraId="1B2E8C09">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（8）具备风噪声抑制功能；</w:t>
            </w:r>
          </w:p>
          <w:p w14:paraId="77C1AE8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（9）具备智能控制系统，自适应噪声抑制。</w:t>
            </w:r>
          </w:p>
          <w:p w14:paraId="12A20F7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二、质量要求</w:t>
            </w:r>
          </w:p>
          <w:p w14:paraId="07E1D1E5">
            <w:pPr>
              <w:pStyle w:val="4"/>
              <w:keepNext w:val="0"/>
              <w:keepLines w:val="0"/>
              <w:pageBreakBefore w:val="0"/>
              <w:kinsoku/>
              <w:wordWrap/>
              <w:overflowPunct/>
              <w:topLinePunct w:val="0"/>
              <w:autoSpaceDE/>
              <w:autoSpaceDN/>
              <w:bidi w:val="0"/>
              <w:adjustRightInd/>
              <w:snapToGrid/>
              <w:spacing w:line="360" w:lineRule="auto"/>
              <w:ind w:firstLine="440"/>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1.入围供应商提供的产品需符合国家、行业等相关标准，符合残疾人的实际使用要求，并确保所有部件安全正常运行。</w:t>
            </w:r>
          </w:p>
          <w:p w14:paraId="431F19D1">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三、质保期</w:t>
            </w:r>
          </w:p>
          <w:p w14:paraId="6145AD60">
            <w:pPr>
              <w:pStyle w:val="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1.以产品生产厂家的质保期为最低要求，入围供应商可提供高于厂家质保期限的方案，质保期自辅助器具交付使用之日起计算。</w:t>
            </w:r>
          </w:p>
          <w:p w14:paraId="51E6013B">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四、服务要求</w:t>
            </w:r>
          </w:p>
          <w:p w14:paraId="23DA0DBF">
            <w:pPr>
              <w:pStyle w:val="4"/>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1.</w:t>
            </w:r>
            <w:r>
              <w:rPr>
                <w:rFonts w:hint="eastAsia" w:ascii="宋体" w:hAnsi="宋体" w:eastAsia="宋体" w:cs="宋体"/>
                <w:sz w:val="22"/>
                <w:szCs w:val="22"/>
                <w:shd w:val="clear" w:color="auto" w:fill="auto"/>
              </w:rPr>
              <w:t>入围供应商</w:t>
            </w:r>
            <w:r>
              <w:rPr>
                <w:rFonts w:hint="eastAsia" w:ascii="宋体" w:hAnsi="宋体" w:eastAsia="宋体" w:cs="宋体"/>
                <w:color w:val="000000"/>
                <w:sz w:val="22"/>
                <w:szCs w:val="22"/>
                <w:shd w:val="clear" w:color="auto" w:fill="auto"/>
              </w:rPr>
              <w:t>应具有先进的技术水平及丰富的实践经验，负责辅具产品的免费安装、调试。</w:t>
            </w:r>
          </w:p>
          <w:p w14:paraId="30C5C8A5">
            <w:pPr>
              <w:pStyle w:val="4"/>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2.当符合救助条件的适配对象选择到入围供应商处接受服务，并经征集人审核后，按照审核结果进行辅助器具适配，超出补贴标准的部分需残疾人自费，入围供应商要履行告知义务</w:t>
            </w:r>
            <w:r>
              <w:rPr>
                <w:rFonts w:hint="eastAsia" w:ascii="宋体" w:hAnsi="宋体" w:eastAsia="宋体" w:cs="宋体"/>
                <w:sz w:val="22"/>
                <w:szCs w:val="22"/>
                <w:shd w:val="clear" w:color="auto" w:fill="auto"/>
              </w:rPr>
              <w:t>并让适配对象签署知情同意书。</w:t>
            </w:r>
          </w:p>
          <w:p w14:paraId="519BE3B6">
            <w:pPr>
              <w:pStyle w:val="4"/>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3.为符合条件的残疾人提供听力类辅具适配服务，按要求为残疾人建立辅助器具服务档案，包括评估、适配、使用指导等资料，完整填写档案内容，提供服务前、后反映残疾人辅助器具服务状况的文字（并配图片或音像资料）。</w:t>
            </w:r>
          </w:p>
          <w:p w14:paraId="7932BCD6">
            <w:pPr>
              <w:pStyle w:val="4"/>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4.辅助器具交付使用后,应采用电话、信函、电子邮件、入户访问或服务对象反馈等多种形式进行回访,对残疾人使用辅助器具的效果进行评估,做好跟踪服务。</w:t>
            </w:r>
          </w:p>
          <w:p w14:paraId="4C80BB1D">
            <w:pPr>
              <w:pStyle w:val="4"/>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5.通过直接面谈咨询、设立网络咨询窗口、公开咨询电话号码等方式，包括但不限于在服务场所设立咨询台直接咨询面谈及通过转介模式免费给予政策咨询和专业技术咨询解答解释，做好来访来电网络咨询登记，为有需求的社会公众、残疾人工作者、残疾人提供咨询服务。</w:t>
            </w:r>
          </w:p>
          <w:p w14:paraId="2ED558F3">
            <w:pPr>
              <w:pStyle w:val="4"/>
              <w:keepNext w:val="0"/>
              <w:keepLines w:val="0"/>
              <w:pageBreakBefore w:val="0"/>
              <w:kinsoku/>
              <w:wordWrap/>
              <w:overflowPunct/>
              <w:topLinePunct w:val="0"/>
              <w:autoSpaceDE/>
              <w:autoSpaceDN/>
              <w:bidi w:val="0"/>
              <w:adjustRightInd/>
              <w:snapToGrid/>
              <w:spacing w:line="360" w:lineRule="auto"/>
              <w:ind w:firstLine="440"/>
              <w:jc w:val="both"/>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6.做好已适配辅具质保期内的维保服务，确保辅具适配服务满意度不低于90%（征集人将定期采用</w:t>
            </w:r>
            <w:r>
              <w:rPr>
                <w:rFonts w:hint="eastAsia" w:ascii="宋体" w:hAnsi="宋体" w:eastAsia="宋体" w:cs="宋体"/>
                <w:sz w:val="22"/>
                <w:szCs w:val="22"/>
                <w:shd w:val="clear" w:color="auto" w:fill="auto"/>
              </w:rPr>
              <w:t>电话、入户访问或服务对象反馈等多种形式进行回访,对于</w:t>
            </w:r>
            <w:r>
              <w:rPr>
                <w:rFonts w:hint="eastAsia" w:ascii="宋体" w:hAnsi="宋体" w:eastAsia="宋体" w:cs="宋体"/>
                <w:color w:val="000000"/>
                <w:sz w:val="22"/>
                <w:szCs w:val="22"/>
                <w:shd w:val="clear" w:color="auto" w:fill="auto"/>
              </w:rPr>
              <w:t>服务满意度低于90%的入围供应商，征集人通过书面告诫方式，责令其限期整改，在规定时间内整改不合格的，征集人有权解除</w:t>
            </w:r>
            <w:r>
              <w:rPr>
                <w:rFonts w:hint="eastAsia" w:ascii="宋体" w:hAnsi="宋体" w:eastAsia="宋体" w:cs="宋体"/>
                <w:sz w:val="22"/>
                <w:szCs w:val="22"/>
                <w:shd w:val="clear" w:color="auto" w:fill="auto"/>
              </w:rPr>
              <w:t>其签订的框架协议</w:t>
            </w:r>
            <w:r>
              <w:rPr>
                <w:rFonts w:hint="eastAsia" w:ascii="宋体" w:hAnsi="宋体" w:eastAsia="宋体" w:cs="宋体"/>
                <w:color w:val="000000"/>
                <w:sz w:val="22"/>
                <w:szCs w:val="22"/>
                <w:shd w:val="clear" w:color="auto" w:fill="auto"/>
              </w:rPr>
              <w:t>）。</w:t>
            </w:r>
          </w:p>
          <w:p w14:paraId="081FDEC5">
            <w:pPr>
              <w:pStyle w:val="4"/>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7.入围供应商须及时响应征集人的服务要求，提供上门服务保障，产品如出现故障，入围供应商须在接到使用者（残疾人）故障信息后2小时内做出响应，并应在24小时内解决问题。入围供应商应在协议约定的时间内解决问题，如果不能按时解决，征集人有权退货、索赔或拒付相关费用。故障排除期间入围供应商应提供替代器具给使用者（残疾人）使用。</w:t>
            </w:r>
          </w:p>
          <w:p w14:paraId="3EB92222">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★五、产品</w:t>
            </w:r>
            <w:r>
              <w:rPr>
                <w:rFonts w:hint="eastAsia" w:ascii="宋体" w:hAnsi="宋体" w:eastAsia="宋体" w:cs="宋体"/>
                <w:b/>
                <w:color w:val="000000"/>
                <w:sz w:val="22"/>
                <w:szCs w:val="22"/>
                <w:shd w:val="clear" w:color="auto" w:fill="auto"/>
              </w:rPr>
              <w:t>展示要求</w:t>
            </w:r>
          </w:p>
          <w:p w14:paraId="627D54DB">
            <w:pPr>
              <w:pStyle w:val="4"/>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2"/>
                <w:szCs w:val="22"/>
                <w:shd w:val="clear" w:color="auto" w:fill="auto"/>
              </w:rPr>
            </w:pPr>
            <w:r>
              <w:rPr>
                <w:rFonts w:hint="eastAsia" w:ascii="宋体" w:hAnsi="宋体" w:eastAsia="宋体" w:cs="宋体"/>
                <w:b/>
                <w:color w:val="000000"/>
                <w:sz w:val="22"/>
                <w:szCs w:val="22"/>
                <w:shd w:val="clear" w:color="auto" w:fill="auto"/>
              </w:rPr>
              <w:t>征集人负责协调提供场地，入围供应商承诺免费提供中标样品,免费设置展柜（投标文件中提供承诺函，格式参考第六章投标文件格式与要求中“格式十”）。</w:t>
            </w:r>
          </w:p>
          <w:p w14:paraId="42CA7B31">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六、其他要求</w:t>
            </w:r>
          </w:p>
          <w:p w14:paraId="252E3249">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color w:val="000000"/>
                <w:sz w:val="22"/>
                <w:szCs w:val="22"/>
                <w:shd w:val="clear" w:color="auto" w:fill="auto"/>
              </w:rPr>
              <w:t xml:space="preserve">    征集人</w:t>
            </w:r>
            <w:r>
              <w:rPr>
                <w:rFonts w:hint="eastAsia" w:ascii="宋体" w:hAnsi="宋体" w:eastAsia="宋体" w:cs="宋体"/>
                <w:sz w:val="22"/>
                <w:szCs w:val="22"/>
                <w:shd w:val="clear" w:color="auto" w:fill="auto"/>
              </w:rPr>
              <w:t>有权对入围供应商提供的每个类型产品进行抽样质检。</w:t>
            </w:r>
            <w:r>
              <w:rPr>
                <w:rFonts w:hint="eastAsia" w:ascii="宋体" w:hAnsi="宋体" w:eastAsia="宋体" w:cs="宋体"/>
                <w:color w:val="000000"/>
                <w:sz w:val="22"/>
                <w:szCs w:val="22"/>
                <w:shd w:val="clear" w:color="auto" w:fill="auto"/>
              </w:rPr>
              <w:t>征集人在收到使用者对入围供应商投诉质疑时,如可能存在产品质量问题的,对投诉质疑产品进行相应质检,以上所有质检涉及的费用均由入围供应商进行支付,如质检发现明确为产品存在质量问题的,征集人有权对入围供应商该产品的同一批次产品进行处罚,如处罚该批次产品的等价金额或不支付该批次产品费用。</w:t>
            </w:r>
          </w:p>
          <w:p w14:paraId="7F9DDD2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w:t>
            </w:r>
          </w:p>
        </w:tc>
      </w:tr>
      <w:tr w14:paraId="35277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4C5A8B7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w:t>
            </w:r>
          </w:p>
        </w:tc>
        <w:tc>
          <w:tcPr>
            <w:tcW w:w="822" w:type="dxa"/>
          </w:tcPr>
          <w:p w14:paraId="0413590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3</w:t>
            </w:r>
          </w:p>
        </w:tc>
        <w:tc>
          <w:tcPr>
            <w:tcW w:w="6600" w:type="dxa"/>
          </w:tcPr>
          <w:p w14:paraId="75A3191F">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一、补助标准：</w:t>
            </w:r>
          </w:p>
          <w:tbl>
            <w:tblPr>
              <w:tblStyle w:val="2"/>
              <w:tblW w:w="0" w:type="auto"/>
              <w:tblInd w:w="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1922"/>
              <w:gridCol w:w="1011"/>
              <w:gridCol w:w="845"/>
              <w:gridCol w:w="1877"/>
            </w:tblGrid>
            <w:tr w14:paraId="0CFE84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BAB336">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类别</w:t>
                  </w:r>
                </w:p>
              </w:tc>
              <w:tc>
                <w:tcPr>
                  <w:tcW w:w="19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E4573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名   称</w:t>
                  </w:r>
                </w:p>
              </w:tc>
              <w:tc>
                <w:tcPr>
                  <w:tcW w:w="10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449DA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补贴标准（元）</w:t>
                  </w:r>
                </w:p>
                <w:p w14:paraId="4C4C6F5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p>
              </w:tc>
              <w:tc>
                <w:tcPr>
                  <w:tcW w:w="8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719D8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单位</w:t>
                  </w:r>
                </w:p>
              </w:tc>
              <w:tc>
                <w:tcPr>
                  <w:tcW w:w="18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38E91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最低使用年限</w:t>
                  </w:r>
                </w:p>
              </w:tc>
            </w:tr>
            <w:tr w14:paraId="6ADBC7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B7AA4">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听力残疾</w:t>
                  </w:r>
                </w:p>
              </w:tc>
              <w:tc>
                <w:tcPr>
                  <w:tcW w:w="1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90872B">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闪光门铃</w:t>
                  </w:r>
                </w:p>
              </w:tc>
              <w:tc>
                <w:tcPr>
                  <w:tcW w:w="10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1D8B9">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100元</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8A5B17">
                  <w:pPr>
                    <w:pStyle w:val="4"/>
                    <w:keepNext w:val="0"/>
                    <w:keepLines w:val="0"/>
                    <w:pageBreakBefore w:val="0"/>
                    <w:kinsoku/>
                    <w:wordWrap/>
                    <w:overflowPunct/>
                    <w:topLinePunct w:val="0"/>
                    <w:autoSpaceDE/>
                    <w:autoSpaceDN/>
                    <w:bidi w:val="0"/>
                    <w:adjustRightInd/>
                    <w:snapToGrid/>
                    <w:spacing w:line="360" w:lineRule="auto"/>
                    <w:ind w:firstLine="320"/>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个</w:t>
                  </w: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50A21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2年</w:t>
                  </w:r>
                </w:p>
              </w:tc>
            </w:tr>
            <w:tr w14:paraId="1C8CA9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vMerge w:val="continue"/>
                  <w:tcBorders>
                    <w:top w:val="nil"/>
                    <w:left w:val="single" w:color="000000" w:sz="4" w:space="0"/>
                    <w:bottom w:val="single" w:color="000000" w:sz="4" w:space="0"/>
                    <w:right w:val="single" w:color="000000" w:sz="4" w:space="0"/>
                  </w:tcBorders>
                </w:tcPr>
                <w:p w14:paraId="59E81BA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03794">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成人助听器</w:t>
                  </w:r>
                </w:p>
                <w:p w14:paraId="5550603A">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（耳背/定制式）</w:t>
                  </w:r>
                </w:p>
              </w:tc>
              <w:tc>
                <w:tcPr>
                  <w:tcW w:w="10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109DC">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2500元</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6FEBC6">
                  <w:pPr>
                    <w:pStyle w:val="4"/>
                    <w:keepNext w:val="0"/>
                    <w:keepLines w:val="0"/>
                    <w:pageBreakBefore w:val="0"/>
                    <w:kinsoku/>
                    <w:wordWrap/>
                    <w:overflowPunct/>
                    <w:topLinePunct w:val="0"/>
                    <w:autoSpaceDE/>
                    <w:autoSpaceDN/>
                    <w:bidi w:val="0"/>
                    <w:adjustRightInd/>
                    <w:snapToGrid/>
                    <w:spacing w:line="360" w:lineRule="auto"/>
                    <w:ind w:firstLine="320"/>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台</w:t>
                  </w: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5AA1C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8年1次，可双耳适配。</w:t>
                  </w:r>
                </w:p>
              </w:tc>
            </w:tr>
            <w:tr w14:paraId="560091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vMerge w:val="continue"/>
                  <w:tcBorders>
                    <w:top w:val="nil"/>
                    <w:left w:val="single" w:color="000000" w:sz="4" w:space="0"/>
                    <w:bottom w:val="single" w:color="000000" w:sz="4" w:space="0"/>
                    <w:right w:val="single" w:color="000000" w:sz="4" w:space="0"/>
                  </w:tcBorders>
                </w:tcPr>
                <w:p w14:paraId="440E43B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862BBF">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成人助听器</w:t>
                  </w:r>
                </w:p>
                <w:p w14:paraId="31893D65">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（耳背/定制式）</w:t>
                  </w:r>
                </w:p>
                <w:p w14:paraId="35385974">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（困难残疾人）</w:t>
                  </w:r>
                </w:p>
              </w:tc>
              <w:tc>
                <w:tcPr>
                  <w:tcW w:w="10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2CB9D">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3500元</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39561">
                  <w:pPr>
                    <w:pStyle w:val="4"/>
                    <w:keepNext w:val="0"/>
                    <w:keepLines w:val="0"/>
                    <w:pageBreakBefore w:val="0"/>
                    <w:kinsoku/>
                    <w:wordWrap/>
                    <w:overflowPunct/>
                    <w:topLinePunct w:val="0"/>
                    <w:autoSpaceDE/>
                    <w:autoSpaceDN/>
                    <w:bidi w:val="0"/>
                    <w:adjustRightInd/>
                    <w:snapToGrid/>
                    <w:spacing w:line="360" w:lineRule="auto"/>
                    <w:ind w:firstLine="320"/>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台</w:t>
                  </w: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BF4A4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8年1次，可双耳适配。</w:t>
                  </w:r>
                </w:p>
              </w:tc>
            </w:tr>
            <w:tr w14:paraId="7AAB9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vMerge w:val="continue"/>
                  <w:tcBorders>
                    <w:top w:val="nil"/>
                    <w:left w:val="single" w:color="000000" w:sz="4" w:space="0"/>
                    <w:bottom w:val="single" w:color="000000" w:sz="4" w:space="0"/>
                    <w:right w:val="single" w:color="000000" w:sz="4" w:space="0"/>
                  </w:tcBorders>
                </w:tcPr>
                <w:p w14:paraId="1CFF3E8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33277F">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0-17岁残疾儿童及少年助听器（耳背/定制式）</w:t>
                  </w:r>
                </w:p>
              </w:tc>
              <w:tc>
                <w:tcPr>
                  <w:tcW w:w="10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534FD">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6000元</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50654">
                  <w:pPr>
                    <w:pStyle w:val="4"/>
                    <w:keepNext w:val="0"/>
                    <w:keepLines w:val="0"/>
                    <w:pageBreakBefore w:val="0"/>
                    <w:kinsoku/>
                    <w:wordWrap/>
                    <w:overflowPunct/>
                    <w:topLinePunct w:val="0"/>
                    <w:autoSpaceDE/>
                    <w:autoSpaceDN/>
                    <w:bidi w:val="0"/>
                    <w:adjustRightInd/>
                    <w:snapToGrid/>
                    <w:spacing w:line="360" w:lineRule="auto"/>
                    <w:ind w:firstLine="320"/>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台</w:t>
                  </w: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CD7DC3">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0-6岁3年1次，7-17岁5年1次，可双耳适配。</w:t>
                  </w:r>
                </w:p>
              </w:tc>
            </w:tr>
            <w:tr w14:paraId="27D576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vMerge w:val="continue"/>
                  <w:tcBorders>
                    <w:top w:val="nil"/>
                    <w:left w:val="single" w:color="000000" w:sz="4" w:space="0"/>
                    <w:bottom w:val="single" w:color="000000" w:sz="4" w:space="0"/>
                    <w:right w:val="single" w:color="000000" w:sz="4" w:space="0"/>
                  </w:tcBorders>
                </w:tcPr>
                <w:p w14:paraId="7420EA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ABAE18">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盒式助听器</w:t>
                  </w:r>
                </w:p>
              </w:tc>
              <w:tc>
                <w:tcPr>
                  <w:tcW w:w="10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87CD5D">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300元</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A065F">
                  <w:pPr>
                    <w:pStyle w:val="4"/>
                    <w:keepNext w:val="0"/>
                    <w:keepLines w:val="0"/>
                    <w:pageBreakBefore w:val="0"/>
                    <w:kinsoku/>
                    <w:wordWrap/>
                    <w:overflowPunct/>
                    <w:topLinePunct w:val="0"/>
                    <w:autoSpaceDE/>
                    <w:autoSpaceDN/>
                    <w:bidi w:val="0"/>
                    <w:adjustRightInd/>
                    <w:snapToGrid/>
                    <w:spacing w:line="360" w:lineRule="auto"/>
                    <w:ind w:firstLine="320"/>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台</w:t>
                  </w: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7ED5A1">
                  <w:pPr>
                    <w:pStyle w:val="4"/>
                    <w:keepNext w:val="0"/>
                    <w:keepLines w:val="0"/>
                    <w:pageBreakBefore w:val="0"/>
                    <w:kinsoku/>
                    <w:wordWrap/>
                    <w:overflowPunct/>
                    <w:topLinePunct w:val="0"/>
                    <w:autoSpaceDE/>
                    <w:autoSpaceDN/>
                    <w:bidi w:val="0"/>
                    <w:adjustRightInd/>
                    <w:snapToGrid/>
                    <w:spacing w:line="360" w:lineRule="auto"/>
                    <w:ind w:firstLine="320"/>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5年</w:t>
                  </w:r>
                </w:p>
              </w:tc>
            </w:tr>
            <w:tr w14:paraId="3F9A77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vMerge w:val="continue"/>
                  <w:tcBorders>
                    <w:top w:val="nil"/>
                    <w:left w:val="single" w:color="000000" w:sz="4" w:space="0"/>
                    <w:bottom w:val="single" w:color="000000" w:sz="4" w:space="0"/>
                    <w:right w:val="single" w:color="000000" w:sz="4" w:space="0"/>
                  </w:tcBorders>
                </w:tcPr>
                <w:p w14:paraId="68D03AE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8E020">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震动闹钟</w:t>
                  </w:r>
                </w:p>
              </w:tc>
              <w:tc>
                <w:tcPr>
                  <w:tcW w:w="10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AA478">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80元</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D6DA37">
                  <w:pPr>
                    <w:pStyle w:val="4"/>
                    <w:keepNext w:val="0"/>
                    <w:keepLines w:val="0"/>
                    <w:pageBreakBefore w:val="0"/>
                    <w:kinsoku/>
                    <w:wordWrap/>
                    <w:overflowPunct/>
                    <w:topLinePunct w:val="0"/>
                    <w:autoSpaceDE/>
                    <w:autoSpaceDN/>
                    <w:bidi w:val="0"/>
                    <w:adjustRightInd/>
                    <w:snapToGrid/>
                    <w:spacing w:line="360" w:lineRule="auto"/>
                    <w:ind w:firstLine="320"/>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个</w:t>
                  </w: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C17F1B">
                  <w:pPr>
                    <w:pStyle w:val="4"/>
                    <w:keepNext w:val="0"/>
                    <w:keepLines w:val="0"/>
                    <w:pageBreakBefore w:val="0"/>
                    <w:kinsoku/>
                    <w:wordWrap/>
                    <w:overflowPunct/>
                    <w:topLinePunct w:val="0"/>
                    <w:autoSpaceDE/>
                    <w:autoSpaceDN/>
                    <w:bidi w:val="0"/>
                    <w:adjustRightInd/>
                    <w:snapToGrid/>
                    <w:spacing w:line="360" w:lineRule="auto"/>
                    <w:ind w:firstLine="320"/>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2年</w:t>
                  </w:r>
                </w:p>
              </w:tc>
            </w:tr>
            <w:tr w14:paraId="363A6B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vMerge w:val="continue"/>
                  <w:tcBorders>
                    <w:top w:val="nil"/>
                    <w:left w:val="single" w:color="000000" w:sz="4" w:space="0"/>
                    <w:bottom w:val="single" w:color="000000" w:sz="4" w:space="0"/>
                    <w:right w:val="single" w:color="000000" w:sz="4" w:space="0"/>
                  </w:tcBorders>
                </w:tcPr>
                <w:p w14:paraId="112A530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89F754">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聋用手写电子沟通板</w:t>
                  </w:r>
                </w:p>
              </w:tc>
              <w:tc>
                <w:tcPr>
                  <w:tcW w:w="10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692AAA">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150元</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ADF10">
                  <w:pPr>
                    <w:pStyle w:val="4"/>
                    <w:keepNext w:val="0"/>
                    <w:keepLines w:val="0"/>
                    <w:pageBreakBefore w:val="0"/>
                    <w:kinsoku/>
                    <w:wordWrap/>
                    <w:overflowPunct/>
                    <w:topLinePunct w:val="0"/>
                    <w:autoSpaceDE/>
                    <w:autoSpaceDN/>
                    <w:bidi w:val="0"/>
                    <w:adjustRightInd/>
                    <w:snapToGrid/>
                    <w:spacing w:line="360" w:lineRule="auto"/>
                    <w:ind w:firstLine="320"/>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台</w:t>
                  </w: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F4961D">
                  <w:pPr>
                    <w:pStyle w:val="4"/>
                    <w:keepNext w:val="0"/>
                    <w:keepLines w:val="0"/>
                    <w:pageBreakBefore w:val="0"/>
                    <w:kinsoku/>
                    <w:wordWrap/>
                    <w:overflowPunct/>
                    <w:topLinePunct w:val="0"/>
                    <w:autoSpaceDE/>
                    <w:autoSpaceDN/>
                    <w:bidi w:val="0"/>
                    <w:adjustRightInd/>
                    <w:snapToGrid/>
                    <w:spacing w:line="360" w:lineRule="auto"/>
                    <w:ind w:firstLine="320"/>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3年</w:t>
                  </w:r>
                </w:p>
              </w:tc>
            </w:tr>
            <w:tr w14:paraId="3FCD19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vMerge w:val="continue"/>
                  <w:tcBorders>
                    <w:top w:val="nil"/>
                    <w:left w:val="single" w:color="000000" w:sz="4" w:space="0"/>
                    <w:bottom w:val="single" w:color="000000" w:sz="4" w:space="0"/>
                    <w:right w:val="single" w:color="000000" w:sz="4" w:space="0"/>
                  </w:tcBorders>
                </w:tcPr>
                <w:p w14:paraId="39155C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p>
              </w:tc>
              <w:tc>
                <w:tcPr>
                  <w:tcW w:w="1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313768">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0-17岁残疾儿童及少年无线调频系统</w:t>
                  </w:r>
                </w:p>
              </w:tc>
              <w:tc>
                <w:tcPr>
                  <w:tcW w:w="10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96B332">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3000元</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1C8509">
                  <w:pPr>
                    <w:pStyle w:val="4"/>
                    <w:keepNext w:val="0"/>
                    <w:keepLines w:val="0"/>
                    <w:pageBreakBefore w:val="0"/>
                    <w:kinsoku/>
                    <w:wordWrap/>
                    <w:overflowPunct/>
                    <w:topLinePunct w:val="0"/>
                    <w:autoSpaceDE/>
                    <w:autoSpaceDN/>
                    <w:bidi w:val="0"/>
                    <w:adjustRightInd/>
                    <w:snapToGrid/>
                    <w:spacing w:line="360" w:lineRule="auto"/>
                    <w:ind w:firstLine="320"/>
                    <w:jc w:val="left"/>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套</w:t>
                  </w: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9B3A08">
                  <w:pPr>
                    <w:pStyle w:val="4"/>
                    <w:keepNext w:val="0"/>
                    <w:keepLines w:val="0"/>
                    <w:pageBreakBefore w:val="0"/>
                    <w:kinsoku/>
                    <w:wordWrap/>
                    <w:overflowPunct/>
                    <w:topLinePunct w:val="0"/>
                    <w:autoSpaceDE/>
                    <w:autoSpaceDN/>
                    <w:bidi w:val="0"/>
                    <w:adjustRightInd/>
                    <w:snapToGrid/>
                    <w:spacing w:line="360" w:lineRule="auto"/>
                    <w:ind w:firstLine="320"/>
                    <w:jc w:val="center"/>
                    <w:textAlignment w:val="auto"/>
                    <w:rPr>
                      <w:rFonts w:hint="eastAsia" w:ascii="宋体" w:hAnsi="宋体" w:eastAsia="宋体" w:cs="宋体"/>
                      <w:sz w:val="22"/>
                      <w:szCs w:val="22"/>
                      <w:shd w:val="clear" w:color="auto" w:fill="auto"/>
                    </w:rPr>
                  </w:pPr>
                  <w:r>
                    <w:rPr>
                      <w:rFonts w:hint="eastAsia" w:ascii="宋体" w:hAnsi="宋体" w:eastAsia="宋体" w:cs="宋体"/>
                      <w:b/>
                      <w:sz w:val="22"/>
                      <w:szCs w:val="22"/>
                      <w:shd w:val="clear" w:color="auto" w:fill="auto"/>
                    </w:rPr>
                    <w:t>3年</w:t>
                  </w:r>
                </w:p>
              </w:tc>
            </w:tr>
          </w:tbl>
          <w:p w14:paraId="72B7C4E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shd w:val="clear" w:color="auto" w:fill="auto"/>
              </w:rPr>
            </w:pPr>
            <w:r>
              <w:rPr>
                <w:rFonts w:hint="eastAsia" w:ascii="宋体" w:hAnsi="宋体" w:eastAsia="宋体" w:cs="宋体"/>
                <w:b/>
                <w:color w:val="222222"/>
                <w:sz w:val="22"/>
                <w:szCs w:val="22"/>
                <w:shd w:val="clear" w:color="auto" w:fill="auto"/>
              </w:rPr>
              <w:t>说明：残疾人购买的产品价格低于补贴标准的，按实际价格结算。</w:t>
            </w:r>
          </w:p>
        </w:tc>
      </w:tr>
      <w:tr w14:paraId="40D17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77B2617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说明</w:t>
            </w:r>
          </w:p>
        </w:tc>
        <w:tc>
          <w:tcPr>
            <w:tcW w:w="7422" w:type="dxa"/>
            <w:gridSpan w:val="2"/>
          </w:tcPr>
          <w:p w14:paraId="67671058">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shd w:val="clear" w:color="auto" w:fill="auto"/>
              </w:rPr>
            </w:pPr>
            <w:r>
              <w:rPr>
                <w:rFonts w:hint="eastAsia" w:ascii="宋体" w:hAnsi="宋体" w:eastAsia="宋体" w:cs="宋体"/>
                <w:sz w:val="22"/>
                <w:szCs w:val="22"/>
                <w:shd w:val="clear" w:color="auto" w:fill="auto"/>
              </w:rPr>
              <w:t xml:space="preserve"> 打“★”号条款为实质性条款，若有任何一条负偏离或不满足则导致投标无效。 </w:t>
            </w:r>
            <w:r>
              <w:rPr>
                <w:rFonts w:hint="eastAsia" w:ascii="宋体" w:hAnsi="宋体" w:eastAsia="宋体" w:cs="宋体"/>
                <w:sz w:val="22"/>
                <w:szCs w:val="22"/>
                <w:shd w:val="clear" w:color="auto" w:fill="auto"/>
              </w:rPr>
              <w:br w:type="textWrapping"/>
            </w:r>
            <w:r>
              <w:rPr>
                <w:rFonts w:hint="eastAsia" w:ascii="宋体" w:hAnsi="宋体" w:eastAsia="宋体" w:cs="宋体"/>
                <w:sz w:val="22"/>
                <w:szCs w:val="22"/>
                <w:shd w:val="clear" w:color="auto" w:fill="auto"/>
              </w:rPr>
              <w:t>打“▲”号条款为重要技术参数，若有部分“▲”条款未响应或不满足，将导致其响应性评审加重扣分，但不作为无效投标条款。</w:t>
            </w:r>
          </w:p>
        </w:tc>
      </w:tr>
    </w:tbl>
    <w:p w14:paraId="421909F4">
      <w:pPr>
        <w:pStyle w:val="4"/>
      </w:pPr>
      <w:r>
        <w:t xml:space="preserve">  </w:t>
      </w:r>
    </w:p>
    <w:p w14:paraId="3003F1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C0F0C"/>
    <w:rsid w:val="02597087"/>
    <w:rsid w:val="0BCC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2065</Words>
  <Characters>2150</Characters>
  <Lines>0</Lines>
  <Paragraphs>0</Paragraphs>
  <TotalTime>8</TotalTime>
  <ScaleCrop>false</ScaleCrop>
  <LinksUpToDate>false</LinksUpToDate>
  <CharactersWithSpaces>2155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2025-09-24T03:30:00Z</dcterms:created>
  <dc:creator>智林招标项目组</dc:creator>
  <cp:lastModifiedBy>智林招标项目组</cp:lastModifiedBy>
  <dcterms:modified xsi:type="dcterms:W3CDTF">2025-09-24T03:49:41Z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5F290357BD7843BAB1A5165815039225_11</vt:lpwstr>
  </property>
  <property fmtid="{D5CDD505-2E9C-101B-9397-08002B2CF9AE}" pid="4" name="KSOTemplateDocerSaveRecord">
    <vt:lpwstr>eyJoZGlkIjoiZDMzZDZiOWY4YWUyNmY3ZDQyODAxMGRmZmVkNmRjZjMiLCJ1c2VySWQiOiIxNjk5Mzc2OTY3In0=</vt:lpwstr>
  </property>
</Properties>
</file>