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DEE3F8">
      <w:pPr>
        <w:spacing w:line="360" w:lineRule="auto"/>
        <w:ind w:right="-313" w:rightChars="-149"/>
        <w:jc w:val="center"/>
        <w:outlineLvl w:val="9"/>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非“</w:t>
      </w:r>
      <w:r>
        <w:rPr>
          <w:rFonts w:hint="eastAsia" w:ascii="宋体" w:hAnsi="宋体" w:eastAsia="宋体" w:cs="宋体"/>
          <w:sz w:val="28"/>
          <w:szCs w:val="28"/>
        </w:rPr>
        <w:t>★</w:t>
      </w:r>
      <w:r>
        <w:rPr>
          <w:rFonts w:hint="eastAsia" w:ascii="宋体" w:hAnsi="宋体" w:eastAsia="宋体" w:cs="宋体"/>
          <w:b/>
          <w:sz w:val="28"/>
          <w:szCs w:val="28"/>
          <w:lang w:val="en-US" w:eastAsia="zh-CN"/>
        </w:rPr>
        <w:t>”、“</w:t>
      </w:r>
      <w:bookmarkStart w:id="65" w:name="_GoBack"/>
      <w:r>
        <w:rPr>
          <w:rFonts w:hint="eastAsia" w:ascii="宋体" w:hAnsi="宋体" w:eastAsia="宋体" w:cs="宋体"/>
          <w:sz w:val="28"/>
          <w:szCs w:val="28"/>
        </w:rPr>
        <w:t>▲</w:t>
      </w:r>
      <w:bookmarkEnd w:id="65"/>
      <w:r>
        <w:rPr>
          <w:rFonts w:hint="eastAsia" w:ascii="宋体" w:hAnsi="宋体" w:eastAsia="宋体" w:cs="宋体"/>
          <w:b/>
          <w:sz w:val="28"/>
          <w:szCs w:val="28"/>
          <w:lang w:val="en-US" w:eastAsia="zh-CN"/>
        </w:rPr>
        <w:t>”的条款中参与评审条款汇总表</w:t>
      </w:r>
    </w:p>
    <w:p w14:paraId="40853A3F">
      <w:pPr>
        <w:spacing w:line="360" w:lineRule="auto"/>
        <w:jc w:val="center"/>
        <w:outlineLvl w:val="9"/>
        <w:rPr>
          <w:rFonts w:hint="eastAsia" w:ascii="宋体" w:hAnsi="宋体" w:eastAsia="宋体" w:cs="宋体"/>
          <w:sz w:val="28"/>
          <w:szCs w:val="28"/>
        </w:rPr>
      </w:pPr>
      <w:r>
        <w:rPr>
          <w:rFonts w:hint="eastAsia" w:ascii="宋体" w:hAnsi="宋体" w:eastAsia="宋体" w:cs="宋体"/>
          <w:b/>
          <w:sz w:val="28"/>
          <w:szCs w:val="28"/>
        </w:rPr>
        <w:t>《技术和服务要求响应表》</w:t>
      </w:r>
    </w:p>
    <w:tbl>
      <w:tblPr>
        <w:tblStyle w:val="18"/>
        <w:tblW w:w="1428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530"/>
        <w:gridCol w:w="660"/>
        <w:gridCol w:w="596"/>
        <w:gridCol w:w="8236"/>
        <w:gridCol w:w="1208"/>
        <w:gridCol w:w="629"/>
        <w:gridCol w:w="849"/>
        <w:gridCol w:w="849"/>
        <w:gridCol w:w="723"/>
      </w:tblGrid>
      <w:tr w14:paraId="3CEAAB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08" w:hRule="atLeast"/>
        </w:trPr>
        <w:tc>
          <w:tcPr>
            <w:tcW w:w="530" w:type="dxa"/>
            <w:vAlign w:val="center"/>
          </w:tcPr>
          <w:p w14:paraId="3ED22947">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sz w:val="22"/>
                <w:szCs w:val="22"/>
                <w:highlight w:val="none"/>
              </w:rPr>
              <w:t>序号</w:t>
            </w:r>
          </w:p>
        </w:tc>
        <w:tc>
          <w:tcPr>
            <w:tcW w:w="660" w:type="dxa"/>
            <w:vAlign w:val="center"/>
          </w:tcPr>
          <w:p w14:paraId="06417CBB">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标的名称</w:t>
            </w:r>
          </w:p>
        </w:tc>
        <w:tc>
          <w:tcPr>
            <w:tcW w:w="596" w:type="dxa"/>
            <w:vAlign w:val="center"/>
          </w:tcPr>
          <w:p w14:paraId="507F0F56">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参数性质</w:t>
            </w:r>
          </w:p>
        </w:tc>
        <w:tc>
          <w:tcPr>
            <w:tcW w:w="8236" w:type="dxa"/>
            <w:vAlign w:val="center"/>
          </w:tcPr>
          <w:p w14:paraId="5539B56E">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采购文件规定的技术和服务要求</w:t>
            </w:r>
          </w:p>
        </w:tc>
        <w:tc>
          <w:tcPr>
            <w:tcW w:w="1208" w:type="dxa"/>
            <w:vAlign w:val="center"/>
          </w:tcPr>
          <w:p w14:paraId="72A3D403">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投标文件响应的具体内容</w:t>
            </w:r>
          </w:p>
        </w:tc>
        <w:tc>
          <w:tcPr>
            <w:tcW w:w="629" w:type="dxa"/>
            <w:vAlign w:val="center"/>
          </w:tcPr>
          <w:p w14:paraId="6A50E825">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型号</w:t>
            </w:r>
          </w:p>
        </w:tc>
        <w:tc>
          <w:tcPr>
            <w:tcW w:w="849" w:type="dxa"/>
            <w:vAlign w:val="center"/>
          </w:tcPr>
          <w:p w14:paraId="16F64AC7">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是否偏离</w:t>
            </w:r>
          </w:p>
        </w:tc>
        <w:tc>
          <w:tcPr>
            <w:tcW w:w="849" w:type="dxa"/>
            <w:vAlign w:val="center"/>
          </w:tcPr>
          <w:p w14:paraId="22FB6C9D">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证明文件所在位置</w:t>
            </w:r>
          </w:p>
        </w:tc>
        <w:tc>
          <w:tcPr>
            <w:tcW w:w="723" w:type="dxa"/>
            <w:vAlign w:val="center"/>
          </w:tcPr>
          <w:p w14:paraId="336FF713">
            <w:pPr>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备注</w:t>
            </w:r>
          </w:p>
        </w:tc>
      </w:tr>
      <w:tr w14:paraId="3BD3F4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78" w:hRule="atLeast"/>
        </w:trPr>
        <w:tc>
          <w:tcPr>
            <w:tcW w:w="530" w:type="dxa"/>
            <w:vAlign w:val="center"/>
          </w:tcPr>
          <w:p w14:paraId="1E8251B2">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val="0"/>
                <w:bCs w:val="0"/>
                <w:color w:val="auto"/>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60" w:type="dxa"/>
          </w:tcPr>
          <w:p w14:paraId="2F95638F">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2B40FDDD">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7CE3CD33">
            <w:pPr>
              <w:pStyle w:val="4"/>
              <w:numPr>
                <w:ilvl w:val="0"/>
                <w:numId w:val="0"/>
              </w:numPr>
              <w:spacing w:before="0" w:after="0" w:line="360" w:lineRule="auto"/>
              <w:ind w:left="0" w:leftChars="0" w:firstLine="0" w:firstLineChars="0"/>
              <w:rPr>
                <w:rFonts w:hint="eastAsia" w:ascii="宋体" w:hAnsi="宋体" w:eastAsia="宋体" w:cs="宋体"/>
                <w:b/>
                <w:bCs w:val="0"/>
                <w:kern w:val="2"/>
                <w:sz w:val="22"/>
                <w:szCs w:val="22"/>
                <w:lang w:val="en-US" w:eastAsia="zh-CN" w:bidi="ar-SA"/>
              </w:rPr>
            </w:pPr>
            <w:bookmarkStart w:id="0" w:name="_Toc173501721"/>
            <w:r>
              <w:rPr>
                <w:rFonts w:hint="eastAsia" w:ascii="宋体" w:hAnsi="宋体" w:eastAsia="宋体" w:cs="宋体"/>
                <w:b/>
                <w:bCs w:val="0"/>
                <w:kern w:val="2"/>
                <w:sz w:val="22"/>
                <w:szCs w:val="22"/>
                <w:lang w:val="en-US" w:eastAsia="zh-CN" w:bidi="ar-SA"/>
              </w:rPr>
              <w:t>一、项目基本情况</w:t>
            </w:r>
          </w:p>
          <w:p w14:paraId="23D33F4E">
            <w:pPr>
              <w:pStyle w:val="4"/>
              <w:numPr>
                <w:ilvl w:val="0"/>
                <w:numId w:val="0"/>
              </w:numPr>
              <w:spacing w:before="0" w:after="0" w:line="360" w:lineRule="auto"/>
              <w:ind w:left="0" w:leftChars="0" w:firstLine="0" w:firstLineChars="0"/>
              <w:rPr>
                <w:rFonts w:hint="eastAsia" w:ascii="宋体" w:hAnsi="宋体" w:eastAsia="宋体" w:cs="宋体"/>
                <w:b/>
                <w:bCs w:val="0"/>
                <w:sz w:val="22"/>
                <w:szCs w:val="22"/>
                <w:lang w:val="en-US" w:eastAsia="zh-CN"/>
              </w:rPr>
            </w:pPr>
            <w:r>
              <w:rPr>
                <w:rFonts w:hint="eastAsia" w:ascii="宋体" w:hAnsi="宋体" w:eastAsia="宋体" w:cs="宋体"/>
                <w:b/>
                <w:bCs w:val="0"/>
                <w:kern w:val="2"/>
                <w:sz w:val="22"/>
                <w:szCs w:val="22"/>
                <w:lang w:val="en-US" w:eastAsia="zh-CN" w:bidi="ar-SA"/>
              </w:rPr>
              <w:t>（一）</w:t>
            </w:r>
            <w:r>
              <w:rPr>
                <w:rFonts w:hint="eastAsia" w:ascii="宋体" w:hAnsi="宋体" w:eastAsia="宋体" w:cs="宋体"/>
                <w:b/>
                <w:bCs w:val="0"/>
                <w:sz w:val="22"/>
                <w:szCs w:val="22"/>
                <w:lang w:val="en-US" w:eastAsia="zh-CN"/>
              </w:rPr>
              <w:t>项目建设背景</w:t>
            </w:r>
          </w:p>
          <w:p w14:paraId="79458256">
            <w:pPr>
              <w:spacing w:line="360" w:lineRule="auto"/>
              <w:ind w:firstLine="480"/>
              <w:rPr>
                <w:rFonts w:hint="eastAsia" w:ascii="宋体" w:hAnsi="宋体" w:eastAsia="宋体" w:cs="宋体"/>
                <w:sz w:val="22"/>
                <w:szCs w:val="22"/>
              </w:rPr>
            </w:pPr>
            <w:r>
              <w:rPr>
                <w:rFonts w:hint="eastAsia" w:ascii="宋体" w:hAnsi="宋体" w:eastAsia="宋体" w:cs="宋体"/>
                <w:sz w:val="22"/>
                <w:szCs w:val="22"/>
              </w:rPr>
              <w:t>我国汽车</w:t>
            </w:r>
            <w:r>
              <w:rPr>
                <w:rFonts w:hint="eastAsia" w:ascii="宋体" w:hAnsi="宋体" w:eastAsia="宋体" w:cs="宋体"/>
                <w:sz w:val="22"/>
                <w:szCs w:val="22"/>
                <w:lang w:val="en-US" w:eastAsia="zh-CN"/>
              </w:rPr>
              <w:t>普及率上升</w:t>
            </w:r>
            <w:r>
              <w:rPr>
                <w:rFonts w:hint="eastAsia" w:ascii="宋体" w:hAnsi="宋体" w:eastAsia="宋体" w:cs="宋体"/>
                <w:sz w:val="22"/>
                <w:szCs w:val="22"/>
              </w:rPr>
              <w:t>，</w:t>
            </w:r>
            <w:r>
              <w:rPr>
                <w:rFonts w:hint="eastAsia" w:ascii="宋体" w:hAnsi="宋体" w:eastAsia="宋体" w:cs="宋体"/>
                <w:sz w:val="22"/>
                <w:szCs w:val="22"/>
                <w:lang w:val="en-US" w:eastAsia="zh-CN"/>
              </w:rPr>
              <w:t>交通</w:t>
            </w:r>
            <w:r>
              <w:rPr>
                <w:rFonts w:hint="eastAsia" w:ascii="宋体" w:hAnsi="宋体" w:eastAsia="宋体" w:cs="宋体"/>
                <w:sz w:val="22"/>
                <w:szCs w:val="22"/>
              </w:rPr>
              <w:t>违章现象增多。为此，我国推广电子警察系统，通过感应线圈和高速摄像机等技术抓拍</w:t>
            </w:r>
            <w:r>
              <w:rPr>
                <w:rFonts w:hint="eastAsia" w:ascii="宋体" w:hAnsi="宋体" w:eastAsia="宋体" w:cs="宋体"/>
                <w:sz w:val="22"/>
                <w:szCs w:val="22"/>
                <w:lang w:val="en-US" w:eastAsia="zh-CN"/>
              </w:rPr>
              <w:t>交通</w:t>
            </w:r>
            <w:r>
              <w:rPr>
                <w:rFonts w:hint="eastAsia" w:ascii="宋体" w:hAnsi="宋体" w:eastAsia="宋体" w:cs="宋体"/>
                <w:sz w:val="22"/>
                <w:szCs w:val="22"/>
              </w:rPr>
              <w:t>违章行为。</w:t>
            </w:r>
          </w:p>
          <w:p w14:paraId="5F72FE28">
            <w:pPr>
              <w:spacing w:line="360" w:lineRule="auto"/>
              <w:ind w:firstLine="480"/>
              <w:rPr>
                <w:rFonts w:hint="eastAsia" w:ascii="宋体" w:hAnsi="宋体" w:eastAsia="宋体" w:cs="宋体"/>
                <w:sz w:val="22"/>
                <w:szCs w:val="22"/>
                <w:lang w:val="en-US" w:eastAsia="zh-CN"/>
              </w:rPr>
            </w:pPr>
            <w:bookmarkStart w:id="1" w:name="_Hlk150884519"/>
            <w:r>
              <w:rPr>
                <w:rFonts w:hint="eastAsia" w:ascii="宋体" w:hAnsi="宋体" w:eastAsia="宋体" w:cs="宋体"/>
                <w:sz w:val="22"/>
                <w:szCs w:val="22"/>
                <w:lang w:val="en-US" w:eastAsia="zh-CN"/>
              </w:rPr>
              <w:t>目前中山市翠亨新区</w:t>
            </w:r>
            <w:r>
              <w:rPr>
                <w:rFonts w:hint="eastAsia" w:ascii="宋体" w:hAnsi="宋体" w:eastAsia="宋体" w:cs="宋体"/>
                <w:sz w:val="22"/>
                <w:szCs w:val="22"/>
              </w:rPr>
              <w:t>海湾二路与翠云路十字路口、翠锦路与长平路十字路口、翠锦路与翠云路十字路口</w:t>
            </w:r>
            <w:bookmarkEnd w:id="1"/>
            <w:r>
              <w:rPr>
                <w:rFonts w:hint="eastAsia" w:ascii="宋体" w:hAnsi="宋体" w:eastAsia="宋体" w:cs="宋体"/>
                <w:sz w:val="22"/>
                <w:szCs w:val="22"/>
              </w:rPr>
              <w:t>这3个路口暂未建设电子警察相关设备，存在交通安全隐患，需采取建设电子警察监控设备的针对性措施，以提高驾驶员守法自律性，减少上述路段的交通安全隐患。</w:t>
            </w:r>
          </w:p>
          <w:p w14:paraId="6238D760">
            <w:pPr>
              <w:pStyle w:val="4"/>
              <w:numPr>
                <w:ilvl w:val="1"/>
                <w:numId w:val="0"/>
              </w:numPr>
              <w:spacing w:before="0" w:after="0" w:line="360" w:lineRule="auto"/>
              <w:ind w:leftChars="0"/>
              <w:rPr>
                <w:rFonts w:hint="eastAsia" w:ascii="宋体" w:hAnsi="宋体" w:eastAsia="宋体" w:cs="宋体"/>
                <w:b/>
                <w:bCs w:val="0"/>
                <w:sz w:val="22"/>
                <w:szCs w:val="22"/>
              </w:rPr>
            </w:pPr>
            <w:r>
              <w:rPr>
                <w:rFonts w:hint="eastAsia" w:ascii="宋体" w:hAnsi="宋体" w:eastAsia="宋体" w:cs="宋体"/>
                <w:b/>
                <w:bCs w:val="0"/>
                <w:sz w:val="22"/>
                <w:szCs w:val="22"/>
                <w:lang w:val="en-US" w:eastAsia="zh-CN"/>
              </w:rPr>
              <w:t>（二）</w:t>
            </w:r>
            <w:r>
              <w:rPr>
                <w:rFonts w:hint="eastAsia" w:ascii="宋体" w:hAnsi="宋体" w:eastAsia="宋体" w:cs="宋体"/>
                <w:b/>
                <w:bCs w:val="0"/>
                <w:sz w:val="22"/>
                <w:szCs w:val="22"/>
              </w:rPr>
              <w:t>项目建设目标</w:t>
            </w:r>
            <w:bookmarkEnd w:id="0"/>
          </w:p>
          <w:p w14:paraId="3CB07B91">
            <w:pPr>
              <w:pStyle w:val="25"/>
              <w:keepNext w:val="0"/>
              <w:keepLines w:val="0"/>
              <w:pageBreakBefore w:val="0"/>
              <w:kinsoku/>
              <w:wordWrap/>
              <w:overflowPunct/>
              <w:topLinePunct w:val="0"/>
              <w:autoSpaceDE/>
              <w:autoSpaceDN/>
              <w:bidi w:val="0"/>
              <w:adjustRightInd/>
              <w:snapToGrid/>
              <w:spacing w:line="360" w:lineRule="auto"/>
              <w:ind w:firstLine="440" w:firstLineChars="200"/>
              <w:jc w:val="both"/>
              <w:textAlignment w:val="auto"/>
              <w:rPr>
                <w:rFonts w:hint="eastAsia" w:ascii="宋体" w:hAnsi="宋体" w:eastAsia="宋体" w:cs="宋体"/>
                <w:sz w:val="22"/>
                <w:szCs w:val="22"/>
                <w:lang w:eastAsia="zh-CN"/>
              </w:rPr>
            </w:pPr>
            <w:r>
              <w:rPr>
                <w:rFonts w:hint="eastAsia" w:ascii="宋体" w:hAnsi="宋体" w:eastAsia="宋体" w:cs="宋体"/>
                <w:sz w:val="22"/>
                <w:szCs w:val="22"/>
              </w:rPr>
              <w:t>本项目通过对海湾二路与翠云路十字路口、翠锦路与长平路十字路口、翠锦路与翠云路十字路口这3个交通路口建设电子警察，</w:t>
            </w:r>
            <w:r>
              <w:rPr>
                <w:rFonts w:hint="eastAsia" w:ascii="宋体" w:hAnsi="宋体" w:eastAsia="宋体" w:cs="宋体"/>
                <w:sz w:val="22"/>
                <w:szCs w:val="22"/>
                <w:lang w:val="en-US" w:eastAsia="zh-CN"/>
              </w:rPr>
              <w:t>以智能化</w:t>
            </w:r>
            <w:r>
              <w:rPr>
                <w:rFonts w:hint="eastAsia" w:ascii="宋体" w:hAnsi="宋体" w:eastAsia="宋体" w:cs="宋体"/>
                <w:sz w:val="22"/>
                <w:szCs w:val="22"/>
              </w:rPr>
              <w:t>手段提</w:t>
            </w:r>
            <w:r>
              <w:rPr>
                <w:rFonts w:hint="eastAsia" w:ascii="宋体" w:hAnsi="宋体" w:eastAsia="宋体" w:cs="宋体"/>
                <w:sz w:val="22"/>
                <w:szCs w:val="22"/>
                <w:lang w:val="en-US" w:eastAsia="zh-CN"/>
              </w:rPr>
              <w:t>升</w:t>
            </w:r>
            <w:r>
              <w:rPr>
                <w:rFonts w:hint="eastAsia" w:ascii="宋体" w:hAnsi="宋体" w:eastAsia="宋体" w:cs="宋体"/>
                <w:sz w:val="22"/>
                <w:szCs w:val="22"/>
              </w:rPr>
              <w:t>交通管理水平，</w:t>
            </w:r>
            <w:r>
              <w:rPr>
                <w:rFonts w:hint="eastAsia" w:ascii="宋体" w:hAnsi="宋体" w:eastAsia="宋体" w:cs="宋体"/>
                <w:sz w:val="22"/>
                <w:szCs w:val="22"/>
                <w:lang w:val="en-US" w:eastAsia="zh-CN"/>
              </w:rPr>
              <w:t>增强</w:t>
            </w:r>
            <w:r>
              <w:rPr>
                <w:rFonts w:hint="eastAsia" w:ascii="宋体" w:hAnsi="宋体" w:eastAsia="宋体" w:cs="宋体"/>
                <w:sz w:val="22"/>
                <w:szCs w:val="22"/>
              </w:rPr>
              <w:t>道路交通安全性、</w:t>
            </w:r>
            <w:r>
              <w:rPr>
                <w:rFonts w:hint="eastAsia" w:ascii="宋体" w:hAnsi="宋体" w:eastAsia="宋体" w:cs="宋体"/>
                <w:sz w:val="22"/>
                <w:szCs w:val="22"/>
                <w:lang w:val="en-US" w:eastAsia="zh-CN"/>
              </w:rPr>
              <w:t>通行</w:t>
            </w:r>
            <w:r>
              <w:rPr>
                <w:rFonts w:hint="eastAsia" w:ascii="宋体" w:hAnsi="宋体" w:eastAsia="宋体" w:cs="宋体"/>
                <w:sz w:val="22"/>
                <w:szCs w:val="22"/>
              </w:rPr>
              <w:t>效率和</w:t>
            </w:r>
            <w:r>
              <w:rPr>
                <w:rFonts w:hint="eastAsia" w:ascii="宋体" w:hAnsi="宋体" w:eastAsia="宋体" w:cs="宋体"/>
                <w:sz w:val="22"/>
                <w:szCs w:val="22"/>
                <w:lang w:val="en-US" w:eastAsia="zh-CN"/>
              </w:rPr>
              <w:t>执法能力</w:t>
            </w:r>
            <w:r>
              <w:rPr>
                <w:rFonts w:hint="eastAsia" w:ascii="宋体" w:hAnsi="宋体" w:eastAsia="宋体" w:cs="宋体"/>
                <w:sz w:val="22"/>
                <w:szCs w:val="22"/>
              </w:rPr>
              <w:t>。</w:t>
            </w:r>
            <w:r>
              <w:rPr>
                <w:rFonts w:hint="eastAsia" w:ascii="宋体" w:hAnsi="宋体" w:eastAsia="宋体" w:cs="宋体"/>
                <w:sz w:val="22"/>
                <w:szCs w:val="22"/>
                <w:lang w:val="en-US" w:eastAsia="zh-CN"/>
              </w:rPr>
              <w:t>具体目标包括：</w:t>
            </w:r>
            <w:r>
              <w:rPr>
                <w:rFonts w:hint="eastAsia" w:ascii="宋体" w:hAnsi="宋体" w:eastAsia="宋体" w:cs="宋体"/>
                <w:b w:val="0"/>
                <w:bCs w:val="0"/>
                <w:sz w:val="22"/>
                <w:szCs w:val="22"/>
              </w:rPr>
              <w:t>降低交通违法率</w:t>
            </w:r>
            <w:r>
              <w:rPr>
                <w:rFonts w:hint="eastAsia" w:ascii="宋体" w:hAnsi="宋体" w:eastAsia="宋体" w:cs="宋体"/>
                <w:b w:val="0"/>
                <w:bCs w:val="0"/>
                <w:sz w:val="22"/>
                <w:szCs w:val="22"/>
                <w:lang w:eastAsia="zh-CN"/>
              </w:rPr>
              <w:t>、</w:t>
            </w:r>
            <w:r>
              <w:rPr>
                <w:rFonts w:hint="eastAsia" w:ascii="宋体" w:hAnsi="宋体" w:eastAsia="宋体" w:cs="宋体"/>
                <w:sz w:val="22"/>
                <w:szCs w:val="22"/>
                <w:lang w:val="en-US" w:eastAsia="zh-CN"/>
              </w:rPr>
              <w:t>提升</w:t>
            </w:r>
            <w:r>
              <w:rPr>
                <w:rFonts w:hint="eastAsia" w:ascii="宋体" w:hAnsi="宋体" w:eastAsia="宋体" w:cs="宋体"/>
                <w:sz w:val="22"/>
                <w:szCs w:val="22"/>
              </w:rPr>
              <w:t>交通安全</w:t>
            </w:r>
            <w:r>
              <w:rPr>
                <w:rFonts w:hint="eastAsia" w:ascii="宋体" w:hAnsi="宋体" w:eastAsia="宋体" w:cs="宋体"/>
                <w:sz w:val="22"/>
                <w:szCs w:val="22"/>
                <w:lang w:eastAsia="zh-CN"/>
              </w:rPr>
              <w:t>、</w:t>
            </w:r>
            <w:r>
              <w:rPr>
                <w:rFonts w:hint="eastAsia" w:ascii="宋体" w:hAnsi="宋体" w:eastAsia="宋体" w:cs="宋体"/>
                <w:sz w:val="22"/>
                <w:szCs w:val="22"/>
              </w:rPr>
              <w:t>减少交通拥堵</w:t>
            </w:r>
            <w:r>
              <w:rPr>
                <w:rFonts w:hint="eastAsia" w:ascii="宋体" w:hAnsi="宋体" w:eastAsia="宋体" w:cs="宋体"/>
                <w:sz w:val="22"/>
                <w:szCs w:val="22"/>
                <w:lang w:eastAsia="zh-CN"/>
              </w:rPr>
              <w:t>、</w:t>
            </w:r>
            <w:r>
              <w:rPr>
                <w:rFonts w:hint="eastAsia" w:ascii="宋体" w:hAnsi="宋体" w:eastAsia="宋体" w:cs="宋体"/>
                <w:sz w:val="22"/>
                <w:szCs w:val="22"/>
              </w:rPr>
              <w:t>提高执法效率</w:t>
            </w:r>
            <w:r>
              <w:rPr>
                <w:rFonts w:hint="eastAsia" w:ascii="宋体" w:hAnsi="宋体" w:eastAsia="宋体" w:cs="宋体"/>
                <w:sz w:val="22"/>
                <w:szCs w:val="22"/>
                <w:lang w:eastAsia="zh-CN"/>
              </w:rPr>
              <w:t>、</w:t>
            </w:r>
            <w:r>
              <w:rPr>
                <w:rFonts w:hint="eastAsia" w:ascii="宋体" w:hAnsi="宋体" w:eastAsia="宋体" w:cs="宋体"/>
                <w:sz w:val="22"/>
                <w:szCs w:val="22"/>
              </w:rPr>
              <w:t>提高应急指挥水平</w:t>
            </w: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增强</w:t>
            </w:r>
            <w:r>
              <w:rPr>
                <w:rFonts w:hint="eastAsia" w:ascii="宋体" w:hAnsi="宋体" w:eastAsia="宋体" w:cs="宋体"/>
                <w:sz w:val="22"/>
                <w:szCs w:val="22"/>
              </w:rPr>
              <w:t>业务实战能力</w:t>
            </w:r>
            <w:r>
              <w:rPr>
                <w:rFonts w:hint="eastAsia" w:ascii="宋体" w:hAnsi="宋体" w:eastAsia="宋体" w:cs="宋体"/>
                <w:sz w:val="22"/>
                <w:szCs w:val="22"/>
                <w:lang w:eastAsia="zh-CN"/>
              </w:rPr>
              <w:t>、</w:t>
            </w:r>
            <w:r>
              <w:rPr>
                <w:rFonts w:hint="eastAsia" w:ascii="宋体" w:hAnsi="宋体" w:eastAsia="宋体" w:cs="宋体"/>
                <w:sz w:val="22"/>
                <w:szCs w:val="22"/>
              </w:rPr>
              <w:t>打破信息孤岛现象</w:t>
            </w:r>
            <w:r>
              <w:rPr>
                <w:rFonts w:hint="eastAsia" w:ascii="宋体" w:hAnsi="宋体" w:eastAsia="宋体" w:cs="宋体"/>
                <w:sz w:val="22"/>
                <w:szCs w:val="22"/>
                <w:lang w:eastAsia="zh-CN"/>
              </w:rPr>
              <w:t>。</w:t>
            </w:r>
          </w:p>
          <w:p w14:paraId="55863549">
            <w:pPr>
              <w:pStyle w:val="4"/>
              <w:numPr>
                <w:ilvl w:val="1"/>
                <w:numId w:val="0"/>
              </w:numPr>
              <w:spacing w:before="0" w:after="0" w:line="360" w:lineRule="auto"/>
              <w:ind w:leftChars="0"/>
              <w:rPr>
                <w:rFonts w:hint="eastAsia" w:ascii="宋体" w:hAnsi="宋体" w:eastAsia="宋体" w:cs="宋体"/>
                <w:b/>
                <w:bCs w:val="0"/>
                <w:sz w:val="22"/>
                <w:szCs w:val="22"/>
              </w:rPr>
            </w:pPr>
            <w:bookmarkStart w:id="2" w:name="_Toc173501730"/>
            <w:r>
              <w:rPr>
                <w:rFonts w:hint="eastAsia" w:ascii="宋体" w:hAnsi="宋体" w:eastAsia="宋体" w:cs="宋体"/>
                <w:b/>
                <w:bCs w:val="0"/>
                <w:sz w:val="22"/>
                <w:szCs w:val="22"/>
                <w:lang w:val="en-US" w:eastAsia="zh-CN"/>
              </w:rPr>
              <w:t>（三）</w:t>
            </w:r>
            <w:r>
              <w:rPr>
                <w:rFonts w:hint="eastAsia" w:ascii="宋体" w:hAnsi="宋体" w:eastAsia="宋体" w:cs="宋体"/>
                <w:b/>
                <w:bCs w:val="0"/>
                <w:sz w:val="22"/>
                <w:szCs w:val="22"/>
              </w:rPr>
              <w:t>项目建设规模</w:t>
            </w:r>
            <w:bookmarkEnd w:id="2"/>
          </w:p>
          <w:p w14:paraId="291C5739">
            <w:pPr>
              <w:pStyle w:val="14"/>
              <w:spacing w:line="360" w:lineRule="auto"/>
              <w:ind w:firstLine="480"/>
              <w:jc w:val="left"/>
              <w:rPr>
                <w:rFonts w:hint="eastAsia" w:ascii="宋体" w:hAnsi="宋体" w:eastAsia="宋体" w:cs="宋体"/>
                <w:color w:val="000000" w:themeColor="text1"/>
                <w:sz w:val="22"/>
                <w:szCs w:val="22"/>
                <w:lang w:eastAsia="zh-CN"/>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本项目主要</w:t>
            </w:r>
            <w:r>
              <w:rPr>
                <w:rFonts w:hint="eastAsia" w:ascii="宋体" w:hAnsi="宋体" w:eastAsia="宋体" w:cs="宋体"/>
                <w:color w:val="000000" w:themeColor="text1"/>
                <w:sz w:val="22"/>
                <w:szCs w:val="22"/>
                <w:lang w:val="en-US" w:eastAsia="zh-CN"/>
                <w14:textFill>
                  <w14:solidFill>
                    <w14:schemeClr w14:val="tx1"/>
                  </w14:solidFill>
                </w14:textFill>
              </w:rPr>
              <w:t>内容</w:t>
            </w:r>
            <w:r>
              <w:rPr>
                <w:rFonts w:hint="eastAsia" w:ascii="宋体" w:hAnsi="宋体" w:eastAsia="宋体" w:cs="宋体"/>
                <w:color w:val="000000" w:themeColor="text1"/>
                <w:sz w:val="22"/>
                <w:szCs w:val="22"/>
                <w14:textFill>
                  <w14:solidFill>
                    <w14:schemeClr w14:val="tx1"/>
                  </w14:solidFill>
                </w14:textFill>
              </w:rPr>
              <w:t>为前端电子警察设备的搭建及后端服务器的升级扩容，完成前端设备通过视频专线接入交警集成扩容平台进行数据对接。</w:t>
            </w:r>
            <w:r>
              <w:rPr>
                <w:rFonts w:hint="eastAsia" w:ascii="宋体" w:hAnsi="宋体" w:eastAsia="宋体" w:cs="宋体"/>
                <w:color w:val="000000" w:themeColor="text1"/>
                <w:sz w:val="22"/>
                <w:szCs w:val="22"/>
                <w:lang w:val="en-US" w:eastAsia="zh-CN"/>
                <w14:textFill>
                  <w14:solidFill>
                    <w14:schemeClr w14:val="tx1"/>
                  </w14:solidFill>
                </w14:textFill>
              </w:rPr>
              <w:t>成交供应商</w:t>
            </w:r>
            <w:r>
              <w:rPr>
                <w:rFonts w:hint="eastAsia" w:ascii="宋体" w:hAnsi="宋体" w:eastAsia="宋体" w:cs="宋体"/>
                <w:color w:val="000000" w:themeColor="text1"/>
                <w:sz w:val="22"/>
                <w:szCs w:val="22"/>
                <w14:textFill>
                  <w14:solidFill>
                    <w14:schemeClr w14:val="tx1"/>
                  </w14:solidFill>
                </w14:textFill>
              </w:rPr>
              <w:t>需</w:t>
            </w:r>
            <w:r>
              <w:rPr>
                <w:rFonts w:hint="eastAsia" w:ascii="宋体" w:hAnsi="宋体" w:eastAsia="宋体" w:cs="宋体"/>
                <w:color w:val="000000" w:themeColor="text1"/>
                <w:sz w:val="22"/>
                <w:szCs w:val="22"/>
                <w:lang w:val="en-US" w:eastAsia="zh-CN"/>
                <w14:textFill>
                  <w14:solidFill>
                    <w14:schemeClr w14:val="tx1"/>
                  </w14:solidFill>
                </w14:textFill>
              </w:rPr>
              <w:t>为采购人</w:t>
            </w:r>
            <w:r>
              <w:rPr>
                <w:rFonts w:hint="eastAsia" w:ascii="宋体" w:hAnsi="宋体" w:eastAsia="宋体" w:cs="宋体"/>
                <w:color w:val="000000" w:themeColor="text1"/>
                <w:sz w:val="22"/>
                <w:szCs w:val="22"/>
                <w14:textFill>
                  <w14:solidFill>
                    <w14:schemeClr w14:val="tx1"/>
                  </w14:solidFill>
                </w14:textFill>
              </w:rPr>
              <w:t>提供“交钥匙工程+管理服务”</w:t>
            </w:r>
            <w:r>
              <w:rPr>
                <w:rFonts w:hint="eastAsia" w:ascii="宋体" w:hAnsi="宋体" w:eastAsia="宋体" w:cs="宋体"/>
                <w:color w:val="000000" w:themeColor="text1"/>
                <w:sz w:val="22"/>
                <w:szCs w:val="22"/>
                <w:lang w:eastAsia="zh-CN"/>
                <w14:textFill>
                  <w14:solidFill>
                    <w14:schemeClr w14:val="tx1"/>
                  </w14:solidFill>
                </w14:textFill>
              </w:rPr>
              <w:t>，</w:t>
            </w:r>
            <w:r>
              <w:rPr>
                <w:rFonts w:hint="eastAsia" w:ascii="宋体" w:hAnsi="宋体" w:eastAsia="宋体" w:cs="宋体"/>
                <w:color w:val="000000" w:themeColor="text1"/>
                <w:sz w:val="22"/>
                <w:szCs w:val="22"/>
                <w14:textFill>
                  <w14:solidFill>
                    <w14:schemeClr w14:val="tx1"/>
                  </w14:solidFill>
                </w14:textFill>
              </w:rPr>
              <w:t>负责</w:t>
            </w:r>
            <w:r>
              <w:rPr>
                <w:rFonts w:hint="eastAsia" w:ascii="宋体" w:hAnsi="宋体" w:eastAsia="宋体" w:cs="宋体"/>
                <w:color w:val="000000" w:themeColor="text1"/>
                <w:sz w:val="22"/>
                <w:szCs w:val="22"/>
                <w:lang w:val="en-US" w:eastAsia="zh-CN"/>
                <w14:textFill>
                  <w14:solidFill>
                    <w14:schemeClr w14:val="tx1"/>
                  </w14:solidFill>
                </w14:textFill>
              </w:rPr>
              <w:t>合同履约</w:t>
            </w:r>
            <w:r>
              <w:rPr>
                <w:rFonts w:hint="eastAsia" w:ascii="宋体" w:hAnsi="宋体" w:eastAsia="宋体" w:cs="宋体"/>
                <w:color w:val="000000" w:themeColor="text1"/>
                <w:sz w:val="22"/>
                <w:szCs w:val="22"/>
                <w14:textFill>
                  <w14:solidFill>
                    <w14:schemeClr w14:val="tx1"/>
                  </w14:solidFill>
                </w14:textFill>
              </w:rPr>
              <w:t>期内的巡检、维护等一体化工作，</w:t>
            </w:r>
            <w:r>
              <w:rPr>
                <w:rFonts w:hint="eastAsia" w:ascii="宋体" w:hAnsi="宋体" w:eastAsia="宋体" w:cs="宋体"/>
                <w:color w:val="000000" w:themeColor="text1"/>
                <w:sz w:val="22"/>
                <w:szCs w:val="22"/>
                <w:lang w:val="en-US" w:eastAsia="zh-CN"/>
                <w14:textFill>
                  <w14:solidFill>
                    <w14:schemeClr w14:val="tx1"/>
                  </w14:solidFill>
                </w14:textFill>
              </w:rPr>
              <w:t>并按以下要求在</w:t>
            </w:r>
            <w:r>
              <w:rPr>
                <w:rFonts w:hint="eastAsia" w:ascii="宋体" w:hAnsi="宋体" w:eastAsia="宋体" w:cs="宋体"/>
                <w:color w:val="000000" w:themeColor="text1"/>
                <w:sz w:val="22"/>
                <w:szCs w:val="22"/>
                <w14:textFill>
                  <w14:solidFill>
                    <w14:schemeClr w14:val="tx1"/>
                  </w14:solidFill>
                </w14:textFill>
              </w:rPr>
              <w:t>3个路口点位建设电子警察监控设备</w:t>
            </w:r>
            <w:r>
              <w:rPr>
                <w:rFonts w:hint="eastAsia" w:ascii="宋体" w:hAnsi="宋体" w:eastAsia="宋体" w:cs="宋体"/>
                <w:color w:val="000000" w:themeColor="text1"/>
                <w:sz w:val="22"/>
                <w:szCs w:val="22"/>
                <w:lang w:eastAsia="zh-CN"/>
                <w14:textFill>
                  <w14:solidFill>
                    <w14:schemeClr w14:val="tx1"/>
                  </w14:solidFill>
                </w14:textFill>
              </w:rPr>
              <w:t>：</w:t>
            </w:r>
          </w:p>
          <w:tbl>
            <w:tblPr>
              <w:tblStyle w:val="18"/>
              <w:tblW w:w="7550" w:type="dxa"/>
              <w:jc w:val="center"/>
              <w:tblLayout w:type="fixed"/>
              <w:tblCellMar>
                <w:top w:w="0" w:type="dxa"/>
                <w:left w:w="108" w:type="dxa"/>
                <w:bottom w:w="0" w:type="dxa"/>
                <w:right w:w="108" w:type="dxa"/>
              </w:tblCellMar>
            </w:tblPr>
            <w:tblGrid>
              <w:gridCol w:w="650"/>
              <w:gridCol w:w="1106"/>
              <w:gridCol w:w="675"/>
              <w:gridCol w:w="581"/>
              <w:gridCol w:w="2843"/>
              <w:gridCol w:w="1695"/>
            </w:tblGrid>
            <w:tr w14:paraId="4670796C">
              <w:tblPrEx>
                <w:tblCellMar>
                  <w:top w:w="0" w:type="dxa"/>
                  <w:left w:w="108" w:type="dxa"/>
                  <w:bottom w:w="0" w:type="dxa"/>
                  <w:right w:w="108" w:type="dxa"/>
                </w:tblCellMar>
              </w:tblPrEx>
              <w:trPr>
                <w:trHeight w:val="855" w:hRule="atLeast"/>
                <w:tblHeader/>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14:paraId="05715EF5">
                  <w:pPr>
                    <w:widowControl/>
                    <w:spacing w:line="360" w:lineRule="auto"/>
                    <w:ind w:firstLine="0" w:firstLineChars="0"/>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序号</w:t>
                  </w:r>
                </w:p>
              </w:tc>
              <w:tc>
                <w:tcPr>
                  <w:tcW w:w="732" w:type="pct"/>
                  <w:tcBorders>
                    <w:top w:val="single" w:color="auto" w:sz="4" w:space="0"/>
                    <w:left w:val="nil"/>
                    <w:bottom w:val="single" w:color="auto" w:sz="4" w:space="0"/>
                    <w:right w:val="single" w:color="auto" w:sz="4" w:space="0"/>
                  </w:tcBorders>
                  <w:shd w:val="clear" w:color="auto" w:fill="auto"/>
                  <w:vAlign w:val="center"/>
                </w:tcPr>
                <w:p w14:paraId="04E13B02">
                  <w:pPr>
                    <w:widowControl/>
                    <w:spacing w:line="360" w:lineRule="auto"/>
                    <w:ind w:firstLine="0" w:firstLineChars="0"/>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路口名称</w:t>
                  </w:r>
                </w:p>
              </w:tc>
              <w:tc>
                <w:tcPr>
                  <w:tcW w:w="447" w:type="pct"/>
                  <w:tcBorders>
                    <w:top w:val="single" w:color="auto" w:sz="4" w:space="0"/>
                    <w:left w:val="nil"/>
                    <w:bottom w:val="single" w:color="auto" w:sz="4" w:space="0"/>
                    <w:right w:val="single" w:color="auto" w:sz="4" w:space="0"/>
                  </w:tcBorders>
                  <w:shd w:val="clear" w:color="auto" w:fill="auto"/>
                  <w:vAlign w:val="center"/>
                </w:tcPr>
                <w:p w14:paraId="4611FF66">
                  <w:pPr>
                    <w:widowControl/>
                    <w:spacing w:line="360" w:lineRule="auto"/>
                    <w:ind w:firstLine="0" w:firstLineChars="0"/>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路口方向数</w:t>
                  </w:r>
                </w:p>
              </w:tc>
              <w:tc>
                <w:tcPr>
                  <w:tcW w:w="384" w:type="pct"/>
                  <w:tcBorders>
                    <w:top w:val="single" w:color="auto" w:sz="4" w:space="0"/>
                    <w:left w:val="nil"/>
                    <w:bottom w:val="single" w:color="auto" w:sz="4" w:space="0"/>
                    <w:right w:val="single" w:color="auto" w:sz="4" w:space="0"/>
                  </w:tcBorders>
                  <w:shd w:val="clear" w:color="auto" w:fill="auto"/>
                  <w:vAlign w:val="center"/>
                </w:tcPr>
                <w:p w14:paraId="0CB5B008">
                  <w:pPr>
                    <w:widowControl/>
                    <w:spacing w:line="360" w:lineRule="auto"/>
                    <w:ind w:firstLine="0" w:firstLineChars="0"/>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车道数</w:t>
                  </w:r>
                </w:p>
              </w:tc>
              <w:tc>
                <w:tcPr>
                  <w:tcW w:w="1882" w:type="pct"/>
                  <w:tcBorders>
                    <w:top w:val="single" w:color="auto" w:sz="4" w:space="0"/>
                    <w:left w:val="nil"/>
                    <w:bottom w:val="single" w:color="auto" w:sz="4" w:space="0"/>
                    <w:right w:val="single" w:color="auto" w:sz="4" w:space="0"/>
                  </w:tcBorders>
                  <w:shd w:val="clear" w:color="auto" w:fill="auto"/>
                  <w:vAlign w:val="center"/>
                </w:tcPr>
                <w:p w14:paraId="647A7273">
                  <w:pPr>
                    <w:widowControl/>
                    <w:spacing w:line="360" w:lineRule="auto"/>
                    <w:ind w:firstLine="0" w:firstLineChars="0"/>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设备</w:t>
                  </w:r>
                </w:p>
              </w:tc>
              <w:tc>
                <w:tcPr>
                  <w:tcW w:w="1122" w:type="pct"/>
                  <w:tcBorders>
                    <w:top w:val="single" w:color="auto" w:sz="4" w:space="0"/>
                    <w:left w:val="nil"/>
                    <w:bottom w:val="single" w:color="auto" w:sz="4" w:space="0"/>
                    <w:right w:val="single" w:color="auto" w:sz="4" w:space="0"/>
                  </w:tcBorders>
                  <w:shd w:val="clear" w:color="auto" w:fill="auto"/>
                  <w:vAlign w:val="center"/>
                </w:tcPr>
                <w:p w14:paraId="3B535A41">
                  <w:pPr>
                    <w:widowControl/>
                    <w:spacing w:line="360" w:lineRule="auto"/>
                    <w:ind w:firstLine="0" w:firstLineChars="0"/>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杆体</w:t>
                  </w:r>
                </w:p>
              </w:tc>
            </w:tr>
            <w:tr w14:paraId="7C417F52">
              <w:tblPrEx>
                <w:tblCellMar>
                  <w:top w:w="0" w:type="dxa"/>
                  <w:left w:w="108" w:type="dxa"/>
                  <w:bottom w:w="0" w:type="dxa"/>
                  <w:right w:w="108" w:type="dxa"/>
                </w:tblCellMar>
              </w:tblPrEx>
              <w:trPr>
                <w:trHeight w:val="142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14:paraId="4F609800">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732" w:type="pct"/>
                  <w:tcBorders>
                    <w:top w:val="nil"/>
                    <w:left w:val="nil"/>
                    <w:bottom w:val="single" w:color="auto" w:sz="4" w:space="0"/>
                    <w:right w:val="single" w:color="auto" w:sz="4" w:space="0"/>
                  </w:tcBorders>
                  <w:shd w:val="clear" w:color="auto" w:fill="auto"/>
                  <w:vAlign w:val="center"/>
                </w:tcPr>
                <w:p w14:paraId="4D5A951A">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海湾二路与翠云路十字路口</w:t>
                  </w:r>
                </w:p>
              </w:tc>
              <w:tc>
                <w:tcPr>
                  <w:tcW w:w="447" w:type="pct"/>
                  <w:tcBorders>
                    <w:top w:val="nil"/>
                    <w:left w:val="nil"/>
                    <w:bottom w:val="single" w:color="auto" w:sz="4" w:space="0"/>
                    <w:right w:val="single" w:color="auto" w:sz="4" w:space="0"/>
                  </w:tcBorders>
                  <w:shd w:val="clear" w:color="auto" w:fill="auto"/>
                  <w:vAlign w:val="center"/>
                </w:tcPr>
                <w:p w14:paraId="582B91D6">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384" w:type="pct"/>
                  <w:tcBorders>
                    <w:top w:val="nil"/>
                    <w:left w:val="nil"/>
                    <w:bottom w:val="single" w:color="auto" w:sz="4" w:space="0"/>
                    <w:right w:val="single" w:color="auto" w:sz="4" w:space="0"/>
                  </w:tcBorders>
                  <w:shd w:val="clear" w:color="auto" w:fill="auto"/>
                  <w:vAlign w:val="center"/>
                </w:tcPr>
                <w:p w14:paraId="6DD6FE3E">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w:t>
                  </w:r>
                </w:p>
              </w:tc>
              <w:tc>
                <w:tcPr>
                  <w:tcW w:w="1882" w:type="pct"/>
                  <w:tcBorders>
                    <w:top w:val="nil"/>
                    <w:left w:val="nil"/>
                    <w:bottom w:val="single" w:color="auto" w:sz="4" w:space="0"/>
                    <w:right w:val="single" w:color="auto" w:sz="4" w:space="0"/>
                  </w:tcBorders>
                  <w:shd w:val="clear" w:color="auto" w:fill="auto"/>
                  <w:vAlign w:val="center"/>
                </w:tcPr>
                <w:p w14:paraId="42EA7E27">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8台电子警察摄像机，9台卡口摄像机，17个电警频闪灯，17个卡口补光灯，4台枪球一体机，1台终端管理单元，1台汇聚交换机，4台接入交换机</w:t>
                  </w:r>
                  <w:r>
                    <w:rPr>
                      <w:rFonts w:hint="eastAsia" w:ascii="宋体" w:hAnsi="宋体" w:eastAsia="宋体" w:cs="宋体"/>
                      <w:color w:val="000000"/>
                      <w:kern w:val="0"/>
                      <w:sz w:val="22"/>
                      <w:szCs w:val="22"/>
                      <w:lang w:eastAsia="zh-CN"/>
                    </w:rPr>
                    <w:t>。</w:t>
                  </w:r>
                </w:p>
              </w:tc>
              <w:tc>
                <w:tcPr>
                  <w:tcW w:w="1122" w:type="pct"/>
                  <w:tcBorders>
                    <w:top w:val="nil"/>
                    <w:left w:val="nil"/>
                    <w:bottom w:val="single" w:color="auto" w:sz="4" w:space="0"/>
                    <w:right w:val="single" w:color="auto" w:sz="4" w:space="0"/>
                  </w:tcBorders>
                  <w:shd w:val="clear" w:color="auto" w:fill="auto"/>
                  <w:vAlign w:val="center"/>
                </w:tcPr>
                <w:p w14:paraId="6E1C002A">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4根H=7.5米,L=13米监控杆</w:t>
                  </w:r>
                  <w:r>
                    <w:rPr>
                      <w:rFonts w:hint="eastAsia" w:ascii="宋体" w:hAnsi="宋体" w:eastAsia="宋体" w:cs="宋体"/>
                      <w:color w:val="000000"/>
                      <w:kern w:val="0"/>
                      <w:sz w:val="22"/>
                      <w:szCs w:val="22"/>
                      <w:lang w:eastAsia="zh-CN"/>
                    </w:rPr>
                    <w:t>。</w:t>
                  </w:r>
                </w:p>
              </w:tc>
            </w:tr>
            <w:tr w14:paraId="2316AAF0">
              <w:tblPrEx>
                <w:tblCellMar>
                  <w:top w:w="0" w:type="dxa"/>
                  <w:left w:w="108" w:type="dxa"/>
                  <w:bottom w:w="0" w:type="dxa"/>
                  <w:right w:w="108" w:type="dxa"/>
                </w:tblCellMar>
              </w:tblPrEx>
              <w:trPr>
                <w:trHeight w:val="142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14:paraId="75C785F8">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732" w:type="pct"/>
                  <w:tcBorders>
                    <w:top w:val="nil"/>
                    <w:left w:val="nil"/>
                    <w:bottom w:val="single" w:color="auto" w:sz="4" w:space="0"/>
                    <w:right w:val="single" w:color="auto" w:sz="4" w:space="0"/>
                  </w:tcBorders>
                  <w:shd w:val="clear" w:color="auto" w:fill="auto"/>
                  <w:vAlign w:val="center"/>
                </w:tcPr>
                <w:p w14:paraId="774BE4BA">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翠锦路与长平路十字路口</w:t>
                  </w:r>
                </w:p>
              </w:tc>
              <w:tc>
                <w:tcPr>
                  <w:tcW w:w="447" w:type="pct"/>
                  <w:tcBorders>
                    <w:top w:val="nil"/>
                    <w:left w:val="nil"/>
                    <w:bottom w:val="single" w:color="auto" w:sz="4" w:space="0"/>
                    <w:right w:val="single" w:color="auto" w:sz="4" w:space="0"/>
                  </w:tcBorders>
                  <w:shd w:val="clear" w:color="auto" w:fill="auto"/>
                  <w:vAlign w:val="center"/>
                </w:tcPr>
                <w:p w14:paraId="219DBFD1">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384" w:type="pct"/>
                  <w:tcBorders>
                    <w:top w:val="nil"/>
                    <w:left w:val="nil"/>
                    <w:bottom w:val="single" w:color="auto" w:sz="4" w:space="0"/>
                    <w:right w:val="single" w:color="auto" w:sz="4" w:space="0"/>
                  </w:tcBorders>
                  <w:shd w:val="clear" w:color="auto" w:fill="auto"/>
                  <w:vAlign w:val="center"/>
                </w:tcPr>
                <w:p w14:paraId="30E3B9D9">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w:t>
                  </w:r>
                </w:p>
              </w:tc>
              <w:tc>
                <w:tcPr>
                  <w:tcW w:w="1882" w:type="pct"/>
                  <w:tcBorders>
                    <w:top w:val="nil"/>
                    <w:left w:val="nil"/>
                    <w:bottom w:val="single" w:color="auto" w:sz="4" w:space="0"/>
                    <w:right w:val="single" w:color="auto" w:sz="4" w:space="0"/>
                  </w:tcBorders>
                  <w:shd w:val="clear" w:color="auto" w:fill="auto"/>
                  <w:vAlign w:val="center"/>
                </w:tcPr>
                <w:p w14:paraId="5CED0EBD">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6台电子警察摄像机，7台卡口摄像机，13个电警频闪灯，14个卡口补光灯，4台枪球一体机，1台终端管理单元，1台汇聚交换机，4台接入交换机</w:t>
                  </w:r>
                  <w:r>
                    <w:rPr>
                      <w:rFonts w:hint="eastAsia" w:ascii="宋体" w:hAnsi="宋体" w:eastAsia="宋体" w:cs="宋体"/>
                      <w:color w:val="000000"/>
                      <w:kern w:val="0"/>
                      <w:sz w:val="22"/>
                      <w:szCs w:val="22"/>
                      <w:lang w:eastAsia="zh-CN"/>
                    </w:rPr>
                    <w:t>。</w:t>
                  </w:r>
                </w:p>
              </w:tc>
              <w:tc>
                <w:tcPr>
                  <w:tcW w:w="1122" w:type="pct"/>
                  <w:tcBorders>
                    <w:top w:val="nil"/>
                    <w:left w:val="nil"/>
                    <w:bottom w:val="single" w:color="auto" w:sz="4" w:space="0"/>
                    <w:right w:val="single" w:color="auto" w:sz="4" w:space="0"/>
                  </w:tcBorders>
                  <w:shd w:val="clear" w:color="auto" w:fill="auto"/>
                  <w:vAlign w:val="center"/>
                </w:tcPr>
                <w:p w14:paraId="6673AE72">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1根H=7.5米,L=8米监控杆；3根H=7.5米,L=13米监控杆</w:t>
                  </w:r>
                  <w:r>
                    <w:rPr>
                      <w:rFonts w:hint="eastAsia" w:ascii="宋体" w:hAnsi="宋体" w:eastAsia="宋体" w:cs="宋体"/>
                      <w:color w:val="000000"/>
                      <w:kern w:val="0"/>
                      <w:sz w:val="22"/>
                      <w:szCs w:val="22"/>
                      <w:lang w:eastAsia="zh-CN"/>
                    </w:rPr>
                    <w:t>。</w:t>
                  </w:r>
                </w:p>
              </w:tc>
            </w:tr>
            <w:tr w14:paraId="405261C1">
              <w:tblPrEx>
                <w:tblCellMar>
                  <w:top w:w="0" w:type="dxa"/>
                  <w:left w:w="108" w:type="dxa"/>
                  <w:bottom w:w="0" w:type="dxa"/>
                  <w:right w:w="108" w:type="dxa"/>
                </w:tblCellMar>
              </w:tblPrEx>
              <w:trPr>
                <w:trHeight w:val="142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14:paraId="6B707370">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732" w:type="pct"/>
                  <w:tcBorders>
                    <w:top w:val="nil"/>
                    <w:left w:val="nil"/>
                    <w:bottom w:val="single" w:color="auto" w:sz="4" w:space="0"/>
                    <w:right w:val="single" w:color="auto" w:sz="4" w:space="0"/>
                  </w:tcBorders>
                  <w:shd w:val="clear" w:color="auto" w:fill="auto"/>
                  <w:vAlign w:val="center"/>
                </w:tcPr>
                <w:p w14:paraId="6B6CE6BD">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翠锦路与翠云路十字路口</w:t>
                  </w:r>
                </w:p>
              </w:tc>
              <w:tc>
                <w:tcPr>
                  <w:tcW w:w="447" w:type="pct"/>
                  <w:tcBorders>
                    <w:top w:val="nil"/>
                    <w:left w:val="nil"/>
                    <w:bottom w:val="single" w:color="auto" w:sz="4" w:space="0"/>
                    <w:right w:val="single" w:color="auto" w:sz="4" w:space="0"/>
                  </w:tcBorders>
                  <w:shd w:val="clear" w:color="auto" w:fill="auto"/>
                  <w:vAlign w:val="center"/>
                </w:tcPr>
                <w:p w14:paraId="33AA2824">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384" w:type="pct"/>
                  <w:tcBorders>
                    <w:top w:val="nil"/>
                    <w:left w:val="nil"/>
                    <w:bottom w:val="single" w:color="auto" w:sz="4" w:space="0"/>
                    <w:right w:val="single" w:color="auto" w:sz="4" w:space="0"/>
                  </w:tcBorders>
                  <w:shd w:val="clear" w:color="auto" w:fill="auto"/>
                  <w:vAlign w:val="center"/>
                </w:tcPr>
                <w:p w14:paraId="6F4BE33B">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w:t>
                  </w:r>
                </w:p>
              </w:tc>
              <w:tc>
                <w:tcPr>
                  <w:tcW w:w="1882" w:type="pct"/>
                  <w:tcBorders>
                    <w:top w:val="nil"/>
                    <w:left w:val="nil"/>
                    <w:bottom w:val="single" w:color="auto" w:sz="4" w:space="0"/>
                    <w:right w:val="single" w:color="auto" w:sz="4" w:space="0"/>
                  </w:tcBorders>
                  <w:shd w:val="clear" w:color="auto" w:fill="auto"/>
                  <w:vAlign w:val="center"/>
                </w:tcPr>
                <w:p w14:paraId="19C759F7">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6台电子警察摄像机，9台卡口摄像机，14个电警频闪灯，14个卡口补光灯，4台枪球一体机，1台终端管理单元，1台汇聚交换机，4台接入交换机</w:t>
                  </w:r>
                  <w:r>
                    <w:rPr>
                      <w:rFonts w:hint="eastAsia" w:ascii="宋体" w:hAnsi="宋体" w:eastAsia="宋体" w:cs="宋体"/>
                      <w:color w:val="000000"/>
                      <w:kern w:val="0"/>
                      <w:sz w:val="22"/>
                      <w:szCs w:val="22"/>
                      <w:lang w:eastAsia="zh-CN"/>
                    </w:rPr>
                    <w:t>。</w:t>
                  </w:r>
                </w:p>
              </w:tc>
              <w:tc>
                <w:tcPr>
                  <w:tcW w:w="1122" w:type="pct"/>
                  <w:tcBorders>
                    <w:top w:val="nil"/>
                    <w:left w:val="nil"/>
                    <w:bottom w:val="single" w:color="auto" w:sz="4" w:space="0"/>
                    <w:right w:val="single" w:color="auto" w:sz="4" w:space="0"/>
                  </w:tcBorders>
                  <w:shd w:val="clear" w:color="auto" w:fill="auto"/>
                  <w:vAlign w:val="center"/>
                </w:tcPr>
                <w:p w14:paraId="15270C0F">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4根H=7.5米,L=13米监控杆</w:t>
                  </w:r>
                  <w:r>
                    <w:rPr>
                      <w:rFonts w:hint="eastAsia" w:ascii="宋体" w:hAnsi="宋体" w:eastAsia="宋体" w:cs="宋体"/>
                      <w:color w:val="000000"/>
                      <w:kern w:val="0"/>
                      <w:sz w:val="22"/>
                      <w:szCs w:val="22"/>
                      <w:lang w:eastAsia="zh-CN"/>
                    </w:rPr>
                    <w:t>。</w:t>
                  </w:r>
                </w:p>
              </w:tc>
            </w:tr>
          </w:tbl>
          <w:p w14:paraId="300BC75C">
            <w:pPr>
              <w:pStyle w:val="4"/>
              <w:numPr>
                <w:ilvl w:val="1"/>
                <w:numId w:val="0"/>
              </w:numPr>
              <w:spacing w:before="0" w:after="0" w:line="360" w:lineRule="auto"/>
              <w:rPr>
                <w:rFonts w:hint="eastAsia" w:ascii="宋体" w:hAnsi="宋体" w:eastAsia="宋体" w:cs="宋体"/>
                <w:b/>
                <w:bCs w:val="0"/>
                <w:sz w:val="22"/>
                <w:szCs w:val="22"/>
              </w:rPr>
            </w:pPr>
            <w:r>
              <w:rPr>
                <w:rFonts w:hint="eastAsia" w:ascii="宋体" w:hAnsi="宋体" w:eastAsia="宋体" w:cs="宋体"/>
                <w:b/>
                <w:bCs w:val="0"/>
                <w:sz w:val="22"/>
                <w:szCs w:val="22"/>
                <w:lang w:val="en-US" w:eastAsia="zh-CN"/>
              </w:rPr>
              <w:t>（四）</w:t>
            </w:r>
            <w:bookmarkStart w:id="3" w:name="_Toc173501731"/>
            <w:r>
              <w:rPr>
                <w:rFonts w:hint="eastAsia" w:ascii="宋体" w:hAnsi="宋体" w:eastAsia="宋体" w:cs="宋体"/>
                <w:b/>
                <w:bCs w:val="0"/>
                <w:sz w:val="22"/>
                <w:szCs w:val="22"/>
              </w:rPr>
              <w:t>项目建设内容</w:t>
            </w:r>
            <w:bookmarkEnd w:id="3"/>
          </w:p>
          <w:tbl>
            <w:tblPr>
              <w:tblStyle w:val="18"/>
              <w:tblW w:w="7533" w:type="dxa"/>
              <w:jc w:val="center"/>
              <w:tblLayout w:type="fixed"/>
              <w:tblCellMar>
                <w:top w:w="0" w:type="dxa"/>
                <w:left w:w="108" w:type="dxa"/>
                <w:bottom w:w="0" w:type="dxa"/>
                <w:right w:w="108" w:type="dxa"/>
              </w:tblCellMar>
            </w:tblPr>
            <w:tblGrid>
              <w:gridCol w:w="691"/>
              <w:gridCol w:w="2025"/>
              <w:gridCol w:w="3719"/>
              <w:gridCol w:w="523"/>
              <w:gridCol w:w="575"/>
            </w:tblGrid>
            <w:tr w14:paraId="6F46F81B">
              <w:tblPrEx>
                <w:tblCellMar>
                  <w:top w:w="0" w:type="dxa"/>
                  <w:left w:w="108" w:type="dxa"/>
                  <w:bottom w:w="0" w:type="dxa"/>
                  <w:right w:w="108" w:type="dxa"/>
                </w:tblCellMar>
              </w:tblPrEx>
              <w:trPr>
                <w:trHeight w:val="639" w:hRule="atLeast"/>
                <w:tblHeader/>
                <w:jc w:val="center"/>
              </w:trPr>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14:paraId="7BE20ACF">
                  <w:pPr>
                    <w:widowControl/>
                    <w:spacing w:line="360" w:lineRule="auto"/>
                    <w:ind w:firstLine="0" w:firstLineChars="0"/>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序号</w:t>
                  </w:r>
                </w:p>
              </w:tc>
              <w:tc>
                <w:tcPr>
                  <w:tcW w:w="2025" w:type="dxa"/>
                  <w:tcBorders>
                    <w:top w:val="single" w:color="auto" w:sz="4" w:space="0"/>
                    <w:left w:val="nil"/>
                    <w:bottom w:val="single" w:color="auto" w:sz="4" w:space="0"/>
                    <w:right w:val="single" w:color="auto" w:sz="4" w:space="0"/>
                  </w:tcBorders>
                  <w:shd w:val="clear" w:color="auto" w:fill="auto"/>
                  <w:vAlign w:val="center"/>
                </w:tcPr>
                <w:p w14:paraId="3D6C6B62">
                  <w:pPr>
                    <w:widowControl/>
                    <w:spacing w:line="360" w:lineRule="auto"/>
                    <w:ind w:firstLine="0" w:firstLineChars="0"/>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设备名称</w:t>
                  </w:r>
                </w:p>
              </w:tc>
              <w:tc>
                <w:tcPr>
                  <w:tcW w:w="3719" w:type="dxa"/>
                  <w:tcBorders>
                    <w:top w:val="single" w:color="auto" w:sz="4" w:space="0"/>
                    <w:left w:val="nil"/>
                    <w:bottom w:val="single" w:color="auto" w:sz="4" w:space="0"/>
                    <w:right w:val="single" w:color="auto" w:sz="4" w:space="0"/>
                  </w:tcBorders>
                  <w:shd w:val="clear" w:color="auto" w:fill="auto"/>
                  <w:noWrap/>
                  <w:vAlign w:val="center"/>
                </w:tcPr>
                <w:p w14:paraId="3B3691E1">
                  <w:pPr>
                    <w:widowControl/>
                    <w:spacing w:line="360" w:lineRule="auto"/>
                    <w:ind w:firstLine="0" w:firstLineChars="0"/>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性能说明</w:t>
                  </w:r>
                </w:p>
              </w:tc>
              <w:tc>
                <w:tcPr>
                  <w:tcW w:w="523" w:type="dxa"/>
                  <w:tcBorders>
                    <w:top w:val="single" w:color="auto" w:sz="4" w:space="0"/>
                    <w:left w:val="nil"/>
                    <w:bottom w:val="single" w:color="auto" w:sz="4" w:space="0"/>
                    <w:right w:val="single" w:color="auto" w:sz="4" w:space="0"/>
                  </w:tcBorders>
                  <w:shd w:val="clear" w:color="auto" w:fill="auto"/>
                  <w:vAlign w:val="center"/>
                </w:tcPr>
                <w:p w14:paraId="159565AF">
                  <w:pPr>
                    <w:widowControl/>
                    <w:spacing w:line="360" w:lineRule="auto"/>
                    <w:ind w:firstLine="0" w:firstLineChars="0"/>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单位</w:t>
                  </w:r>
                </w:p>
              </w:tc>
              <w:tc>
                <w:tcPr>
                  <w:tcW w:w="575" w:type="dxa"/>
                  <w:tcBorders>
                    <w:top w:val="single" w:color="auto" w:sz="4" w:space="0"/>
                    <w:left w:val="nil"/>
                    <w:bottom w:val="single" w:color="auto" w:sz="4" w:space="0"/>
                    <w:right w:val="single" w:color="auto" w:sz="4" w:space="0"/>
                  </w:tcBorders>
                  <w:shd w:val="clear" w:color="auto" w:fill="auto"/>
                  <w:vAlign w:val="center"/>
                </w:tcPr>
                <w:p w14:paraId="1C6F314A">
                  <w:pPr>
                    <w:widowControl/>
                    <w:spacing w:line="360" w:lineRule="auto"/>
                    <w:ind w:firstLine="0" w:firstLineChars="0"/>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数量</w:t>
                  </w:r>
                </w:p>
              </w:tc>
            </w:tr>
            <w:tr w14:paraId="6420AA14">
              <w:tblPrEx>
                <w:tblCellMar>
                  <w:top w:w="0" w:type="dxa"/>
                  <w:left w:w="108" w:type="dxa"/>
                  <w:bottom w:w="0" w:type="dxa"/>
                  <w:right w:w="108" w:type="dxa"/>
                </w:tblCellMar>
              </w:tblPrEx>
              <w:trPr>
                <w:trHeight w:val="324" w:hRule="atLeast"/>
                <w:jc w:val="center"/>
              </w:trPr>
              <w:tc>
                <w:tcPr>
                  <w:tcW w:w="753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6B9FF8B6">
                  <w:pPr>
                    <w:widowControl/>
                    <w:spacing w:line="360" w:lineRule="auto"/>
                    <w:ind w:firstLine="0" w:firstLineChars="0"/>
                    <w:jc w:val="left"/>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lang w:val="en-US" w:eastAsia="zh-CN"/>
                    </w:rPr>
                    <w:t>一、</w:t>
                  </w:r>
                  <w:r>
                    <w:rPr>
                      <w:rFonts w:hint="eastAsia" w:ascii="宋体" w:hAnsi="宋体" w:eastAsia="宋体" w:cs="宋体"/>
                      <w:b/>
                      <w:bCs/>
                      <w:color w:val="000000"/>
                      <w:kern w:val="0"/>
                      <w:sz w:val="22"/>
                      <w:szCs w:val="22"/>
                    </w:rPr>
                    <w:t>前端部分</w:t>
                  </w:r>
                </w:p>
              </w:tc>
            </w:tr>
            <w:tr w14:paraId="4FD5F387">
              <w:tblPrEx>
                <w:tblCellMar>
                  <w:top w:w="0" w:type="dxa"/>
                  <w:left w:w="108" w:type="dxa"/>
                  <w:bottom w:w="0" w:type="dxa"/>
                  <w:right w:w="108" w:type="dxa"/>
                </w:tblCellMar>
              </w:tblPrEx>
              <w:trPr>
                <w:trHeight w:val="324" w:hRule="atLeast"/>
                <w:jc w:val="center"/>
              </w:trPr>
              <w:tc>
                <w:tcPr>
                  <w:tcW w:w="753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44E074AE">
                  <w:pPr>
                    <w:widowControl/>
                    <w:spacing w:line="360" w:lineRule="auto"/>
                    <w:ind w:firstLine="0" w:firstLineChars="0"/>
                    <w:jc w:val="left"/>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lang w:val="en-US" w:eastAsia="zh-CN"/>
                    </w:rPr>
                    <w:t>（一）</w:t>
                  </w:r>
                  <w:r>
                    <w:rPr>
                      <w:rFonts w:hint="eastAsia" w:ascii="宋体" w:hAnsi="宋体" w:eastAsia="宋体" w:cs="宋体"/>
                      <w:b/>
                      <w:bCs/>
                      <w:color w:val="000000"/>
                      <w:kern w:val="0"/>
                      <w:sz w:val="22"/>
                      <w:szCs w:val="22"/>
                    </w:rPr>
                    <w:t>电子警察设备</w:t>
                  </w:r>
                </w:p>
              </w:tc>
            </w:tr>
            <w:tr w14:paraId="4DA62BA9">
              <w:tblPrEx>
                <w:tblCellMar>
                  <w:top w:w="0" w:type="dxa"/>
                  <w:left w:w="108" w:type="dxa"/>
                  <w:bottom w:w="0" w:type="dxa"/>
                  <w:right w:w="108" w:type="dxa"/>
                </w:tblCellMar>
              </w:tblPrEx>
              <w:trPr>
                <w:trHeight w:val="639"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7C14BBA1">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2025" w:type="dxa"/>
                  <w:tcBorders>
                    <w:top w:val="nil"/>
                    <w:left w:val="nil"/>
                    <w:bottom w:val="single" w:color="auto" w:sz="4" w:space="0"/>
                    <w:right w:val="single" w:color="auto" w:sz="4" w:space="0"/>
                  </w:tcBorders>
                  <w:shd w:val="clear" w:color="auto" w:fill="auto"/>
                  <w:vAlign w:val="center"/>
                </w:tcPr>
                <w:p w14:paraId="18647273">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电警抓拍单元（车尾）</w:t>
                  </w:r>
                </w:p>
              </w:tc>
              <w:tc>
                <w:tcPr>
                  <w:tcW w:w="3719" w:type="dxa"/>
                  <w:tcBorders>
                    <w:top w:val="nil"/>
                    <w:left w:val="nil"/>
                    <w:bottom w:val="single" w:color="auto" w:sz="4" w:space="0"/>
                    <w:right w:val="single" w:color="auto" w:sz="4" w:space="0"/>
                  </w:tcBorders>
                  <w:shd w:val="clear" w:color="auto" w:fill="auto"/>
                  <w:noWrap/>
                  <w:vAlign w:val="center"/>
                </w:tcPr>
                <w:p w14:paraId="02421991">
                  <w:pPr>
                    <w:widowControl/>
                    <w:spacing w:line="360" w:lineRule="auto"/>
                    <w:ind w:firstLine="0" w:firstLineChars="0"/>
                    <w:jc w:val="left"/>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参数要求详见主要设备参数要求。</w:t>
                  </w:r>
                </w:p>
              </w:tc>
              <w:tc>
                <w:tcPr>
                  <w:tcW w:w="523" w:type="dxa"/>
                  <w:tcBorders>
                    <w:top w:val="nil"/>
                    <w:left w:val="nil"/>
                    <w:bottom w:val="single" w:color="auto" w:sz="4" w:space="0"/>
                    <w:right w:val="single" w:color="auto" w:sz="4" w:space="0"/>
                  </w:tcBorders>
                  <w:shd w:val="clear" w:color="auto" w:fill="auto"/>
                  <w:vAlign w:val="center"/>
                </w:tcPr>
                <w:p w14:paraId="6559EA18">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台</w:t>
                  </w:r>
                </w:p>
              </w:tc>
              <w:tc>
                <w:tcPr>
                  <w:tcW w:w="575" w:type="dxa"/>
                  <w:tcBorders>
                    <w:top w:val="nil"/>
                    <w:left w:val="nil"/>
                    <w:bottom w:val="single" w:color="auto" w:sz="4" w:space="0"/>
                    <w:right w:val="single" w:color="auto" w:sz="4" w:space="0"/>
                  </w:tcBorders>
                  <w:shd w:val="clear" w:color="auto" w:fill="auto"/>
                  <w:vAlign w:val="center"/>
                </w:tcPr>
                <w:p w14:paraId="08C9EEE5">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w:t>
                  </w:r>
                </w:p>
              </w:tc>
            </w:tr>
            <w:tr w14:paraId="36DF2DF5">
              <w:tblPrEx>
                <w:tblCellMar>
                  <w:top w:w="0" w:type="dxa"/>
                  <w:left w:w="108" w:type="dxa"/>
                  <w:bottom w:w="0" w:type="dxa"/>
                  <w:right w:w="108" w:type="dxa"/>
                </w:tblCellMar>
              </w:tblPrEx>
              <w:trPr>
                <w:trHeight w:val="639"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013F3BA3">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2025" w:type="dxa"/>
                  <w:tcBorders>
                    <w:top w:val="nil"/>
                    <w:left w:val="nil"/>
                    <w:bottom w:val="single" w:color="auto" w:sz="4" w:space="0"/>
                    <w:right w:val="single" w:color="auto" w:sz="4" w:space="0"/>
                  </w:tcBorders>
                  <w:shd w:val="clear" w:color="auto" w:fill="auto"/>
                  <w:vAlign w:val="center"/>
                </w:tcPr>
                <w:p w14:paraId="59510D4F">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电警抓拍单元（车头）</w:t>
                  </w:r>
                </w:p>
              </w:tc>
              <w:tc>
                <w:tcPr>
                  <w:tcW w:w="3719" w:type="dxa"/>
                  <w:tcBorders>
                    <w:top w:val="nil"/>
                    <w:left w:val="nil"/>
                    <w:bottom w:val="single" w:color="auto" w:sz="4" w:space="0"/>
                    <w:right w:val="single" w:color="auto" w:sz="4" w:space="0"/>
                  </w:tcBorders>
                  <w:shd w:val="clear" w:color="auto" w:fill="auto"/>
                  <w:noWrap/>
                  <w:vAlign w:val="center"/>
                </w:tcPr>
                <w:p w14:paraId="6ED3C475">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参数要求详见主要设备参数要求。</w:t>
                  </w:r>
                </w:p>
              </w:tc>
              <w:tc>
                <w:tcPr>
                  <w:tcW w:w="523" w:type="dxa"/>
                  <w:tcBorders>
                    <w:top w:val="nil"/>
                    <w:left w:val="nil"/>
                    <w:bottom w:val="single" w:color="auto" w:sz="4" w:space="0"/>
                    <w:right w:val="single" w:color="auto" w:sz="4" w:space="0"/>
                  </w:tcBorders>
                  <w:shd w:val="clear" w:color="auto" w:fill="auto"/>
                  <w:vAlign w:val="center"/>
                </w:tcPr>
                <w:p w14:paraId="58B38B75">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台</w:t>
                  </w:r>
                </w:p>
              </w:tc>
              <w:tc>
                <w:tcPr>
                  <w:tcW w:w="575" w:type="dxa"/>
                  <w:tcBorders>
                    <w:top w:val="nil"/>
                    <w:left w:val="nil"/>
                    <w:bottom w:val="single" w:color="auto" w:sz="4" w:space="0"/>
                    <w:right w:val="single" w:color="auto" w:sz="4" w:space="0"/>
                  </w:tcBorders>
                  <w:shd w:val="clear" w:color="auto" w:fill="auto"/>
                  <w:vAlign w:val="center"/>
                </w:tcPr>
                <w:p w14:paraId="7CE1E0B5">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w:t>
                  </w:r>
                </w:p>
              </w:tc>
            </w:tr>
            <w:tr w14:paraId="065FD843">
              <w:tblPrEx>
                <w:tblCellMar>
                  <w:top w:w="0" w:type="dxa"/>
                  <w:left w:w="108" w:type="dxa"/>
                  <w:bottom w:w="0" w:type="dxa"/>
                  <w:right w:w="108" w:type="dxa"/>
                </w:tblCellMar>
              </w:tblPrEx>
              <w:trPr>
                <w:trHeight w:val="324"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42288F5F">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2025" w:type="dxa"/>
                  <w:tcBorders>
                    <w:top w:val="nil"/>
                    <w:left w:val="nil"/>
                    <w:bottom w:val="single" w:color="auto" w:sz="4" w:space="0"/>
                    <w:right w:val="single" w:color="auto" w:sz="4" w:space="0"/>
                  </w:tcBorders>
                  <w:shd w:val="clear" w:color="auto" w:fill="auto"/>
                  <w:vAlign w:val="center"/>
                </w:tcPr>
                <w:p w14:paraId="5ADBE41A">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频闪灯</w:t>
                  </w:r>
                </w:p>
              </w:tc>
              <w:tc>
                <w:tcPr>
                  <w:tcW w:w="3719" w:type="dxa"/>
                  <w:tcBorders>
                    <w:top w:val="nil"/>
                    <w:left w:val="nil"/>
                    <w:bottom w:val="single" w:color="auto" w:sz="4" w:space="0"/>
                    <w:right w:val="single" w:color="auto" w:sz="4" w:space="0"/>
                  </w:tcBorders>
                  <w:shd w:val="clear" w:color="auto" w:fill="auto"/>
                  <w:noWrap/>
                  <w:vAlign w:val="center"/>
                </w:tcPr>
                <w:p w14:paraId="540FBA0F">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参数要求详见主要设备参数要求。</w:t>
                  </w:r>
                </w:p>
              </w:tc>
              <w:tc>
                <w:tcPr>
                  <w:tcW w:w="523" w:type="dxa"/>
                  <w:tcBorders>
                    <w:top w:val="nil"/>
                    <w:left w:val="nil"/>
                    <w:bottom w:val="single" w:color="auto" w:sz="4" w:space="0"/>
                    <w:right w:val="single" w:color="auto" w:sz="4" w:space="0"/>
                  </w:tcBorders>
                  <w:shd w:val="clear" w:color="auto" w:fill="auto"/>
                  <w:vAlign w:val="center"/>
                </w:tcPr>
                <w:p w14:paraId="00F19F83">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台</w:t>
                  </w:r>
                </w:p>
              </w:tc>
              <w:tc>
                <w:tcPr>
                  <w:tcW w:w="575" w:type="dxa"/>
                  <w:tcBorders>
                    <w:top w:val="nil"/>
                    <w:left w:val="nil"/>
                    <w:bottom w:val="single" w:color="auto" w:sz="4" w:space="0"/>
                    <w:right w:val="single" w:color="auto" w:sz="4" w:space="0"/>
                  </w:tcBorders>
                  <w:shd w:val="clear" w:color="auto" w:fill="auto"/>
                  <w:vAlign w:val="center"/>
                </w:tcPr>
                <w:p w14:paraId="29A85A39">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44</w:t>
                  </w:r>
                </w:p>
              </w:tc>
            </w:tr>
            <w:tr w14:paraId="375BEB9E">
              <w:tblPrEx>
                <w:tblCellMar>
                  <w:top w:w="0" w:type="dxa"/>
                  <w:left w:w="108" w:type="dxa"/>
                  <w:bottom w:w="0" w:type="dxa"/>
                  <w:right w:w="108" w:type="dxa"/>
                </w:tblCellMar>
              </w:tblPrEx>
              <w:trPr>
                <w:trHeight w:val="324"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4EBB8BD9">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2025" w:type="dxa"/>
                  <w:tcBorders>
                    <w:top w:val="nil"/>
                    <w:left w:val="nil"/>
                    <w:bottom w:val="single" w:color="auto" w:sz="4" w:space="0"/>
                    <w:right w:val="single" w:color="auto" w:sz="4" w:space="0"/>
                  </w:tcBorders>
                  <w:shd w:val="clear" w:color="auto" w:fill="auto"/>
                  <w:vAlign w:val="center"/>
                </w:tcPr>
                <w:p w14:paraId="4C0D2426">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多功能补光灯</w:t>
                  </w:r>
                </w:p>
              </w:tc>
              <w:tc>
                <w:tcPr>
                  <w:tcW w:w="3719" w:type="dxa"/>
                  <w:tcBorders>
                    <w:top w:val="nil"/>
                    <w:left w:val="nil"/>
                    <w:bottom w:val="single" w:color="auto" w:sz="4" w:space="0"/>
                    <w:right w:val="single" w:color="auto" w:sz="4" w:space="0"/>
                  </w:tcBorders>
                  <w:shd w:val="clear" w:color="auto" w:fill="auto"/>
                  <w:noWrap/>
                  <w:vAlign w:val="center"/>
                </w:tcPr>
                <w:p w14:paraId="26DFCF72">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参数要求详见主要设备参数要求。</w:t>
                  </w:r>
                </w:p>
              </w:tc>
              <w:tc>
                <w:tcPr>
                  <w:tcW w:w="523" w:type="dxa"/>
                  <w:tcBorders>
                    <w:top w:val="nil"/>
                    <w:left w:val="nil"/>
                    <w:bottom w:val="single" w:color="auto" w:sz="4" w:space="0"/>
                    <w:right w:val="single" w:color="auto" w:sz="4" w:space="0"/>
                  </w:tcBorders>
                  <w:shd w:val="clear" w:color="auto" w:fill="auto"/>
                  <w:vAlign w:val="center"/>
                </w:tcPr>
                <w:p w14:paraId="309EB844">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台</w:t>
                  </w:r>
                </w:p>
              </w:tc>
              <w:tc>
                <w:tcPr>
                  <w:tcW w:w="575" w:type="dxa"/>
                  <w:tcBorders>
                    <w:top w:val="nil"/>
                    <w:left w:val="nil"/>
                    <w:bottom w:val="single" w:color="auto" w:sz="4" w:space="0"/>
                    <w:right w:val="single" w:color="auto" w:sz="4" w:space="0"/>
                  </w:tcBorders>
                  <w:shd w:val="clear" w:color="auto" w:fill="auto"/>
                  <w:vAlign w:val="center"/>
                </w:tcPr>
                <w:p w14:paraId="3BEB3EA8">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48</w:t>
                  </w:r>
                </w:p>
              </w:tc>
            </w:tr>
            <w:tr w14:paraId="71C442B3">
              <w:tblPrEx>
                <w:tblCellMar>
                  <w:top w:w="0" w:type="dxa"/>
                  <w:left w:w="108" w:type="dxa"/>
                  <w:bottom w:w="0" w:type="dxa"/>
                  <w:right w:w="108" w:type="dxa"/>
                </w:tblCellMar>
              </w:tblPrEx>
              <w:trPr>
                <w:trHeight w:val="639"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6449D0F3">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2025" w:type="dxa"/>
                  <w:tcBorders>
                    <w:top w:val="nil"/>
                    <w:left w:val="nil"/>
                    <w:bottom w:val="single" w:color="auto" w:sz="4" w:space="0"/>
                    <w:right w:val="single" w:color="auto" w:sz="4" w:space="0"/>
                  </w:tcBorders>
                  <w:shd w:val="clear" w:color="auto" w:fill="auto"/>
                  <w:vAlign w:val="center"/>
                </w:tcPr>
                <w:p w14:paraId="5F0EF872">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智能全彩枪球一体机</w:t>
                  </w:r>
                </w:p>
              </w:tc>
              <w:tc>
                <w:tcPr>
                  <w:tcW w:w="3719" w:type="dxa"/>
                  <w:tcBorders>
                    <w:top w:val="nil"/>
                    <w:left w:val="nil"/>
                    <w:bottom w:val="single" w:color="auto" w:sz="4" w:space="0"/>
                    <w:right w:val="single" w:color="auto" w:sz="4" w:space="0"/>
                  </w:tcBorders>
                  <w:shd w:val="clear" w:color="auto" w:fill="auto"/>
                  <w:noWrap/>
                  <w:vAlign w:val="center"/>
                </w:tcPr>
                <w:p w14:paraId="61A3F251">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参数要求详见主要设备参数要求。</w:t>
                  </w:r>
                </w:p>
              </w:tc>
              <w:tc>
                <w:tcPr>
                  <w:tcW w:w="523" w:type="dxa"/>
                  <w:tcBorders>
                    <w:top w:val="nil"/>
                    <w:left w:val="nil"/>
                    <w:bottom w:val="single" w:color="auto" w:sz="4" w:space="0"/>
                    <w:right w:val="single" w:color="auto" w:sz="4" w:space="0"/>
                  </w:tcBorders>
                  <w:shd w:val="clear" w:color="auto" w:fill="auto"/>
                  <w:vAlign w:val="center"/>
                </w:tcPr>
                <w:p w14:paraId="18A5AC4F">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台</w:t>
                  </w:r>
                </w:p>
              </w:tc>
              <w:tc>
                <w:tcPr>
                  <w:tcW w:w="575" w:type="dxa"/>
                  <w:tcBorders>
                    <w:top w:val="nil"/>
                    <w:left w:val="nil"/>
                    <w:bottom w:val="single" w:color="auto" w:sz="4" w:space="0"/>
                    <w:right w:val="single" w:color="auto" w:sz="4" w:space="0"/>
                  </w:tcBorders>
                  <w:shd w:val="clear" w:color="auto" w:fill="auto"/>
                  <w:vAlign w:val="center"/>
                </w:tcPr>
                <w:p w14:paraId="12732BD4">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w:t>
                  </w:r>
                </w:p>
              </w:tc>
            </w:tr>
            <w:tr w14:paraId="4EC1107A">
              <w:tblPrEx>
                <w:tblCellMar>
                  <w:top w:w="0" w:type="dxa"/>
                  <w:left w:w="108" w:type="dxa"/>
                  <w:bottom w:w="0" w:type="dxa"/>
                  <w:right w:w="108" w:type="dxa"/>
                </w:tblCellMar>
              </w:tblPrEx>
              <w:trPr>
                <w:trHeight w:val="639"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03719BCF">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2025" w:type="dxa"/>
                  <w:tcBorders>
                    <w:top w:val="nil"/>
                    <w:left w:val="nil"/>
                    <w:bottom w:val="single" w:color="auto" w:sz="4" w:space="0"/>
                    <w:right w:val="single" w:color="auto" w:sz="4" w:space="0"/>
                  </w:tcBorders>
                  <w:shd w:val="clear" w:color="auto" w:fill="auto"/>
                  <w:vAlign w:val="center"/>
                </w:tcPr>
                <w:p w14:paraId="1EDD2DDA">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交通灯信号检测器</w:t>
                  </w:r>
                </w:p>
              </w:tc>
              <w:tc>
                <w:tcPr>
                  <w:tcW w:w="3719" w:type="dxa"/>
                  <w:tcBorders>
                    <w:top w:val="nil"/>
                    <w:left w:val="nil"/>
                    <w:bottom w:val="single" w:color="auto" w:sz="4" w:space="0"/>
                    <w:right w:val="single" w:color="auto" w:sz="4" w:space="0"/>
                  </w:tcBorders>
                  <w:shd w:val="clear" w:color="auto" w:fill="auto"/>
                  <w:noWrap/>
                  <w:vAlign w:val="center"/>
                </w:tcPr>
                <w:p w14:paraId="4CD7A385">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参数要求详见主要设备参数要求。</w:t>
                  </w:r>
                </w:p>
              </w:tc>
              <w:tc>
                <w:tcPr>
                  <w:tcW w:w="523" w:type="dxa"/>
                  <w:tcBorders>
                    <w:top w:val="nil"/>
                    <w:left w:val="nil"/>
                    <w:bottom w:val="single" w:color="auto" w:sz="4" w:space="0"/>
                    <w:right w:val="single" w:color="auto" w:sz="4" w:space="0"/>
                  </w:tcBorders>
                  <w:shd w:val="clear" w:color="auto" w:fill="auto"/>
                  <w:vAlign w:val="center"/>
                </w:tcPr>
                <w:p w14:paraId="761B38AA">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台</w:t>
                  </w:r>
                </w:p>
              </w:tc>
              <w:tc>
                <w:tcPr>
                  <w:tcW w:w="575" w:type="dxa"/>
                  <w:tcBorders>
                    <w:top w:val="nil"/>
                    <w:left w:val="nil"/>
                    <w:bottom w:val="single" w:color="auto" w:sz="4" w:space="0"/>
                    <w:right w:val="single" w:color="auto" w:sz="4" w:space="0"/>
                  </w:tcBorders>
                  <w:shd w:val="clear" w:color="auto" w:fill="auto"/>
                  <w:vAlign w:val="center"/>
                </w:tcPr>
                <w:p w14:paraId="0F960B3D">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r>
            <w:tr w14:paraId="4393BE98">
              <w:tblPrEx>
                <w:tblCellMar>
                  <w:top w:w="0" w:type="dxa"/>
                  <w:left w:w="108" w:type="dxa"/>
                  <w:bottom w:w="0" w:type="dxa"/>
                  <w:right w:w="108" w:type="dxa"/>
                </w:tblCellMar>
              </w:tblPrEx>
              <w:trPr>
                <w:trHeight w:val="324"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1673B320">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2025" w:type="dxa"/>
                  <w:tcBorders>
                    <w:top w:val="nil"/>
                    <w:left w:val="nil"/>
                    <w:bottom w:val="single" w:color="auto" w:sz="4" w:space="0"/>
                    <w:right w:val="single" w:color="auto" w:sz="4" w:space="0"/>
                  </w:tcBorders>
                  <w:shd w:val="clear" w:color="auto" w:fill="auto"/>
                  <w:vAlign w:val="center"/>
                </w:tcPr>
                <w:p w14:paraId="33772EDF">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终端管理单元</w:t>
                  </w:r>
                </w:p>
              </w:tc>
              <w:tc>
                <w:tcPr>
                  <w:tcW w:w="3719" w:type="dxa"/>
                  <w:tcBorders>
                    <w:top w:val="nil"/>
                    <w:left w:val="nil"/>
                    <w:bottom w:val="single" w:color="auto" w:sz="4" w:space="0"/>
                    <w:right w:val="single" w:color="auto" w:sz="4" w:space="0"/>
                  </w:tcBorders>
                  <w:shd w:val="clear" w:color="auto" w:fill="auto"/>
                  <w:noWrap/>
                  <w:vAlign w:val="center"/>
                </w:tcPr>
                <w:p w14:paraId="31012D5A">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参数要求详见主要设备参数要求。</w:t>
                  </w:r>
                </w:p>
              </w:tc>
              <w:tc>
                <w:tcPr>
                  <w:tcW w:w="523" w:type="dxa"/>
                  <w:tcBorders>
                    <w:top w:val="nil"/>
                    <w:left w:val="nil"/>
                    <w:bottom w:val="single" w:color="auto" w:sz="4" w:space="0"/>
                    <w:right w:val="single" w:color="auto" w:sz="4" w:space="0"/>
                  </w:tcBorders>
                  <w:shd w:val="clear" w:color="auto" w:fill="auto"/>
                  <w:vAlign w:val="center"/>
                </w:tcPr>
                <w:p w14:paraId="4B53FD44">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台</w:t>
                  </w:r>
                </w:p>
              </w:tc>
              <w:tc>
                <w:tcPr>
                  <w:tcW w:w="575" w:type="dxa"/>
                  <w:tcBorders>
                    <w:top w:val="nil"/>
                    <w:left w:val="nil"/>
                    <w:bottom w:val="single" w:color="auto" w:sz="4" w:space="0"/>
                    <w:right w:val="single" w:color="auto" w:sz="4" w:space="0"/>
                  </w:tcBorders>
                  <w:shd w:val="clear" w:color="auto" w:fill="auto"/>
                  <w:vAlign w:val="center"/>
                </w:tcPr>
                <w:p w14:paraId="3460FA58">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r>
            <w:tr w14:paraId="423BF0FA">
              <w:tblPrEx>
                <w:tblCellMar>
                  <w:top w:w="0" w:type="dxa"/>
                  <w:left w:w="108" w:type="dxa"/>
                  <w:bottom w:w="0" w:type="dxa"/>
                  <w:right w:w="108" w:type="dxa"/>
                </w:tblCellMar>
              </w:tblPrEx>
              <w:trPr>
                <w:trHeight w:val="324" w:hRule="atLeast"/>
                <w:jc w:val="center"/>
              </w:trPr>
              <w:tc>
                <w:tcPr>
                  <w:tcW w:w="753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4C421A95">
                  <w:pPr>
                    <w:widowControl/>
                    <w:spacing w:line="360" w:lineRule="auto"/>
                    <w:ind w:firstLine="0" w:firstLineChars="0"/>
                    <w:jc w:val="left"/>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lang w:eastAsia="zh-CN"/>
                    </w:rPr>
                    <w:t>（</w:t>
                  </w:r>
                  <w:r>
                    <w:rPr>
                      <w:rFonts w:hint="eastAsia" w:ascii="宋体" w:hAnsi="宋体" w:eastAsia="宋体" w:cs="宋体"/>
                      <w:b/>
                      <w:bCs/>
                      <w:color w:val="000000"/>
                      <w:kern w:val="0"/>
                      <w:sz w:val="22"/>
                      <w:szCs w:val="22"/>
                      <w:lang w:val="en-US" w:eastAsia="zh-CN"/>
                    </w:rPr>
                    <w:t>二</w:t>
                  </w:r>
                  <w:r>
                    <w:rPr>
                      <w:rFonts w:hint="eastAsia" w:ascii="宋体" w:hAnsi="宋体" w:eastAsia="宋体" w:cs="宋体"/>
                      <w:b/>
                      <w:bCs/>
                      <w:color w:val="000000"/>
                      <w:kern w:val="0"/>
                      <w:sz w:val="22"/>
                      <w:szCs w:val="22"/>
                      <w:lang w:eastAsia="zh-CN"/>
                    </w:rPr>
                    <w:t>）</w:t>
                  </w:r>
                  <w:r>
                    <w:rPr>
                      <w:rFonts w:hint="eastAsia" w:ascii="宋体" w:hAnsi="宋体" w:eastAsia="宋体" w:cs="宋体"/>
                      <w:b/>
                      <w:bCs/>
                      <w:color w:val="000000"/>
                      <w:kern w:val="0"/>
                      <w:sz w:val="22"/>
                      <w:szCs w:val="22"/>
                    </w:rPr>
                    <w:t>配套设备材料</w:t>
                  </w:r>
                </w:p>
              </w:tc>
            </w:tr>
            <w:tr w14:paraId="23C27478">
              <w:tblPrEx>
                <w:tblCellMar>
                  <w:top w:w="0" w:type="dxa"/>
                  <w:left w:w="108" w:type="dxa"/>
                  <w:bottom w:w="0" w:type="dxa"/>
                  <w:right w:w="108" w:type="dxa"/>
                </w:tblCellMar>
              </w:tblPrEx>
              <w:trPr>
                <w:trHeight w:val="953"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7FCCB1FD">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2025" w:type="dxa"/>
                  <w:tcBorders>
                    <w:top w:val="nil"/>
                    <w:left w:val="nil"/>
                    <w:bottom w:val="single" w:color="auto" w:sz="4" w:space="0"/>
                    <w:right w:val="single" w:color="auto" w:sz="4" w:space="0"/>
                  </w:tcBorders>
                  <w:shd w:val="clear" w:color="auto" w:fill="auto"/>
                  <w:vAlign w:val="center"/>
                </w:tcPr>
                <w:p w14:paraId="1065EA52">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一体化智能监控设备箱（挂杆机箱）</w:t>
                  </w:r>
                </w:p>
              </w:tc>
              <w:tc>
                <w:tcPr>
                  <w:tcW w:w="3719" w:type="dxa"/>
                  <w:tcBorders>
                    <w:top w:val="nil"/>
                    <w:left w:val="nil"/>
                    <w:bottom w:val="single" w:color="auto" w:sz="4" w:space="0"/>
                    <w:right w:val="single" w:color="auto" w:sz="4" w:space="0"/>
                  </w:tcBorders>
                  <w:shd w:val="clear" w:color="auto" w:fill="auto"/>
                  <w:noWrap/>
                  <w:vAlign w:val="center"/>
                </w:tcPr>
                <w:p w14:paraId="5DC644A7">
                  <w:pPr>
                    <w:widowControl/>
                    <w:spacing w:line="360" w:lineRule="auto"/>
                    <w:ind w:firstLine="0" w:firstLineChars="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参数要求详见主要设备参数要求。</w:t>
                  </w:r>
                </w:p>
              </w:tc>
              <w:tc>
                <w:tcPr>
                  <w:tcW w:w="523" w:type="dxa"/>
                  <w:tcBorders>
                    <w:top w:val="nil"/>
                    <w:left w:val="nil"/>
                    <w:bottom w:val="single" w:color="auto" w:sz="4" w:space="0"/>
                    <w:right w:val="single" w:color="auto" w:sz="4" w:space="0"/>
                  </w:tcBorders>
                  <w:shd w:val="clear" w:color="auto" w:fill="auto"/>
                  <w:vAlign w:val="center"/>
                </w:tcPr>
                <w:p w14:paraId="40FD3735">
                  <w:pPr>
                    <w:widowControl/>
                    <w:spacing w:line="36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个</w:t>
                  </w:r>
                </w:p>
              </w:tc>
              <w:tc>
                <w:tcPr>
                  <w:tcW w:w="575" w:type="dxa"/>
                  <w:tcBorders>
                    <w:top w:val="nil"/>
                    <w:left w:val="nil"/>
                    <w:bottom w:val="single" w:color="auto" w:sz="4" w:space="0"/>
                    <w:right w:val="single" w:color="auto" w:sz="4" w:space="0"/>
                  </w:tcBorders>
                  <w:shd w:val="clear" w:color="auto" w:fill="auto"/>
                  <w:vAlign w:val="center"/>
                </w:tcPr>
                <w:p w14:paraId="163A6AE4">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w:t>
                  </w:r>
                </w:p>
              </w:tc>
            </w:tr>
            <w:tr w14:paraId="55BA6D9E">
              <w:tblPrEx>
                <w:tblCellMar>
                  <w:top w:w="0" w:type="dxa"/>
                  <w:left w:w="108" w:type="dxa"/>
                  <w:bottom w:w="0" w:type="dxa"/>
                  <w:right w:w="108" w:type="dxa"/>
                </w:tblCellMar>
              </w:tblPrEx>
              <w:trPr>
                <w:trHeight w:val="833"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5174E611">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2025" w:type="dxa"/>
                  <w:tcBorders>
                    <w:top w:val="nil"/>
                    <w:left w:val="nil"/>
                    <w:bottom w:val="single" w:color="auto" w:sz="4" w:space="0"/>
                    <w:right w:val="single" w:color="auto" w:sz="4" w:space="0"/>
                  </w:tcBorders>
                  <w:shd w:val="clear" w:color="auto" w:fill="auto"/>
                  <w:vAlign w:val="center"/>
                </w:tcPr>
                <w:p w14:paraId="33E7C459">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一体化智能监控设备箱（落地机箱）及混凝土基础</w:t>
                  </w:r>
                </w:p>
              </w:tc>
              <w:tc>
                <w:tcPr>
                  <w:tcW w:w="3719" w:type="dxa"/>
                  <w:tcBorders>
                    <w:top w:val="nil"/>
                    <w:left w:val="nil"/>
                    <w:bottom w:val="single" w:color="auto" w:sz="4" w:space="0"/>
                    <w:right w:val="single" w:color="auto" w:sz="4" w:space="0"/>
                  </w:tcBorders>
                  <w:shd w:val="clear" w:color="auto" w:fill="auto"/>
                  <w:noWrap/>
                  <w:vAlign w:val="center"/>
                </w:tcPr>
                <w:p w14:paraId="11F6BDB9">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参数要求详见主要设备参数要求。</w:t>
                  </w:r>
                </w:p>
              </w:tc>
              <w:tc>
                <w:tcPr>
                  <w:tcW w:w="523" w:type="dxa"/>
                  <w:tcBorders>
                    <w:top w:val="nil"/>
                    <w:left w:val="nil"/>
                    <w:bottom w:val="single" w:color="auto" w:sz="4" w:space="0"/>
                    <w:right w:val="single" w:color="auto" w:sz="4" w:space="0"/>
                  </w:tcBorders>
                  <w:shd w:val="clear" w:color="auto" w:fill="auto"/>
                  <w:vAlign w:val="center"/>
                </w:tcPr>
                <w:p w14:paraId="6E91357E">
                  <w:pPr>
                    <w:widowControl/>
                    <w:spacing w:line="36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个</w:t>
                  </w:r>
                </w:p>
              </w:tc>
              <w:tc>
                <w:tcPr>
                  <w:tcW w:w="575" w:type="dxa"/>
                  <w:tcBorders>
                    <w:top w:val="nil"/>
                    <w:left w:val="nil"/>
                    <w:bottom w:val="single" w:color="auto" w:sz="4" w:space="0"/>
                    <w:right w:val="single" w:color="auto" w:sz="4" w:space="0"/>
                  </w:tcBorders>
                  <w:shd w:val="clear" w:color="auto" w:fill="auto"/>
                  <w:vAlign w:val="center"/>
                </w:tcPr>
                <w:p w14:paraId="31F8C0A0">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r>
            <w:tr w14:paraId="3B8E27E6">
              <w:tblPrEx>
                <w:tblCellMar>
                  <w:top w:w="0" w:type="dxa"/>
                  <w:left w:w="108" w:type="dxa"/>
                  <w:bottom w:w="0" w:type="dxa"/>
                  <w:right w:w="108" w:type="dxa"/>
                </w:tblCellMar>
              </w:tblPrEx>
              <w:trPr>
                <w:trHeight w:val="953"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78063035">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2025" w:type="dxa"/>
                  <w:tcBorders>
                    <w:top w:val="nil"/>
                    <w:left w:val="nil"/>
                    <w:bottom w:val="single" w:color="auto" w:sz="4" w:space="0"/>
                    <w:right w:val="single" w:color="auto" w:sz="4" w:space="0"/>
                  </w:tcBorders>
                  <w:shd w:val="clear" w:color="auto" w:fill="auto"/>
                  <w:vAlign w:val="center"/>
                </w:tcPr>
                <w:p w14:paraId="74841D41">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千兆光模块</w:t>
                  </w:r>
                </w:p>
              </w:tc>
              <w:tc>
                <w:tcPr>
                  <w:tcW w:w="3719" w:type="dxa"/>
                  <w:tcBorders>
                    <w:top w:val="nil"/>
                    <w:left w:val="nil"/>
                    <w:bottom w:val="single" w:color="auto" w:sz="4" w:space="0"/>
                    <w:right w:val="single" w:color="auto" w:sz="4" w:space="0"/>
                  </w:tcBorders>
                  <w:shd w:val="clear" w:color="auto" w:fill="auto"/>
                  <w:noWrap/>
                  <w:vAlign w:val="center"/>
                </w:tcPr>
                <w:p w14:paraId="3B810A08">
                  <w:pPr>
                    <w:widowControl/>
                    <w:spacing w:line="360" w:lineRule="auto"/>
                    <w:ind w:firstLine="0" w:firstLineChars="0"/>
                    <w:jc w:val="left"/>
                    <w:rPr>
                      <w:rFonts w:hint="eastAsia" w:ascii="宋体" w:hAnsi="宋体" w:eastAsia="宋体" w:cs="宋体"/>
                      <w:kern w:val="0"/>
                      <w:sz w:val="22"/>
                      <w:szCs w:val="22"/>
                      <w:lang w:eastAsia="zh-CN"/>
                    </w:rPr>
                  </w:pPr>
                  <w:r>
                    <w:rPr>
                      <w:rFonts w:hint="eastAsia" w:ascii="宋体" w:hAnsi="宋体" w:eastAsia="宋体" w:cs="宋体"/>
                      <w:kern w:val="0"/>
                      <w:sz w:val="22"/>
                      <w:szCs w:val="22"/>
                    </w:rPr>
                    <w:t>工业级千兆光模块，1310nm，10km，单模（每个挂杆机箱配一块，每个落地柜配4块）</w:t>
                  </w:r>
                  <w:r>
                    <w:rPr>
                      <w:rFonts w:hint="eastAsia" w:ascii="宋体" w:hAnsi="宋体" w:eastAsia="宋体" w:cs="宋体"/>
                      <w:kern w:val="0"/>
                      <w:sz w:val="22"/>
                      <w:szCs w:val="22"/>
                      <w:lang w:eastAsia="zh-CN"/>
                    </w:rPr>
                    <w:t>。</w:t>
                  </w:r>
                </w:p>
              </w:tc>
              <w:tc>
                <w:tcPr>
                  <w:tcW w:w="523" w:type="dxa"/>
                  <w:tcBorders>
                    <w:top w:val="nil"/>
                    <w:left w:val="nil"/>
                    <w:bottom w:val="single" w:color="auto" w:sz="4" w:space="0"/>
                    <w:right w:val="single" w:color="auto" w:sz="4" w:space="0"/>
                  </w:tcBorders>
                  <w:shd w:val="clear" w:color="auto" w:fill="auto"/>
                  <w:vAlign w:val="center"/>
                </w:tcPr>
                <w:p w14:paraId="50F319C3">
                  <w:pPr>
                    <w:widowControl/>
                    <w:spacing w:line="36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块</w:t>
                  </w:r>
                </w:p>
              </w:tc>
              <w:tc>
                <w:tcPr>
                  <w:tcW w:w="575" w:type="dxa"/>
                  <w:tcBorders>
                    <w:top w:val="nil"/>
                    <w:left w:val="nil"/>
                    <w:bottom w:val="single" w:color="auto" w:sz="4" w:space="0"/>
                    <w:right w:val="single" w:color="auto" w:sz="4" w:space="0"/>
                  </w:tcBorders>
                  <w:shd w:val="clear" w:color="auto" w:fill="auto"/>
                  <w:vAlign w:val="center"/>
                </w:tcPr>
                <w:p w14:paraId="7F789A4A">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w:t>
                  </w:r>
                </w:p>
              </w:tc>
            </w:tr>
            <w:tr w14:paraId="1CACDB85">
              <w:tblPrEx>
                <w:tblCellMar>
                  <w:top w:w="0" w:type="dxa"/>
                  <w:left w:w="108" w:type="dxa"/>
                  <w:bottom w:w="0" w:type="dxa"/>
                  <w:right w:w="108" w:type="dxa"/>
                </w:tblCellMar>
              </w:tblPrEx>
              <w:trPr>
                <w:trHeight w:val="1948"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2CE2E64C">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2025" w:type="dxa"/>
                  <w:tcBorders>
                    <w:top w:val="nil"/>
                    <w:left w:val="nil"/>
                    <w:bottom w:val="single" w:color="auto" w:sz="4" w:space="0"/>
                    <w:right w:val="single" w:color="auto" w:sz="4" w:space="0"/>
                  </w:tcBorders>
                  <w:shd w:val="clear" w:color="auto" w:fill="auto"/>
                  <w:vAlign w:val="center"/>
                </w:tcPr>
                <w:p w14:paraId="21F4BC06">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二合一防雷器</w:t>
                  </w:r>
                </w:p>
              </w:tc>
              <w:tc>
                <w:tcPr>
                  <w:tcW w:w="3719" w:type="dxa"/>
                  <w:tcBorders>
                    <w:top w:val="nil"/>
                    <w:left w:val="nil"/>
                    <w:bottom w:val="single" w:color="auto" w:sz="4" w:space="0"/>
                    <w:right w:val="single" w:color="auto" w:sz="4" w:space="0"/>
                  </w:tcBorders>
                  <w:shd w:val="clear" w:color="auto" w:fill="auto"/>
                  <w:noWrap/>
                  <w:vAlign w:val="center"/>
                </w:tcPr>
                <w:p w14:paraId="279F1F4E">
                  <w:pPr>
                    <w:widowControl/>
                    <w:spacing w:line="360" w:lineRule="auto"/>
                    <w:ind w:firstLine="0" w:firstLineChars="0"/>
                    <w:jc w:val="left"/>
                    <w:rPr>
                      <w:rFonts w:hint="eastAsia" w:ascii="宋体" w:hAnsi="宋体" w:eastAsia="宋体" w:cs="宋体"/>
                      <w:kern w:val="0"/>
                      <w:sz w:val="22"/>
                      <w:szCs w:val="22"/>
                      <w:lang w:eastAsia="zh-CN"/>
                    </w:rPr>
                  </w:pPr>
                  <w:r>
                    <w:rPr>
                      <w:rFonts w:hint="eastAsia" w:ascii="宋体" w:hAnsi="宋体" w:eastAsia="宋体" w:cs="宋体"/>
                      <w:kern w:val="0"/>
                      <w:sz w:val="22"/>
                      <w:szCs w:val="22"/>
                    </w:rPr>
                    <w:t>电源、网络二合一防雷器；采用内部电位平衡（等电位）处理；避雷器能力完全由避雷器确定；电源：标称放电电流:10KA(8/20uS)，最大放电电流:15KA，工作电压:AC24/DC12V，部分：最大连续工作电压:15V/28V，保护水平:≤30V/60V，响应时间:≤25nS，网络：标称放电电流:5KA(8/20uS)，最大放电电流:10KA，适用网络：100MHz，部分：最大连续工作电压：2.5V，保护水平：≤15V，响应时间：≤20nS</w:t>
                  </w:r>
                  <w:r>
                    <w:rPr>
                      <w:rFonts w:hint="eastAsia" w:ascii="宋体" w:hAnsi="宋体" w:eastAsia="宋体" w:cs="宋体"/>
                      <w:kern w:val="0"/>
                      <w:sz w:val="22"/>
                      <w:szCs w:val="22"/>
                      <w:lang w:eastAsia="zh-CN"/>
                    </w:rPr>
                    <w:t>。</w:t>
                  </w:r>
                </w:p>
              </w:tc>
              <w:tc>
                <w:tcPr>
                  <w:tcW w:w="523" w:type="dxa"/>
                  <w:tcBorders>
                    <w:top w:val="nil"/>
                    <w:left w:val="nil"/>
                    <w:bottom w:val="single" w:color="auto" w:sz="4" w:space="0"/>
                    <w:right w:val="single" w:color="auto" w:sz="4" w:space="0"/>
                  </w:tcBorders>
                  <w:shd w:val="clear" w:color="auto" w:fill="auto"/>
                  <w:vAlign w:val="center"/>
                </w:tcPr>
                <w:p w14:paraId="185A274F">
                  <w:pPr>
                    <w:widowControl/>
                    <w:spacing w:line="36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台</w:t>
                  </w:r>
                </w:p>
              </w:tc>
              <w:tc>
                <w:tcPr>
                  <w:tcW w:w="575" w:type="dxa"/>
                  <w:tcBorders>
                    <w:top w:val="nil"/>
                    <w:left w:val="nil"/>
                    <w:bottom w:val="single" w:color="auto" w:sz="4" w:space="0"/>
                    <w:right w:val="single" w:color="auto" w:sz="4" w:space="0"/>
                  </w:tcBorders>
                  <w:shd w:val="clear" w:color="auto" w:fill="auto"/>
                  <w:vAlign w:val="center"/>
                </w:tcPr>
                <w:p w14:paraId="0734F76A">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r>
            <w:tr w14:paraId="2EBA18BE">
              <w:tblPrEx>
                <w:tblCellMar>
                  <w:top w:w="0" w:type="dxa"/>
                  <w:left w:w="108" w:type="dxa"/>
                  <w:bottom w:w="0" w:type="dxa"/>
                  <w:right w:w="108" w:type="dxa"/>
                </w:tblCellMar>
              </w:tblPrEx>
              <w:trPr>
                <w:trHeight w:val="953"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3383BA4A">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5</w:t>
                  </w:r>
                </w:p>
              </w:tc>
              <w:tc>
                <w:tcPr>
                  <w:tcW w:w="2025" w:type="dxa"/>
                  <w:tcBorders>
                    <w:top w:val="nil"/>
                    <w:left w:val="nil"/>
                    <w:bottom w:val="single" w:color="auto" w:sz="4" w:space="0"/>
                    <w:right w:val="single" w:color="auto" w:sz="4" w:space="0"/>
                  </w:tcBorders>
                  <w:shd w:val="clear" w:color="auto" w:fill="auto"/>
                  <w:vAlign w:val="center"/>
                </w:tcPr>
                <w:p w14:paraId="41B118E9">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8米L型监控杆</w:t>
                  </w:r>
                </w:p>
              </w:tc>
              <w:tc>
                <w:tcPr>
                  <w:tcW w:w="3719" w:type="dxa"/>
                  <w:tcBorders>
                    <w:top w:val="nil"/>
                    <w:left w:val="nil"/>
                    <w:bottom w:val="single" w:color="auto" w:sz="4" w:space="0"/>
                    <w:right w:val="single" w:color="auto" w:sz="4" w:space="0"/>
                  </w:tcBorders>
                  <w:shd w:val="clear" w:color="auto" w:fill="auto"/>
                  <w:noWrap/>
                  <w:vAlign w:val="center"/>
                </w:tcPr>
                <w:p w14:paraId="6D9AF8A7">
                  <w:pPr>
                    <w:widowControl/>
                    <w:spacing w:line="360" w:lineRule="auto"/>
                    <w:ind w:firstLine="0" w:firstLineChars="0"/>
                    <w:jc w:val="left"/>
                    <w:rPr>
                      <w:rFonts w:hint="eastAsia" w:ascii="宋体" w:hAnsi="宋体" w:eastAsia="宋体" w:cs="宋体"/>
                      <w:kern w:val="0"/>
                      <w:sz w:val="22"/>
                      <w:szCs w:val="22"/>
                      <w:lang w:eastAsia="zh-CN"/>
                    </w:rPr>
                  </w:pPr>
                  <w:r>
                    <w:rPr>
                      <w:rFonts w:hint="eastAsia" w:ascii="宋体" w:hAnsi="宋体" w:eastAsia="宋体" w:cs="宋体"/>
                      <w:kern w:val="0"/>
                      <w:sz w:val="22"/>
                      <w:szCs w:val="22"/>
                    </w:rPr>
                    <w:t>7.5</w:t>
                  </w:r>
                  <w:r>
                    <w:rPr>
                      <w:rFonts w:hint="eastAsia" w:ascii="宋体" w:hAnsi="宋体" w:eastAsia="宋体" w:cs="宋体"/>
                      <w:kern w:val="0"/>
                      <w:sz w:val="22"/>
                      <w:szCs w:val="22"/>
                      <w:lang w:val="en-US" w:eastAsia="zh-CN"/>
                    </w:rPr>
                    <w:t>×</w:t>
                  </w:r>
                  <w:r>
                    <w:rPr>
                      <w:rFonts w:hint="eastAsia" w:ascii="宋体" w:hAnsi="宋体" w:eastAsia="宋体" w:cs="宋体"/>
                      <w:kern w:val="0"/>
                      <w:sz w:val="22"/>
                      <w:szCs w:val="22"/>
                    </w:rPr>
                    <w:t>8米镀锌八角杆；含地网、C25商品混凝土基础、法兰、地脚螺栓及安装配件；油漆品种</w:t>
                  </w:r>
                  <w:r>
                    <w:rPr>
                      <w:rFonts w:hint="eastAsia" w:ascii="宋体" w:hAnsi="宋体" w:eastAsia="宋体" w:cs="宋体"/>
                      <w:kern w:val="0"/>
                      <w:sz w:val="22"/>
                      <w:szCs w:val="22"/>
                      <w:lang w:eastAsia="zh-CN"/>
                    </w:rPr>
                    <w:t>：</w:t>
                  </w:r>
                  <w:r>
                    <w:rPr>
                      <w:rFonts w:hint="eastAsia" w:ascii="宋体" w:hAnsi="宋体" w:eastAsia="宋体" w:cs="宋体"/>
                      <w:kern w:val="0"/>
                      <w:sz w:val="22"/>
                      <w:szCs w:val="22"/>
                    </w:rPr>
                    <w:t>热浸镀锌处理、喷涂银灰色环氧富锌漆</w:t>
                  </w:r>
                  <w:r>
                    <w:rPr>
                      <w:rFonts w:hint="eastAsia" w:ascii="宋体" w:hAnsi="宋体" w:eastAsia="宋体" w:cs="宋体"/>
                      <w:kern w:val="0"/>
                      <w:sz w:val="22"/>
                      <w:szCs w:val="22"/>
                      <w:lang w:val="en-US" w:eastAsia="zh-CN"/>
                    </w:rPr>
                    <w:t>2</w:t>
                  </w:r>
                  <w:r>
                    <w:rPr>
                      <w:rFonts w:hint="eastAsia" w:ascii="宋体" w:hAnsi="宋体" w:eastAsia="宋体" w:cs="宋体"/>
                      <w:kern w:val="0"/>
                      <w:sz w:val="22"/>
                      <w:szCs w:val="22"/>
                    </w:rPr>
                    <w:t>层</w:t>
                  </w:r>
                  <w:r>
                    <w:rPr>
                      <w:rFonts w:hint="eastAsia" w:ascii="宋体" w:hAnsi="宋体" w:eastAsia="宋体" w:cs="宋体"/>
                      <w:kern w:val="0"/>
                      <w:sz w:val="22"/>
                      <w:szCs w:val="22"/>
                      <w:lang w:eastAsia="zh-CN"/>
                    </w:rPr>
                    <w:t>。</w:t>
                  </w:r>
                </w:p>
              </w:tc>
              <w:tc>
                <w:tcPr>
                  <w:tcW w:w="523" w:type="dxa"/>
                  <w:tcBorders>
                    <w:top w:val="nil"/>
                    <w:left w:val="nil"/>
                    <w:bottom w:val="single" w:color="auto" w:sz="4" w:space="0"/>
                    <w:right w:val="single" w:color="auto" w:sz="4" w:space="0"/>
                  </w:tcBorders>
                  <w:shd w:val="clear" w:color="auto" w:fill="auto"/>
                  <w:vAlign w:val="center"/>
                </w:tcPr>
                <w:p w14:paraId="71CC3C19">
                  <w:pPr>
                    <w:widowControl/>
                    <w:spacing w:line="36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根</w:t>
                  </w:r>
                </w:p>
              </w:tc>
              <w:tc>
                <w:tcPr>
                  <w:tcW w:w="575" w:type="dxa"/>
                  <w:tcBorders>
                    <w:top w:val="nil"/>
                    <w:left w:val="nil"/>
                    <w:bottom w:val="single" w:color="auto" w:sz="4" w:space="0"/>
                    <w:right w:val="single" w:color="auto" w:sz="4" w:space="0"/>
                  </w:tcBorders>
                  <w:shd w:val="clear" w:color="auto" w:fill="auto"/>
                  <w:vAlign w:val="center"/>
                </w:tcPr>
                <w:p w14:paraId="1EC14BDC">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r>
            <w:tr w14:paraId="40AA01EB">
              <w:tblPrEx>
                <w:tblCellMar>
                  <w:top w:w="0" w:type="dxa"/>
                  <w:left w:w="108" w:type="dxa"/>
                  <w:bottom w:w="0" w:type="dxa"/>
                  <w:right w:w="108" w:type="dxa"/>
                </w:tblCellMar>
              </w:tblPrEx>
              <w:trPr>
                <w:trHeight w:val="1268"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7C16B4A3">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6</w:t>
                  </w:r>
                </w:p>
              </w:tc>
              <w:tc>
                <w:tcPr>
                  <w:tcW w:w="2025" w:type="dxa"/>
                  <w:tcBorders>
                    <w:top w:val="nil"/>
                    <w:left w:val="nil"/>
                    <w:bottom w:val="single" w:color="auto" w:sz="4" w:space="0"/>
                    <w:right w:val="single" w:color="auto" w:sz="4" w:space="0"/>
                  </w:tcBorders>
                  <w:shd w:val="clear" w:color="auto" w:fill="auto"/>
                  <w:vAlign w:val="center"/>
                </w:tcPr>
                <w:p w14:paraId="7570C392">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13米L型监控杆</w:t>
                  </w:r>
                </w:p>
              </w:tc>
              <w:tc>
                <w:tcPr>
                  <w:tcW w:w="3719" w:type="dxa"/>
                  <w:tcBorders>
                    <w:top w:val="nil"/>
                    <w:left w:val="nil"/>
                    <w:bottom w:val="single" w:color="auto" w:sz="4" w:space="0"/>
                    <w:right w:val="single" w:color="auto" w:sz="4" w:space="0"/>
                  </w:tcBorders>
                  <w:shd w:val="clear" w:color="auto" w:fill="auto"/>
                  <w:noWrap/>
                  <w:vAlign w:val="center"/>
                </w:tcPr>
                <w:p w14:paraId="2952BBED">
                  <w:pPr>
                    <w:widowControl/>
                    <w:spacing w:line="360" w:lineRule="auto"/>
                    <w:ind w:firstLine="0" w:firstLineChars="0"/>
                    <w:jc w:val="left"/>
                    <w:rPr>
                      <w:rFonts w:hint="eastAsia" w:ascii="宋体" w:hAnsi="宋体" w:eastAsia="宋体" w:cs="宋体"/>
                      <w:kern w:val="0"/>
                      <w:sz w:val="22"/>
                      <w:szCs w:val="22"/>
                      <w:lang w:eastAsia="zh-CN"/>
                    </w:rPr>
                  </w:pPr>
                  <w:r>
                    <w:rPr>
                      <w:rFonts w:hint="eastAsia" w:ascii="宋体" w:hAnsi="宋体" w:eastAsia="宋体" w:cs="宋体"/>
                      <w:kern w:val="0"/>
                      <w:sz w:val="22"/>
                      <w:szCs w:val="22"/>
                    </w:rPr>
                    <w:t>7.5</w:t>
                  </w:r>
                  <w:r>
                    <w:rPr>
                      <w:rFonts w:hint="eastAsia" w:ascii="宋体" w:hAnsi="宋体" w:eastAsia="宋体" w:cs="宋体"/>
                      <w:kern w:val="0"/>
                      <w:sz w:val="22"/>
                      <w:szCs w:val="22"/>
                      <w:lang w:val="en-US" w:eastAsia="zh-CN"/>
                    </w:rPr>
                    <w:t>×</w:t>
                  </w:r>
                  <w:r>
                    <w:rPr>
                      <w:rFonts w:hint="eastAsia" w:ascii="宋体" w:hAnsi="宋体" w:eastAsia="宋体" w:cs="宋体"/>
                      <w:kern w:val="0"/>
                      <w:sz w:val="22"/>
                      <w:szCs w:val="22"/>
                    </w:rPr>
                    <w:t>13米镀锌八角杆；含地网、C25商品混凝土基础、法兰、地脚螺栓及安装配件；油漆品种</w:t>
                  </w:r>
                  <w:r>
                    <w:rPr>
                      <w:rFonts w:hint="eastAsia" w:ascii="宋体" w:hAnsi="宋体" w:eastAsia="宋体" w:cs="宋体"/>
                      <w:kern w:val="0"/>
                      <w:sz w:val="22"/>
                      <w:szCs w:val="22"/>
                      <w:lang w:eastAsia="zh-CN"/>
                    </w:rPr>
                    <w:t>：</w:t>
                  </w:r>
                  <w:r>
                    <w:rPr>
                      <w:rFonts w:hint="eastAsia" w:ascii="宋体" w:hAnsi="宋体" w:eastAsia="宋体" w:cs="宋体"/>
                      <w:kern w:val="0"/>
                      <w:sz w:val="22"/>
                      <w:szCs w:val="22"/>
                    </w:rPr>
                    <w:t>热浸镀锌处理、喷涂银灰色环氧富锌漆</w:t>
                  </w:r>
                  <w:r>
                    <w:rPr>
                      <w:rFonts w:hint="eastAsia" w:ascii="宋体" w:hAnsi="宋体" w:eastAsia="宋体" w:cs="宋体"/>
                      <w:kern w:val="0"/>
                      <w:sz w:val="22"/>
                      <w:szCs w:val="22"/>
                      <w:lang w:val="en-US" w:eastAsia="zh-CN"/>
                    </w:rPr>
                    <w:t>2</w:t>
                  </w:r>
                  <w:r>
                    <w:rPr>
                      <w:rFonts w:hint="eastAsia" w:ascii="宋体" w:hAnsi="宋体" w:eastAsia="宋体" w:cs="宋体"/>
                      <w:kern w:val="0"/>
                      <w:sz w:val="22"/>
                      <w:szCs w:val="22"/>
                    </w:rPr>
                    <w:t>层</w:t>
                  </w:r>
                  <w:r>
                    <w:rPr>
                      <w:rFonts w:hint="eastAsia" w:ascii="宋体" w:hAnsi="宋体" w:eastAsia="宋体" w:cs="宋体"/>
                      <w:kern w:val="0"/>
                      <w:sz w:val="22"/>
                      <w:szCs w:val="22"/>
                      <w:lang w:eastAsia="zh-CN"/>
                    </w:rPr>
                    <w:t>。</w:t>
                  </w:r>
                </w:p>
              </w:tc>
              <w:tc>
                <w:tcPr>
                  <w:tcW w:w="523" w:type="dxa"/>
                  <w:tcBorders>
                    <w:top w:val="nil"/>
                    <w:left w:val="nil"/>
                    <w:bottom w:val="single" w:color="auto" w:sz="4" w:space="0"/>
                    <w:right w:val="single" w:color="auto" w:sz="4" w:space="0"/>
                  </w:tcBorders>
                  <w:shd w:val="clear" w:color="auto" w:fill="auto"/>
                  <w:vAlign w:val="center"/>
                </w:tcPr>
                <w:p w14:paraId="38A172D1">
                  <w:pPr>
                    <w:widowControl/>
                    <w:spacing w:line="36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根</w:t>
                  </w:r>
                </w:p>
              </w:tc>
              <w:tc>
                <w:tcPr>
                  <w:tcW w:w="575" w:type="dxa"/>
                  <w:tcBorders>
                    <w:top w:val="nil"/>
                    <w:left w:val="nil"/>
                    <w:bottom w:val="single" w:color="auto" w:sz="4" w:space="0"/>
                    <w:right w:val="single" w:color="auto" w:sz="4" w:space="0"/>
                  </w:tcBorders>
                  <w:shd w:val="clear" w:color="auto" w:fill="auto"/>
                  <w:vAlign w:val="center"/>
                </w:tcPr>
                <w:p w14:paraId="3A03C668">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w:t>
                  </w:r>
                </w:p>
              </w:tc>
            </w:tr>
            <w:tr w14:paraId="2508CBED">
              <w:tblPrEx>
                <w:tblCellMar>
                  <w:top w:w="0" w:type="dxa"/>
                  <w:left w:w="108" w:type="dxa"/>
                  <w:bottom w:w="0" w:type="dxa"/>
                  <w:right w:w="108" w:type="dxa"/>
                </w:tblCellMar>
              </w:tblPrEx>
              <w:trPr>
                <w:trHeight w:val="324"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4F758DE4">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7</w:t>
                  </w:r>
                </w:p>
              </w:tc>
              <w:tc>
                <w:tcPr>
                  <w:tcW w:w="2025" w:type="dxa"/>
                  <w:tcBorders>
                    <w:top w:val="nil"/>
                    <w:left w:val="nil"/>
                    <w:bottom w:val="single" w:color="auto" w:sz="4" w:space="0"/>
                    <w:right w:val="single" w:color="auto" w:sz="4" w:space="0"/>
                  </w:tcBorders>
                  <w:shd w:val="clear" w:color="auto" w:fill="auto"/>
                  <w:vAlign w:val="center"/>
                </w:tcPr>
                <w:p w14:paraId="43BD47B5">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小窨井</w:t>
                  </w:r>
                </w:p>
              </w:tc>
              <w:tc>
                <w:tcPr>
                  <w:tcW w:w="3719" w:type="dxa"/>
                  <w:tcBorders>
                    <w:top w:val="nil"/>
                    <w:left w:val="nil"/>
                    <w:bottom w:val="single" w:color="auto" w:sz="4" w:space="0"/>
                    <w:right w:val="single" w:color="auto" w:sz="4" w:space="0"/>
                  </w:tcBorders>
                  <w:shd w:val="clear" w:color="auto" w:fill="auto"/>
                  <w:noWrap/>
                  <w:vAlign w:val="center"/>
                </w:tcPr>
                <w:p w14:paraId="15DC6ADF">
                  <w:pPr>
                    <w:widowControl/>
                    <w:spacing w:line="360" w:lineRule="auto"/>
                    <w:ind w:firstLine="0" w:firstLineChars="0"/>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500</w:t>
                  </w:r>
                  <w:r>
                    <w:rPr>
                      <w:rFonts w:hint="eastAsia" w:ascii="宋体" w:hAnsi="宋体" w:eastAsia="宋体" w:cs="宋体"/>
                      <w:color w:val="000000"/>
                      <w:kern w:val="0"/>
                      <w:sz w:val="22"/>
                      <w:szCs w:val="22"/>
                      <w:lang w:val="en-US" w:eastAsia="zh-CN"/>
                    </w:rPr>
                    <w:t>mm</w:t>
                  </w:r>
                  <w:r>
                    <w:rPr>
                      <w:rFonts w:hint="eastAsia" w:ascii="宋体" w:hAnsi="宋体" w:eastAsia="宋体" w:cs="宋体"/>
                      <w:kern w:val="0"/>
                      <w:sz w:val="22"/>
                      <w:szCs w:val="22"/>
                      <w:lang w:val="en-US" w:eastAsia="zh-CN"/>
                    </w:rPr>
                    <w:t>×</w:t>
                  </w:r>
                  <w:r>
                    <w:rPr>
                      <w:rFonts w:hint="eastAsia" w:ascii="宋体" w:hAnsi="宋体" w:eastAsia="宋体" w:cs="宋体"/>
                      <w:color w:val="000000"/>
                      <w:kern w:val="0"/>
                      <w:sz w:val="22"/>
                      <w:szCs w:val="22"/>
                    </w:rPr>
                    <w:t>500</w:t>
                  </w:r>
                  <w:r>
                    <w:rPr>
                      <w:rFonts w:hint="eastAsia" w:ascii="宋体" w:hAnsi="宋体" w:eastAsia="宋体" w:cs="宋体"/>
                      <w:color w:val="000000"/>
                      <w:kern w:val="0"/>
                      <w:sz w:val="22"/>
                      <w:szCs w:val="22"/>
                      <w:lang w:val="en-US" w:eastAsia="zh-CN"/>
                    </w:rPr>
                    <w:t>mm</w:t>
                  </w:r>
                  <w:r>
                    <w:rPr>
                      <w:rFonts w:hint="eastAsia" w:ascii="宋体" w:hAnsi="宋体" w:eastAsia="宋体" w:cs="宋体"/>
                      <w:kern w:val="0"/>
                      <w:sz w:val="22"/>
                      <w:szCs w:val="22"/>
                      <w:lang w:val="en-US" w:eastAsia="zh-CN"/>
                    </w:rPr>
                    <w:t>×</w:t>
                  </w:r>
                  <w:r>
                    <w:rPr>
                      <w:rFonts w:hint="eastAsia" w:ascii="宋体" w:hAnsi="宋体" w:eastAsia="宋体" w:cs="宋体"/>
                      <w:color w:val="000000"/>
                      <w:kern w:val="0"/>
                      <w:sz w:val="22"/>
                      <w:szCs w:val="22"/>
                    </w:rPr>
                    <w:t>600mm，含沙井盖</w:t>
                  </w:r>
                  <w:r>
                    <w:rPr>
                      <w:rFonts w:hint="eastAsia" w:ascii="宋体" w:hAnsi="宋体" w:eastAsia="宋体" w:cs="宋体"/>
                      <w:color w:val="000000"/>
                      <w:kern w:val="0"/>
                      <w:sz w:val="22"/>
                      <w:szCs w:val="22"/>
                      <w:lang w:eastAsia="zh-CN"/>
                    </w:rPr>
                    <w:t>。</w:t>
                  </w:r>
                </w:p>
              </w:tc>
              <w:tc>
                <w:tcPr>
                  <w:tcW w:w="523" w:type="dxa"/>
                  <w:tcBorders>
                    <w:top w:val="nil"/>
                    <w:left w:val="nil"/>
                    <w:bottom w:val="single" w:color="auto" w:sz="4" w:space="0"/>
                    <w:right w:val="single" w:color="auto" w:sz="4" w:space="0"/>
                  </w:tcBorders>
                  <w:shd w:val="clear" w:color="auto" w:fill="auto"/>
                  <w:vAlign w:val="center"/>
                </w:tcPr>
                <w:p w14:paraId="35AE409A">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个</w:t>
                  </w:r>
                </w:p>
              </w:tc>
              <w:tc>
                <w:tcPr>
                  <w:tcW w:w="575" w:type="dxa"/>
                  <w:tcBorders>
                    <w:top w:val="nil"/>
                    <w:left w:val="nil"/>
                    <w:bottom w:val="single" w:color="auto" w:sz="4" w:space="0"/>
                    <w:right w:val="single" w:color="auto" w:sz="4" w:space="0"/>
                  </w:tcBorders>
                  <w:shd w:val="clear" w:color="auto" w:fill="auto"/>
                  <w:vAlign w:val="center"/>
                </w:tcPr>
                <w:p w14:paraId="4223F1AF">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w:t>
                  </w:r>
                </w:p>
              </w:tc>
            </w:tr>
            <w:tr w14:paraId="196AC32E">
              <w:tblPrEx>
                <w:tblCellMar>
                  <w:top w:w="0" w:type="dxa"/>
                  <w:left w:w="108" w:type="dxa"/>
                  <w:bottom w:w="0" w:type="dxa"/>
                  <w:right w:w="108" w:type="dxa"/>
                </w:tblCellMar>
              </w:tblPrEx>
              <w:trPr>
                <w:trHeight w:val="953"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0F371C27">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8</w:t>
                  </w:r>
                </w:p>
              </w:tc>
              <w:tc>
                <w:tcPr>
                  <w:tcW w:w="2025" w:type="dxa"/>
                  <w:tcBorders>
                    <w:top w:val="nil"/>
                    <w:left w:val="nil"/>
                    <w:bottom w:val="single" w:color="auto" w:sz="4" w:space="0"/>
                    <w:right w:val="single" w:color="auto" w:sz="4" w:space="0"/>
                  </w:tcBorders>
                  <w:shd w:val="clear" w:color="auto" w:fill="auto"/>
                  <w:vAlign w:val="center"/>
                </w:tcPr>
                <w:p w14:paraId="422E5C00">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电子警察杆标牌</w:t>
                  </w:r>
                </w:p>
              </w:tc>
              <w:tc>
                <w:tcPr>
                  <w:tcW w:w="3719" w:type="dxa"/>
                  <w:tcBorders>
                    <w:top w:val="nil"/>
                    <w:left w:val="nil"/>
                    <w:bottom w:val="single" w:color="auto" w:sz="4" w:space="0"/>
                    <w:right w:val="single" w:color="auto" w:sz="4" w:space="0"/>
                  </w:tcBorders>
                  <w:shd w:val="clear" w:color="auto" w:fill="auto"/>
                  <w:noWrap/>
                  <w:vAlign w:val="center"/>
                </w:tcPr>
                <w:p w14:paraId="263493F6">
                  <w:pPr>
                    <w:widowControl/>
                    <w:spacing w:line="360" w:lineRule="auto"/>
                    <w:ind w:firstLine="0" w:firstLineChars="0"/>
                    <w:jc w:val="left"/>
                    <w:rPr>
                      <w:rFonts w:hint="eastAsia" w:ascii="宋体" w:hAnsi="宋体" w:eastAsia="宋体" w:cs="宋体"/>
                      <w:kern w:val="0"/>
                      <w:sz w:val="22"/>
                      <w:szCs w:val="22"/>
                      <w:lang w:eastAsia="zh-CN"/>
                    </w:rPr>
                  </w:pPr>
                  <w:r>
                    <w:rPr>
                      <w:rFonts w:hint="eastAsia" w:ascii="宋体" w:hAnsi="宋体" w:eastAsia="宋体" w:cs="宋体"/>
                      <w:kern w:val="0"/>
                      <w:sz w:val="22"/>
                      <w:szCs w:val="22"/>
                    </w:rPr>
                    <w:t>警察标牌安装在电警杆上，120cm</w:t>
                  </w:r>
                  <w:r>
                    <w:rPr>
                      <w:rFonts w:hint="eastAsia" w:ascii="宋体" w:hAnsi="宋体" w:eastAsia="宋体" w:cs="宋体"/>
                      <w:kern w:val="0"/>
                      <w:sz w:val="22"/>
                      <w:szCs w:val="22"/>
                      <w:lang w:val="en-US" w:eastAsia="zh-CN"/>
                    </w:rPr>
                    <w:t>×</w:t>
                  </w:r>
                  <w:r>
                    <w:rPr>
                      <w:rFonts w:hint="eastAsia" w:ascii="宋体" w:hAnsi="宋体" w:eastAsia="宋体" w:cs="宋体"/>
                      <w:kern w:val="0"/>
                      <w:sz w:val="22"/>
                      <w:szCs w:val="22"/>
                    </w:rPr>
                    <w:t>100cm交通违法监控牌，要求铝合金板材、标识材质高亮反光</w:t>
                  </w:r>
                  <w:r>
                    <w:rPr>
                      <w:rFonts w:hint="eastAsia" w:ascii="宋体" w:hAnsi="宋体" w:eastAsia="宋体" w:cs="宋体"/>
                      <w:kern w:val="0"/>
                      <w:sz w:val="22"/>
                      <w:szCs w:val="22"/>
                      <w:lang w:val="en-US" w:eastAsia="zh-CN"/>
                    </w:rPr>
                    <w:t>。</w:t>
                  </w:r>
                </w:p>
              </w:tc>
              <w:tc>
                <w:tcPr>
                  <w:tcW w:w="523" w:type="dxa"/>
                  <w:tcBorders>
                    <w:top w:val="nil"/>
                    <w:left w:val="nil"/>
                    <w:bottom w:val="single" w:color="auto" w:sz="4" w:space="0"/>
                    <w:right w:val="single" w:color="auto" w:sz="4" w:space="0"/>
                  </w:tcBorders>
                  <w:shd w:val="clear" w:color="auto" w:fill="auto"/>
                  <w:vAlign w:val="center"/>
                </w:tcPr>
                <w:p w14:paraId="1AE7D3CE">
                  <w:pPr>
                    <w:widowControl/>
                    <w:spacing w:line="36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套</w:t>
                  </w:r>
                </w:p>
              </w:tc>
              <w:tc>
                <w:tcPr>
                  <w:tcW w:w="575" w:type="dxa"/>
                  <w:tcBorders>
                    <w:top w:val="nil"/>
                    <w:left w:val="nil"/>
                    <w:bottom w:val="single" w:color="auto" w:sz="4" w:space="0"/>
                    <w:right w:val="single" w:color="auto" w:sz="4" w:space="0"/>
                  </w:tcBorders>
                  <w:shd w:val="clear" w:color="auto" w:fill="auto"/>
                  <w:vAlign w:val="center"/>
                </w:tcPr>
                <w:p w14:paraId="032FE019">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w:t>
                  </w:r>
                </w:p>
              </w:tc>
            </w:tr>
            <w:tr w14:paraId="3A28D9EA">
              <w:tblPrEx>
                <w:tblCellMar>
                  <w:top w:w="0" w:type="dxa"/>
                  <w:left w:w="108" w:type="dxa"/>
                  <w:bottom w:w="0" w:type="dxa"/>
                  <w:right w:w="108" w:type="dxa"/>
                </w:tblCellMar>
              </w:tblPrEx>
              <w:trPr>
                <w:trHeight w:val="639"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6970975B">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9</w:t>
                  </w:r>
                </w:p>
              </w:tc>
              <w:tc>
                <w:tcPr>
                  <w:tcW w:w="2025" w:type="dxa"/>
                  <w:tcBorders>
                    <w:top w:val="nil"/>
                    <w:left w:val="nil"/>
                    <w:bottom w:val="single" w:color="auto" w:sz="4" w:space="0"/>
                    <w:right w:val="single" w:color="auto" w:sz="4" w:space="0"/>
                  </w:tcBorders>
                  <w:shd w:val="clear" w:color="auto" w:fill="auto"/>
                  <w:vAlign w:val="center"/>
                </w:tcPr>
                <w:p w14:paraId="5E73F848">
                  <w:pPr>
                    <w:widowControl/>
                    <w:spacing w:line="360" w:lineRule="auto"/>
                    <w:ind w:firstLine="0" w:firstLineChars="0"/>
                    <w:jc w:val="left"/>
                    <w:rPr>
                      <w:rFonts w:hint="eastAsia" w:ascii="宋体" w:hAnsi="宋体" w:eastAsia="宋体" w:cs="宋体"/>
                      <w:kern w:val="0"/>
                      <w:sz w:val="22"/>
                      <w:szCs w:val="22"/>
                      <w:lang w:eastAsia="zh-CN"/>
                    </w:rPr>
                  </w:pPr>
                  <w:r>
                    <w:rPr>
                      <w:rFonts w:hint="eastAsia" w:ascii="宋体" w:hAnsi="宋体" w:eastAsia="宋体" w:cs="宋体"/>
                      <w:kern w:val="0"/>
                      <w:sz w:val="22"/>
                      <w:szCs w:val="22"/>
                    </w:rPr>
                    <w:t>前方提示牌</w:t>
                  </w:r>
                  <w:r>
                    <w:rPr>
                      <w:rFonts w:hint="eastAsia" w:ascii="宋体" w:hAnsi="宋体" w:eastAsia="宋体" w:cs="宋体"/>
                      <w:kern w:val="0"/>
                      <w:sz w:val="22"/>
                      <w:szCs w:val="22"/>
                      <w:lang w:eastAsia="zh-CN"/>
                    </w:rPr>
                    <w:t>（</w:t>
                  </w:r>
                  <w:r>
                    <w:rPr>
                      <w:rFonts w:hint="eastAsia" w:ascii="宋体" w:hAnsi="宋体" w:eastAsia="宋体" w:cs="宋体"/>
                      <w:kern w:val="0"/>
                      <w:sz w:val="22"/>
                      <w:szCs w:val="22"/>
                    </w:rPr>
                    <w:t>1</w:t>
                  </w:r>
                  <w:r>
                    <w:rPr>
                      <w:rFonts w:hint="eastAsia" w:ascii="宋体" w:hAnsi="宋体" w:eastAsia="宋体" w:cs="宋体"/>
                      <w:kern w:val="0"/>
                      <w:sz w:val="22"/>
                      <w:szCs w:val="22"/>
                      <w:lang w:eastAsia="zh-CN"/>
                    </w:rPr>
                    <w:t>）</w:t>
                  </w:r>
                </w:p>
              </w:tc>
              <w:tc>
                <w:tcPr>
                  <w:tcW w:w="3719" w:type="dxa"/>
                  <w:tcBorders>
                    <w:top w:val="nil"/>
                    <w:left w:val="nil"/>
                    <w:bottom w:val="single" w:color="auto" w:sz="4" w:space="0"/>
                    <w:right w:val="single" w:color="auto" w:sz="4" w:space="0"/>
                  </w:tcBorders>
                  <w:shd w:val="clear" w:color="auto" w:fill="auto"/>
                  <w:noWrap/>
                  <w:vAlign w:val="center"/>
                </w:tcPr>
                <w:p w14:paraId="66FBAD8C">
                  <w:pPr>
                    <w:widowControl/>
                    <w:spacing w:line="360" w:lineRule="auto"/>
                    <w:ind w:firstLine="0" w:firstLineChars="0"/>
                    <w:jc w:val="left"/>
                    <w:rPr>
                      <w:rFonts w:hint="eastAsia" w:ascii="宋体" w:hAnsi="宋体" w:eastAsia="宋体" w:cs="宋体"/>
                      <w:kern w:val="0"/>
                      <w:sz w:val="22"/>
                      <w:szCs w:val="22"/>
                      <w:lang w:val="en-US" w:eastAsia="zh-CN"/>
                    </w:rPr>
                  </w:pPr>
                  <w:r>
                    <w:rPr>
                      <w:rFonts w:hint="eastAsia" w:ascii="宋体" w:hAnsi="宋体" w:eastAsia="宋体" w:cs="宋体"/>
                      <w:kern w:val="0"/>
                      <w:sz w:val="22"/>
                      <w:szCs w:val="22"/>
                    </w:rPr>
                    <w:t>单立柱标牌</w:t>
                  </w:r>
                  <w:r>
                    <w:rPr>
                      <w:rFonts w:hint="eastAsia" w:ascii="宋体" w:hAnsi="宋体" w:eastAsia="宋体" w:cs="宋体"/>
                      <w:kern w:val="0"/>
                      <w:sz w:val="22"/>
                      <w:szCs w:val="22"/>
                      <w:lang w:eastAsia="zh-CN"/>
                    </w:rPr>
                    <w:t>（</w:t>
                  </w:r>
                  <w:r>
                    <w:rPr>
                      <w:rFonts w:hint="eastAsia" w:ascii="宋体" w:hAnsi="宋体" w:eastAsia="宋体" w:cs="宋体"/>
                      <w:kern w:val="0"/>
                      <w:sz w:val="22"/>
                      <w:szCs w:val="22"/>
                    </w:rPr>
                    <w:t>1</w:t>
                  </w:r>
                  <w:r>
                    <w:rPr>
                      <w:rFonts w:hint="eastAsia" w:ascii="宋体" w:hAnsi="宋体" w:eastAsia="宋体" w:cs="宋体"/>
                      <w:kern w:val="0"/>
                      <w:sz w:val="22"/>
                      <w:szCs w:val="22"/>
                      <w:lang w:eastAsia="zh-CN"/>
                    </w:rPr>
                    <w:t>）</w:t>
                  </w:r>
                  <w:r>
                    <w:rPr>
                      <w:rFonts w:hint="eastAsia" w:ascii="宋体" w:hAnsi="宋体" w:eastAsia="宋体" w:cs="宋体"/>
                      <w:kern w:val="0"/>
                      <w:sz w:val="22"/>
                      <w:szCs w:val="22"/>
                    </w:rPr>
                    <w:t xml:space="preserve"> ，含150</w:t>
                  </w:r>
                  <w:r>
                    <w:rPr>
                      <w:rFonts w:hint="eastAsia" w:ascii="宋体" w:hAnsi="宋体" w:eastAsia="宋体" w:cs="宋体"/>
                      <w:kern w:val="0"/>
                      <w:sz w:val="22"/>
                      <w:szCs w:val="22"/>
                      <w:lang w:val="en-US" w:eastAsia="zh-CN"/>
                    </w:rPr>
                    <w:t>cm×</w:t>
                  </w:r>
                  <w:r>
                    <w:rPr>
                      <w:rFonts w:hint="eastAsia" w:ascii="宋体" w:hAnsi="宋体" w:eastAsia="宋体" w:cs="宋体"/>
                      <w:kern w:val="0"/>
                      <w:sz w:val="22"/>
                      <w:szCs w:val="22"/>
                    </w:rPr>
                    <w:t>80cm车道指示牌，要求铝合金板材、标识材质高亮反光</w:t>
                  </w:r>
                  <w:r>
                    <w:rPr>
                      <w:rFonts w:hint="eastAsia" w:ascii="宋体" w:hAnsi="宋体" w:eastAsia="宋体" w:cs="宋体"/>
                      <w:kern w:val="0"/>
                      <w:sz w:val="22"/>
                      <w:szCs w:val="22"/>
                      <w:lang w:val="en-US" w:eastAsia="zh-CN"/>
                    </w:rPr>
                    <w:t>。</w:t>
                  </w:r>
                </w:p>
              </w:tc>
              <w:tc>
                <w:tcPr>
                  <w:tcW w:w="523" w:type="dxa"/>
                  <w:tcBorders>
                    <w:top w:val="nil"/>
                    <w:left w:val="nil"/>
                    <w:bottom w:val="single" w:color="auto" w:sz="4" w:space="0"/>
                    <w:right w:val="single" w:color="auto" w:sz="4" w:space="0"/>
                  </w:tcBorders>
                  <w:shd w:val="clear" w:color="auto" w:fill="auto"/>
                  <w:vAlign w:val="center"/>
                </w:tcPr>
                <w:p w14:paraId="2B05E3A6">
                  <w:pPr>
                    <w:widowControl/>
                    <w:spacing w:line="36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套</w:t>
                  </w:r>
                </w:p>
              </w:tc>
              <w:tc>
                <w:tcPr>
                  <w:tcW w:w="575" w:type="dxa"/>
                  <w:tcBorders>
                    <w:top w:val="nil"/>
                    <w:left w:val="nil"/>
                    <w:bottom w:val="single" w:color="auto" w:sz="4" w:space="0"/>
                    <w:right w:val="single" w:color="auto" w:sz="4" w:space="0"/>
                  </w:tcBorders>
                  <w:shd w:val="clear" w:color="auto" w:fill="auto"/>
                  <w:vAlign w:val="center"/>
                </w:tcPr>
                <w:p w14:paraId="7F0DA215">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r>
            <w:tr w14:paraId="4136FCA3">
              <w:tblPrEx>
                <w:tblCellMar>
                  <w:top w:w="0" w:type="dxa"/>
                  <w:left w:w="108" w:type="dxa"/>
                  <w:bottom w:w="0" w:type="dxa"/>
                  <w:right w:w="108" w:type="dxa"/>
                </w:tblCellMar>
              </w:tblPrEx>
              <w:trPr>
                <w:trHeight w:val="953"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533BB9DB">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w:t>
                  </w:r>
                  <w:r>
                    <w:rPr>
                      <w:rFonts w:hint="eastAsia" w:ascii="宋体" w:hAnsi="宋体" w:eastAsia="宋体" w:cs="宋体"/>
                      <w:color w:val="000000"/>
                      <w:kern w:val="0"/>
                      <w:sz w:val="22"/>
                      <w:szCs w:val="22"/>
                      <w:lang w:val="en-US" w:eastAsia="zh-CN"/>
                    </w:rPr>
                    <w:t>0</w:t>
                  </w:r>
                </w:p>
              </w:tc>
              <w:tc>
                <w:tcPr>
                  <w:tcW w:w="2025" w:type="dxa"/>
                  <w:tcBorders>
                    <w:top w:val="nil"/>
                    <w:left w:val="nil"/>
                    <w:bottom w:val="single" w:color="auto" w:sz="4" w:space="0"/>
                    <w:right w:val="single" w:color="auto" w:sz="4" w:space="0"/>
                  </w:tcBorders>
                  <w:shd w:val="clear" w:color="auto" w:fill="auto"/>
                  <w:vAlign w:val="center"/>
                </w:tcPr>
                <w:p w14:paraId="07E51914">
                  <w:pPr>
                    <w:widowControl/>
                    <w:spacing w:line="360" w:lineRule="auto"/>
                    <w:ind w:firstLine="0" w:firstLineChars="0"/>
                    <w:jc w:val="left"/>
                    <w:rPr>
                      <w:rFonts w:hint="eastAsia" w:ascii="宋体" w:hAnsi="宋体" w:eastAsia="宋体" w:cs="宋体"/>
                      <w:kern w:val="0"/>
                      <w:sz w:val="22"/>
                      <w:szCs w:val="22"/>
                      <w:lang w:eastAsia="zh-CN"/>
                    </w:rPr>
                  </w:pPr>
                  <w:r>
                    <w:rPr>
                      <w:rFonts w:hint="eastAsia" w:ascii="宋体" w:hAnsi="宋体" w:eastAsia="宋体" w:cs="宋体"/>
                      <w:kern w:val="0"/>
                      <w:sz w:val="22"/>
                      <w:szCs w:val="22"/>
                    </w:rPr>
                    <w:t>前方提示牌</w:t>
                  </w:r>
                  <w:r>
                    <w:rPr>
                      <w:rFonts w:hint="eastAsia" w:ascii="宋体" w:hAnsi="宋体" w:eastAsia="宋体" w:cs="宋体"/>
                      <w:kern w:val="0"/>
                      <w:sz w:val="22"/>
                      <w:szCs w:val="22"/>
                      <w:lang w:eastAsia="zh-CN"/>
                    </w:rPr>
                    <w:t>（</w:t>
                  </w:r>
                  <w:r>
                    <w:rPr>
                      <w:rFonts w:hint="eastAsia" w:ascii="宋体" w:hAnsi="宋体" w:eastAsia="宋体" w:cs="宋体"/>
                      <w:kern w:val="0"/>
                      <w:sz w:val="22"/>
                      <w:szCs w:val="22"/>
                    </w:rPr>
                    <w:t>2</w:t>
                  </w:r>
                  <w:r>
                    <w:rPr>
                      <w:rFonts w:hint="eastAsia" w:ascii="宋体" w:hAnsi="宋体" w:eastAsia="宋体" w:cs="宋体"/>
                      <w:kern w:val="0"/>
                      <w:sz w:val="22"/>
                      <w:szCs w:val="22"/>
                      <w:lang w:eastAsia="zh-CN"/>
                    </w:rPr>
                    <w:t>）</w:t>
                  </w:r>
                </w:p>
              </w:tc>
              <w:tc>
                <w:tcPr>
                  <w:tcW w:w="3719" w:type="dxa"/>
                  <w:tcBorders>
                    <w:top w:val="nil"/>
                    <w:left w:val="nil"/>
                    <w:bottom w:val="single" w:color="auto" w:sz="4" w:space="0"/>
                    <w:right w:val="single" w:color="auto" w:sz="4" w:space="0"/>
                  </w:tcBorders>
                  <w:shd w:val="clear" w:color="auto" w:fill="auto"/>
                  <w:noWrap/>
                  <w:vAlign w:val="center"/>
                </w:tcPr>
                <w:p w14:paraId="0D20E1EC">
                  <w:pPr>
                    <w:widowControl/>
                    <w:spacing w:line="360" w:lineRule="auto"/>
                    <w:ind w:firstLine="0" w:firstLineChars="0"/>
                    <w:jc w:val="left"/>
                    <w:rPr>
                      <w:rFonts w:hint="eastAsia" w:ascii="宋体" w:hAnsi="宋体" w:eastAsia="宋体" w:cs="宋体"/>
                      <w:kern w:val="0"/>
                      <w:sz w:val="22"/>
                      <w:szCs w:val="22"/>
                      <w:lang w:eastAsia="zh-CN"/>
                    </w:rPr>
                  </w:pPr>
                  <w:r>
                    <w:rPr>
                      <w:rFonts w:hint="eastAsia" w:ascii="宋体" w:hAnsi="宋体" w:eastAsia="宋体" w:cs="宋体"/>
                      <w:kern w:val="0"/>
                      <w:sz w:val="22"/>
                      <w:szCs w:val="22"/>
                    </w:rPr>
                    <w:t>单立柱标牌</w:t>
                  </w:r>
                  <w:r>
                    <w:rPr>
                      <w:rFonts w:hint="eastAsia" w:ascii="宋体" w:hAnsi="宋体" w:eastAsia="宋体" w:cs="宋体"/>
                      <w:kern w:val="0"/>
                      <w:sz w:val="22"/>
                      <w:szCs w:val="22"/>
                      <w:lang w:eastAsia="zh-CN"/>
                    </w:rPr>
                    <w:t>（</w:t>
                  </w:r>
                  <w:r>
                    <w:rPr>
                      <w:rFonts w:hint="eastAsia" w:ascii="宋体" w:hAnsi="宋体" w:eastAsia="宋体" w:cs="宋体"/>
                      <w:kern w:val="0"/>
                      <w:sz w:val="22"/>
                      <w:szCs w:val="22"/>
                      <w:lang w:val="en-US" w:eastAsia="zh-CN"/>
                    </w:rPr>
                    <w:t>2</w:t>
                  </w:r>
                  <w:r>
                    <w:rPr>
                      <w:rFonts w:hint="eastAsia" w:ascii="宋体" w:hAnsi="宋体" w:eastAsia="宋体" w:cs="宋体"/>
                      <w:kern w:val="0"/>
                      <w:sz w:val="22"/>
                      <w:szCs w:val="22"/>
                      <w:lang w:eastAsia="zh-CN"/>
                    </w:rPr>
                    <w:t>）</w:t>
                  </w:r>
                  <w:r>
                    <w:rPr>
                      <w:rFonts w:hint="eastAsia" w:ascii="宋体" w:hAnsi="宋体" w:eastAsia="宋体" w:cs="宋体"/>
                      <w:kern w:val="0"/>
                      <w:sz w:val="22"/>
                      <w:szCs w:val="22"/>
                    </w:rPr>
                    <w:t xml:space="preserve"> ，含120</w:t>
                  </w:r>
                  <w:r>
                    <w:rPr>
                      <w:rFonts w:hint="eastAsia" w:ascii="宋体" w:hAnsi="宋体" w:eastAsia="宋体" w:cs="宋体"/>
                      <w:kern w:val="0"/>
                      <w:sz w:val="22"/>
                      <w:szCs w:val="22"/>
                      <w:lang w:val="en-US" w:eastAsia="zh-CN"/>
                    </w:rPr>
                    <w:t>cm×</w:t>
                  </w:r>
                  <w:r>
                    <w:rPr>
                      <w:rFonts w:hint="eastAsia" w:ascii="宋体" w:hAnsi="宋体" w:eastAsia="宋体" w:cs="宋体"/>
                      <w:kern w:val="0"/>
                      <w:sz w:val="22"/>
                      <w:szCs w:val="22"/>
                    </w:rPr>
                    <w:t>100cm前方监控交通违法牌，要求铝合金板材、标识材质高亮反光</w:t>
                  </w:r>
                  <w:r>
                    <w:rPr>
                      <w:rFonts w:hint="eastAsia" w:ascii="宋体" w:hAnsi="宋体" w:eastAsia="宋体" w:cs="宋体"/>
                      <w:kern w:val="0"/>
                      <w:sz w:val="22"/>
                      <w:szCs w:val="22"/>
                      <w:lang w:eastAsia="zh-CN"/>
                    </w:rPr>
                    <w:t>。</w:t>
                  </w:r>
                </w:p>
              </w:tc>
              <w:tc>
                <w:tcPr>
                  <w:tcW w:w="523" w:type="dxa"/>
                  <w:tcBorders>
                    <w:top w:val="nil"/>
                    <w:left w:val="nil"/>
                    <w:bottom w:val="single" w:color="auto" w:sz="4" w:space="0"/>
                    <w:right w:val="single" w:color="auto" w:sz="4" w:space="0"/>
                  </w:tcBorders>
                  <w:shd w:val="clear" w:color="auto" w:fill="auto"/>
                  <w:vAlign w:val="center"/>
                </w:tcPr>
                <w:p w14:paraId="30A173DD">
                  <w:pPr>
                    <w:widowControl/>
                    <w:spacing w:line="36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套</w:t>
                  </w:r>
                </w:p>
              </w:tc>
              <w:tc>
                <w:tcPr>
                  <w:tcW w:w="575" w:type="dxa"/>
                  <w:tcBorders>
                    <w:top w:val="nil"/>
                    <w:left w:val="nil"/>
                    <w:bottom w:val="single" w:color="auto" w:sz="4" w:space="0"/>
                    <w:right w:val="single" w:color="auto" w:sz="4" w:space="0"/>
                  </w:tcBorders>
                  <w:shd w:val="clear" w:color="auto" w:fill="auto"/>
                  <w:vAlign w:val="center"/>
                </w:tcPr>
                <w:p w14:paraId="29A93BBD">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w:t>
                  </w:r>
                </w:p>
              </w:tc>
            </w:tr>
            <w:tr w14:paraId="07CD3DE9">
              <w:tblPrEx>
                <w:tblCellMar>
                  <w:top w:w="0" w:type="dxa"/>
                  <w:left w:w="108" w:type="dxa"/>
                  <w:bottom w:w="0" w:type="dxa"/>
                  <w:right w:w="108" w:type="dxa"/>
                </w:tblCellMar>
              </w:tblPrEx>
              <w:trPr>
                <w:trHeight w:val="639"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693E361D">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w:t>
                  </w:r>
                  <w:r>
                    <w:rPr>
                      <w:rFonts w:hint="eastAsia" w:ascii="宋体" w:hAnsi="宋体" w:eastAsia="宋体" w:cs="宋体"/>
                      <w:color w:val="000000"/>
                      <w:kern w:val="0"/>
                      <w:sz w:val="22"/>
                      <w:szCs w:val="22"/>
                      <w:lang w:val="en-US" w:eastAsia="zh-CN"/>
                    </w:rPr>
                    <w:t>1</w:t>
                  </w:r>
                </w:p>
              </w:tc>
              <w:tc>
                <w:tcPr>
                  <w:tcW w:w="2025" w:type="dxa"/>
                  <w:tcBorders>
                    <w:top w:val="nil"/>
                    <w:left w:val="nil"/>
                    <w:bottom w:val="single" w:color="auto" w:sz="4" w:space="0"/>
                    <w:right w:val="single" w:color="auto" w:sz="4" w:space="0"/>
                  </w:tcBorders>
                  <w:shd w:val="clear" w:color="auto" w:fill="auto"/>
                  <w:vAlign w:val="center"/>
                </w:tcPr>
                <w:p w14:paraId="56D9EAD0">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三维万向节支架</w:t>
                  </w:r>
                </w:p>
              </w:tc>
              <w:tc>
                <w:tcPr>
                  <w:tcW w:w="3719" w:type="dxa"/>
                  <w:tcBorders>
                    <w:top w:val="nil"/>
                    <w:left w:val="nil"/>
                    <w:bottom w:val="single" w:color="auto" w:sz="4" w:space="0"/>
                    <w:right w:val="single" w:color="auto" w:sz="4" w:space="0"/>
                  </w:tcBorders>
                  <w:shd w:val="clear" w:color="auto" w:fill="auto"/>
                  <w:noWrap/>
                  <w:vAlign w:val="center"/>
                </w:tcPr>
                <w:p w14:paraId="0DD795D3">
                  <w:pPr>
                    <w:widowControl/>
                    <w:spacing w:line="360" w:lineRule="auto"/>
                    <w:ind w:firstLine="0" w:firstLineChars="0"/>
                    <w:jc w:val="left"/>
                    <w:rPr>
                      <w:rFonts w:hint="eastAsia" w:ascii="宋体" w:hAnsi="宋体" w:eastAsia="宋体" w:cs="宋体"/>
                      <w:kern w:val="0"/>
                      <w:sz w:val="22"/>
                      <w:szCs w:val="22"/>
                      <w:lang w:eastAsia="zh-CN"/>
                    </w:rPr>
                  </w:pPr>
                  <w:r>
                    <w:rPr>
                      <w:rFonts w:hint="eastAsia" w:ascii="宋体" w:hAnsi="宋体" w:eastAsia="宋体" w:cs="宋体"/>
                      <w:kern w:val="0"/>
                      <w:sz w:val="22"/>
                      <w:szCs w:val="22"/>
                      <w:lang w:val="en-US" w:eastAsia="zh-CN"/>
                    </w:rPr>
                    <w:t>定制</w:t>
                  </w:r>
                </w:p>
              </w:tc>
              <w:tc>
                <w:tcPr>
                  <w:tcW w:w="523" w:type="dxa"/>
                  <w:tcBorders>
                    <w:top w:val="nil"/>
                    <w:left w:val="nil"/>
                    <w:bottom w:val="single" w:color="auto" w:sz="4" w:space="0"/>
                    <w:right w:val="single" w:color="auto" w:sz="4" w:space="0"/>
                  </w:tcBorders>
                  <w:shd w:val="clear" w:color="auto" w:fill="auto"/>
                  <w:vAlign w:val="center"/>
                </w:tcPr>
                <w:p w14:paraId="66CD1058">
                  <w:pPr>
                    <w:widowControl/>
                    <w:spacing w:line="36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个</w:t>
                  </w:r>
                </w:p>
              </w:tc>
              <w:tc>
                <w:tcPr>
                  <w:tcW w:w="575" w:type="dxa"/>
                  <w:tcBorders>
                    <w:top w:val="nil"/>
                    <w:left w:val="nil"/>
                    <w:bottom w:val="single" w:color="auto" w:sz="4" w:space="0"/>
                    <w:right w:val="single" w:color="auto" w:sz="4" w:space="0"/>
                  </w:tcBorders>
                  <w:shd w:val="clear" w:color="auto" w:fill="auto"/>
                  <w:vAlign w:val="center"/>
                </w:tcPr>
                <w:p w14:paraId="771FC763">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137</w:t>
                  </w:r>
                </w:p>
              </w:tc>
            </w:tr>
            <w:tr w14:paraId="2129B03F">
              <w:tblPrEx>
                <w:tblCellMar>
                  <w:top w:w="0" w:type="dxa"/>
                  <w:left w:w="108" w:type="dxa"/>
                  <w:bottom w:w="0" w:type="dxa"/>
                  <w:right w:w="108" w:type="dxa"/>
                </w:tblCellMar>
              </w:tblPrEx>
              <w:trPr>
                <w:trHeight w:val="639"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3D6429FA">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w:t>
                  </w:r>
                  <w:r>
                    <w:rPr>
                      <w:rFonts w:hint="eastAsia" w:ascii="宋体" w:hAnsi="宋体" w:eastAsia="宋体" w:cs="宋体"/>
                      <w:color w:val="000000"/>
                      <w:kern w:val="0"/>
                      <w:sz w:val="22"/>
                      <w:szCs w:val="22"/>
                      <w:lang w:val="en-US" w:eastAsia="zh-CN"/>
                    </w:rPr>
                    <w:t>2</w:t>
                  </w:r>
                </w:p>
              </w:tc>
              <w:tc>
                <w:tcPr>
                  <w:tcW w:w="2025" w:type="dxa"/>
                  <w:tcBorders>
                    <w:top w:val="nil"/>
                    <w:left w:val="nil"/>
                    <w:bottom w:val="single" w:color="auto" w:sz="4" w:space="0"/>
                    <w:right w:val="single" w:color="auto" w:sz="4" w:space="0"/>
                  </w:tcBorders>
                  <w:shd w:val="clear" w:color="auto" w:fill="auto"/>
                  <w:vAlign w:val="center"/>
                </w:tcPr>
                <w:p w14:paraId="0852693E">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球型摄像机支架</w:t>
                  </w:r>
                </w:p>
              </w:tc>
              <w:tc>
                <w:tcPr>
                  <w:tcW w:w="3719" w:type="dxa"/>
                  <w:tcBorders>
                    <w:top w:val="nil"/>
                    <w:left w:val="nil"/>
                    <w:bottom w:val="single" w:color="auto" w:sz="4" w:space="0"/>
                    <w:right w:val="single" w:color="auto" w:sz="4" w:space="0"/>
                  </w:tcBorders>
                  <w:shd w:val="clear" w:color="auto" w:fill="auto"/>
                  <w:noWrap/>
                  <w:vAlign w:val="center"/>
                </w:tcPr>
                <w:p w14:paraId="620D481F">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lang w:val="en-US" w:eastAsia="zh-CN"/>
                    </w:rPr>
                    <w:t>定制</w:t>
                  </w:r>
                </w:p>
              </w:tc>
              <w:tc>
                <w:tcPr>
                  <w:tcW w:w="523" w:type="dxa"/>
                  <w:tcBorders>
                    <w:top w:val="nil"/>
                    <w:left w:val="nil"/>
                    <w:bottom w:val="single" w:color="auto" w:sz="4" w:space="0"/>
                    <w:right w:val="single" w:color="auto" w:sz="4" w:space="0"/>
                  </w:tcBorders>
                  <w:shd w:val="clear" w:color="auto" w:fill="auto"/>
                  <w:vAlign w:val="center"/>
                </w:tcPr>
                <w:p w14:paraId="330FDE20">
                  <w:pPr>
                    <w:widowControl/>
                    <w:spacing w:line="36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个</w:t>
                  </w:r>
                </w:p>
              </w:tc>
              <w:tc>
                <w:tcPr>
                  <w:tcW w:w="575" w:type="dxa"/>
                  <w:tcBorders>
                    <w:top w:val="nil"/>
                    <w:left w:val="nil"/>
                    <w:bottom w:val="single" w:color="auto" w:sz="4" w:space="0"/>
                    <w:right w:val="single" w:color="auto" w:sz="4" w:space="0"/>
                  </w:tcBorders>
                  <w:shd w:val="clear" w:color="auto" w:fill="auto"/>
                  <w:vAlign w:val="center"/>
                </w:tcPr>
                <w:p w14:paraId="31097FF1">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w:t>
                  </w:r>
                </w:p>
              </w:tc>
            </w:tr>
            <w:tr w14:paraId="6C5AAB27">
              <w:tblPrEx>
                <w:tblCellMar>
                  <w:top w:w="0" w:type="dxa"/>
                  <w:left w:w="108" w:type="dxa"/>
                  <w:bottom w:w="0" w:type="dxa"/>
                  <w:right w:w="108" w:type="dxa"/>
                </w:tblCellMar>
              </w:tblPrEx>
              <w:trPr>
                <w:trHeight w:val="324"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687097C1">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w:t>
                  </w:r>
                  <w:r>
                    <w:rPr>
                      <w:rFonts w:hint="eastAsia" w:ascii="宋体" w:hAnsi="宋体" w:eastAsia="宋体" w:cs="宋体"/>
                      <w:color w:val="000000"/>
                      <w:kern w:val="0"/>
                      <w:sz w:val="22"/>
                      <w:szCs w:val="22"/>
                      <w:lang w:val="en-US" w:eastAsia="zh-CN"/>
                    </w:rPr>
                    <w:t>3</w:t>
                  </w:r>
                </w:p>
              </w:tc>
              <w:tc>
                <w:tcPr>
                  <w:tcW w:w="2025" w:type="dxa"/>
                  <w:tcBorders>
                    <w:top w:val="nil"/>
                    <w:left w:val="nil"/>
                    <w:bottom w:val="single" w:color="auto" w:sz="4" w:space="0"/>
                    <w:right w:val="single" w:color="auto" w:sz="4" w:space="0"/>
                  </w:tcBorders>
                  <w:shd w:val="clear" w:color="auto" w:fill="auto"/>
                  <w:vAlign w:val="center"/>
                </w:tcPr>
                <w:p w14:paraId="486B59EF">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网络线缆</w:t>
                  </w:r>
                </w:p>
              </w:tc>
              <w:tc>
                <w:tcPr>
                  <w:tcW w:w="3719" w:type="dxa"/>
                  <w:tcBorders>
                    <w:top w:val="nil"/>
                    <w:left w:val="nil"/>
                    <w:bottom w:val="single" w:color="auto" w:sz="4" w:space="0"/>
                    <w:right w:val="single" w:color="auto" w:sz="4" w:space="0"/>
                  </w:tcBorders>
                  <w:shd w:val="clear" w:color="auto" w:fill="auto"/>
                  <w:noWrap/>
                  <w:vAlign w:val="center"/>
                </w:tcPr>
                <w:p w14:paraId="33CFD801">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超5类8芯双绞线</w:t>
                  </w:r>
                </w:p>
              </w:tc>
              <w:tc>
                <w:tcPr>
                  <w:tcW w:w="523" w:type="dxa"/>
                  <w:tcBorders>
                    <w:top w:val="nil"/>
                    <w:left w:val="nil"/>
                    <w:bottom w:val="single" w:color="auto" w:sz="4" w:space="0"/>
                    <w:right w:val="single" w:color="auto" w:sz="4" w:space="0"/>
                  </w:tcBorders>
                  <w:shd w:val="clear" w:color="auto" w:fill="auto"/>
                  <w:vAlign w:val="center"/>
                </w:tcPr>
                <w:p w14:paraId="45F72120">
                  <w:pPr>
                    <w:widowControl/>
                    <w:spacing w:line="36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米</w:t>
                  </w:r>
                </w:p>
              </w:tc>
              <w:tc>
                <w:tcPr>
                  <w:tcW w:w="575" w:type="dxa"/>
                  <w:tcBorders>
                    <w:top w:val="nil"/>
                    <w:left w:val="nil"/>
                    <w:bottom w:val="single" w:color="auto" w:sz="4" w:space="0"/>
                    <w:right w:val="single" w:color="auto" w:sz="4" w:space="0"/>
                  </w:tcBorders>
                  <w:shd w:val="clear" w:color="auto" w:fill="auto"/>
                  <w:vAlign w:val="center"/>
                </w:tcPr>
                <w:p w14:paraId="797C9487">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855</w:t>
                  </w:r>
                </w:p>
              </w:tc>
            </w:tr>
            <w:tr w14:paraId="0BB69BDC">
              <w:tblPrEx>
                <w:tblCellMar>
                  <w:top w:w="0" w:type="dxa"/>
                  <w:left w:w="108" w:type="dxa"/>
                  <w:bottom w:w="0" w:type="dxa"/>
                  <w:right w:w="108" w:type="dxa"/>
                </w:tblCellMar>
              </w:tblPrEx>
              <w:trPr>
                <w:trHeight w:val="639"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48666111">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w:t>
                  </w:r>
                  <w:r>
                    <w:rPr>
                      <w:rFonts w:hint="eastAsia" w:ascii="宋体" w:hAnsi="宋体" w:eastAsia="宋体" w:cs="宋体"/>
                      <w:color w:val="000000"/>
                      <w:kern w:val="0"/>
                      <w:sz w:val="22"/>
                      <w:szCs w:val="22"/>
                      <w:lang w:val="en-US" w:eastAsia="zh-CN"/>
                    </w:rPr>
                    <w:t>4</w:t>
                  </w:r>
                </w:p>
              </w:tc>
              <w:tc>
                <w:tcPr>
                  <w:tcW w:w="2025" w:type="dxa"/>
                  <w:tcBorders>
                    <w:top w:val="nil"/>
                    <w:left w:val="nil"/>
                    <w:bottom w:val="single" w:color="auto" w:sz="4" w:space="0"/>
                    <w:right w:val="single" w:color="auto" w:sz="4" w:space="0"/>
                  </w:tcBorders>
                  <w:shd w:val="clear" w:color="auto" w:fill="auto"/>
                  <w:vAlign w:val="center"/>
                </w:tcPr>
                <w:p w14:paraId="73C1D2F2">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光纤线缆</w:t>
                  </w:r>
                </w:p>
              </w:tc>
              <w:tc>
                <w:tcPr>
                  <w:tcW w:w="3719" w:type="dxa"/>
                  <w:tcBorders>
                    <w:top w:val="nil"/>
                    <w:left w:val="nil"/>
                    <w:bottom w:val="single" w:color="auto" w:sz="4" w:space="0"/>
                    <w:right w:val="single" w:color="auto" w:sz="4" w:space="0"/>
                  </w:tcBorders>
                  <w:shd w:val="clear" w:color="auto" w:fill="auto"/>
                  <w:noWrap/>
                  <w:vAlign w:val="center"/>
                </w:tcPr>
                <w:p w14:paraId="1C567435">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4芯单模室外光缆</w:t>
                  </w:r>
                </w:p>
              </w:tc>
              <w:tc>
                <w:tcPr>
                  <w:tcW w:w="523" w:type="dxa"/>
                  <w:tcBorders>
                    <w:top w:val="nil"/>
                    <w:left w:val="nil"/>
                    <w:bottom w:val="single" w:color="auto" w:sz="4" w:space="0"/>
                    <w:right w:val="single" w:color="auto" w:sz="4" w:space="0"/>
                  </w:tcBorders>
                  <w:shd w:val="clear" w:color="auto" w:fill="auto"/>
                  <w:vAlign w:val="center"/>
                </w:tcPr>
                <w:p w14:paraId="4454E139">
                  <w:pPr>
                    <w:widowControl/>
                    <w:spacing w:line="36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米</w:t>
                  </w:r>
                </w:p>
              </w:tc>
              <w:tc>
                <w:tcPr>
                  <w:tcW w:w="575" w:type="dxa"/>
                  <w:tcBorders>
                    <w:top w:val="nil"/>
                    <w:left w:val="nil"/>
                    <w:bottom w:val="single" w:color="auto" w:sz="4" w:space="0"/>
                    <w:right w:val="single" w:color="auto" w:sz="4" w:space="0"/>
                  </w:tcBorders>
                  <w:shd w:val="clear" w:color="auto" w:fill="auto"/>
                  <w:vAlign w:val="center"/>
                </w:tcPr>
                <w:p w14:paraId="715F9E6C">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1800</w:t>
                  </w:r>
                </w:p>
              </w:tc>
            </w:tr>
            <w:tr w14:paraId="776863E6">
              <w:tblPrEx>
                <w:tblCellMar>
                  <w:top w:w="0" w:type="dxa"/>
                  <w:left w:w="108" w:type="dxa"/>
                  <w:bottom w:w="0" w:type="dxa"/>
                  <w:right w:w="108" w:type="dxa"/>
                </w:tblCellMar>
              </w:tblPrEx>
              <w:trPr>
                <w:trHeight w:val="324"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61B4F945">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w:t>
                  </w:r>
                  <w:r>
                    <w:rPr>
                      <w:rFonts w:hint="eastAsia" w:ascii="宋体" w:hAnsi="宋体" w:eastAsia="宋体" w:cs="宋体"/>
                      <w:color w:val="000000"/>
                      <w:kern w:val="0"/>
                      <w:sz w:val="22"/>
                      <w:szCs w:val="22"/>
                      <w:lang w:val="en-US" w:eastAsia="zh-CN"/>
                    </w:rPr>
                    <w:t>5</w:t>
                  </w:r>
                </w:p>
              </w:tc>
              <w:tc>
                <w:tcPr>
                  <w:tcW w:w="2025" w:type="dxa"/>
                  <w:tcBorders>
                    <w:top w:val="nil"/>
                    <w:left w:val="nil"/>
                    <w:bottom w:val="single" w:color="auto" w:sz="4" w:space="0"/>
                    <w:right w:val="single" w:color="auto" w:sz="4" w:space="0"/>
                  </w:tcBorders>
                  <w:shd w:val="clear" w:color="auto" w:fill="auto"/>
                  <w:vAlign w:val="center"/>
                </w:tcPr>
                <w:p w14:paraId="75BC8BDE">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主干电缆</w:t>
                  </w:r>
                </w:p>
              </w:tc>
              <w:tc>
                <w:tcPr>
                  <w:tcW w:w="3719" w:type="dxa"/>
                  <w:tcBorders>
                    <w:top w:val="nil"/>
                    <w:left w:val="nil"/>
                    <w:bottom w:val="single" w:color="auto" w:sz="4" w:space="0"/>
                    <w:right w:val="single" w:color="auto" w:sz="4" w:space="0"/>
                  </w:tcBorders>
                  <w:shd w:val="clear" w:color="auto" w:fill="auto"/>
                  <w:noWrap/>
                  <w:vAlign w:val="center"/>
                </w:tcPr>
                <w:p w14:paraId="62FCF73E">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RVV-3</w:t>
                  </w:r>
                  <w:r>
                    <w:rPr>
                      <w:rFonts w:hint="eastAsia" w:ascii="宋体" w:hAnsi="宋体" w:eastAsia="宋体" w:cs="宋体"/>
                      <w:kern w:val="0"/>
                      <w:sz w:val="22"/>
                      <w:szCs w:val="22"/>
                      <w:lang w:val="en-US" w:eastAsia="zh-CN"/>
                    </w:rPr>
                    <w:t>×</w:t>
                  </w:r>
                  <w:r>
                    <w:rPr>
                      <w:rFonts w:hint="eastAsia" w:ascii="宋体" w:hAnsi="宋体" w:eastAsia="宋体" w:cs="宋体"/>
                      <w:kern w:val="0"/>
                      <w:sz w:val="22"/>
                      <w:szCs w:val="22"/>
                    </w:rPr>
                    <w:t>10mm²</w:t>
                  </w:r>
                </w:p>
              </w:tc>
              <w:tc>
                <w:tcPr>
                  <w:tcW w:w="523" w:type="dxa"/>
                  <w:tcBorders>
                    <w:top w:val="nil"/>
                    <w:left w:val="nil"/>
                    <w:bottom w:val="single" w:color="auto" w:sz="4" w:space="0"/>
                    <w:right w:val="single" w:color="auto" w:sz="4" w:space="0"/>
                  </w:tcBorders>
                  <w:shd w:val="clear" w:color="auto" w:fill="auto"/>
                  <w:vAlign w:val="center"/>
                </w:tcPr>
                <w:p w14:paraId="6C5DE58D">
                  <w:pPr>
                    <w:widowControl/>
                    <w:spacing w:line="36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米</w:t>
                  </w:r>
                </w:p>
              </w:tc>
              <w:tc>
                <w:tcPr>
                  <w:tcW w:w="575" w:type="dxa"/>
                  <w:tcBorders>
                    <w:top w:val="nil"/>
                    <w:left w:val="nil"/>
                    <w:bottom w:val="single" w:color="auto" w:sz="4" w:space="0"/>
                    <w:right w:val="single" w:color="auto" w:sz="4" w:space="0"/>
                  </w:tcBorders>
                  <w:shd w:val="clear" w:color="auto" w:fill="auto"/>
                  <w:vAlign w:val="center"/>
                </w:tcPr>
                <w:p w14:paraId="293E87CA">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w:t>
                  </w:r>
                </w:p>
              </w:tc>
            </w:tr>
            <w:tr w14:paraId="67A12929">
              <w:tblPrEx>
                <w:tblCellMar>
                  <w:top w:w="0" w:type="dxa"/>
                  <w:left w:w="108" w:type="dxa"/>
                  <w:bottom w:w="0" w:type="dxa"/>
                  <w:right w:w="108" w:type="dxa"/>
                </w:tblCellMar>
              </w:tblPrEx>
              <w:trPr>
                <w:trHeight w:val="639"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55E2B0AF">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w:t>
                  </w:r>
                  <w:r>
                    <w:rPr>
                      <w:rFonts w:hint="eastAsia" w:ascii="宋体" w:hAnsi="宋体" w:eastAsia="宋体" w:cs="宋体"/>
                      <w:color w:val="000000"/>
                      <w:kern w:val="0"/>
                      <w:sz w:val="22"/>
                      <w:szCs w:val="22"/>
                      <w:lang w:val="en-US" w:eastAsia="zh-CN"/>
                    </w:rPr>
                    <w:t>6</w:t>
                  </w:r>
                </w:p>
              </w:tc>
              <w:tc>
                <w:tcPr>
                  <w:tcW w:w="2025" w:type="dxa"/>
                  <w:tcBorders>
                    <w:top w:val="nil"/>
                    <w:left w:val="nil"/>
                    <w:bottom w:val="single" w:color="auto" w:sz="4" w:space="0"/>
                    <w:right w:val="single" w:color="auto" w:sz="4" w:space="0"/>
                  </w:tcBorders>
                  <w:shd w:val="clear" w:color="auto" w:fill="auto"/>
                  <w:vAlign w:val="center"/>
                </w:tcPr>
                <w:p w14:paraId="5B544D5E">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机柜到监控点位电缆</w:t>
                  </w:r>
                </w:p>
              </w:tc>
              <w:tc>
                <w:tcPr>
                  <w:tcW w:w="3719" w:type="dxa"/>
                  <w:tcBorders>
                    <w:top w:val="nil"/>
                    <w:left w:val="nil"/>
                    <w:bottom w:val="single" w:color="auto" w:sz="4" w:space="0"/>
                    <w:right w:val="single" w:color="auto" w:sz="4" w:space="0"/>
                  </w:tcBorders>
                  <w:shd w:val="clear" w:color="auto" w:fill="auto"/>
                  <w:noWrap/>
                  <w:vAlign w:val="center"/>
                </w:tcPr>
                <w:p w14:paraId="09E1B3EE">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RVV-3</w:t>
                  </w:r>
                  <w:r>
                    <w:rPr>
                      <w:rFonts w:hint="eastAsia" w:ascii="宋体" w:hAnsi="宋体" w:eastAsia="宋体" w:cs="宋体"/>
                      <w:kern w:val="0"/>
                      <w:sz w:val="22"/>
                      <w:szCs w:val="22"/>
                      <w:lang w:val="en-US" w:eastAsia="zh-CN"/>
                    </w:rPr>
                    <w:t>×</w:t>
                  </w:r>
                  <w:r>
                    <w:rPr>
                      <w:rFonts w:hint="eastAsia" w:ascii="宋体" w:hAnsi="宋体" w:eastAsia="宋体" w:cs="宋体"/>
                      <w:kern w:val="0"/>
                      <w:sz w:val="22"/>
                      <w:szCs w:val="22"/>
                    </w:rPr>
                    <w:t>4mm²</w:t>
                  </w:r>
                </w:p>
              </w:tc>
              <w:tc>
                <w:tcPr>
                  <w:tcW w:w="523" w:type="dxa"/>
                  <w:tcBorders>
                    <w:top w:val="nil"/>
                    <w:left w:val="nil"/>
                    <w:bottom w:val="single" w:color="auto" w:sz="4" w:space="0"/>
                    <w:right w:val="single" w:color="auto" w:sz="4" w:space="0"/>
                  </w:tcBorders>
                  <w:shd w:val="clear" w:color="auto" w:fill="auto"/>
                  <w:vAlign w:val="center"/>
                </w:tcPr>
                <w:p w14:paraId="4EA04229">
                  <w:pPr>
                    <w:widowControl/>
                    <w:spacing w:line="36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米</w:t>
                  </w:r>
                </w:p>
              </w:tc>
              <w:tc>
                <w:tcPr>
                  <w:tcW w:w="575" w:type="dxa"/>
                  <w:tcBorders>
                    <w:top w:val="nil"/>
                    <w:left w:val="nil"/>
                    <w:bottom w:val="single" w:color="auto" w:sz="4" w:space="0"/>
                    <w:right w:val="single" w:color="auto" w:sz="4" w:space="0"/>
                  </w:tcBorders>
                  <w:shd w:val="clear" w:color="auto" w:fill="auto"/>
                  <w:vAlign w:val="center"/>
                </w:tcPr>
                <w:p w14:paraId="215725FE">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1800</w:t>
                  </w:r>
                </w:p>
              </w:tc>
            </w:tr>
            <w:tr w14:paraId="086C7FE3">
              <w:tblPrEx>
                <w:tblCellMar>
                  <w:top w:w="0" w:type="dxa"/>
                  <w:left w:w="108" w:type="dxa"/>
                  <w:bottom w:w="0" w:type="dxa"/>
                  <w:right w:w="108" w:type="dxa"/>
                </w:tblCellMar>
              </w:tblPrEx>
              <w:trPr>
                <w:trHeight w:val="324"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5F69D327">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w:t>
                  </w:r>
                  <w:r>
                    <w:rPr>
                      <w:rFonts w:hint="eastAsia" w:ascii="宋体" w:hAnsi="宋体" w:eastAsia="宋体" w:cs="宋体"/>
                      <w:color w:val="000000"/>
                      <w:kern w:val="0"/>
                      <w:sz w:val="22"/>
                      <w:szCs w:val="22"/>
                      <w:lang w:val="en-US" w:eastAsia="zh-CN"/>
                    </w:rPr>
                    <w:t>7</w:t>
                  </w:r>
                </w:p>
              </w:tc>
              <w:tc>
                <w:tcPr>
                  <w:tcW w:w="2025" w:type="dxa"/>
                  <w:tcBorders>
                    <w:top w:val="nil"/>
                    <w:left w:val="nil"/>
                    <w:bottom w:val="single" w:color="auto" w:sz="4" w:space="0"/>
                    <w:right w:val="single" w:color="auto" w:sz="4" w:space="0"/>
                  </w:tcBorders>
                  <w:shd w:val="clear" w:color="auto" w:fill="auto"/>
                  <w:vAlign w:val="center"/>
                </w:tcPr>
                <w:p w14:paraId="7926F7E3">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摄像机电源线</w:t>
                  </w:r>
                </w:p>
              </w:tc>
              <w:tc>
                <w:tcPr>
                  <w:tcW w:w="3719" w:type="dxa"/>
                  <w:tcBorders>
                    <w:top w:val="nil"/>
                    <w:left w:val="nil"/>
                    <w:bottom w:val="single" w:color="auto" w:sz="4" w:space="0"/>
                    <w:right w:val="single" w:color="auto" w:sz="4" w:space="0"/>
                  </w:tcBorders>
                  <w:shd w:val="clear" w:color="auto" w:fill="auto"/>
                  <w:noWrap/>
                  <w:vAlign w:val="center"/>
                </w:tcPr>
                <w:p w14:paraId="584E6CD5">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RVV-3</w:t>
                  </w:r>
                  <w:r>
                    <w:rPr>
                      <w:rFonts w:hint="eastAsia" w:ascii="宋体" w:hAnsi="宋体" w:eastAsia="宋体" w:cs="宋体"/>
                      <w:kern w:val="0"/>
                      <w:sz w:val="22"/>
                      <w:szCs w:val="22"/>
                      <w:lang w:val="en-US" w:eastAsia="zh-CN"/>
                    </w:rPr>
                    <w:t>×</w:t>
                  </w:r>
                  <w:r>
                    <w:rPr>
                      <w:rFonts w:hint="eastAsia" w:ascii="宋体" w:hAnsi="宋体" w:eastAsia="宋体" w:cs="宋体"/>
                      <w:kern w:val="0"/>
                      <w:sz w:val="22"/>
                      <w:szCs w:val="22"/>
                    </w:rPr>
                    <w:t>2.5mm²</w:t>
                  </w:r>
                </w:p>
              </w:tc>
              <w:tc>
                <w:tcPr>
                  <w:tcW w:w="523" w:type="dxa"/>
                  <w:tcBorders>
                    <w:top w:val="nil"/>
                    <w:left w:val="nil"/>
                    <w:bottom w:val="single" w:color="auto" w:sz="4" w:space="0"/>
                    <w:right w:val="single" w:color="auto" w:sz="4" w:space="0"/>
                  </w:tcBorders>
                  <w:shd w:val="clear" w:color="auto" w:fill="auto"/>
                  <w:vAlign w:val="center"/>
                </w:tcPr>
                <w:p w14:paraId="062EDD18">
                  <w:pPr>
                    <w:widowControl/>
                    <w:spacing w:line="36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米</w:t>
                  </w:r>
                </w:p>
              </w:tc>
              <w:tc>
                <w:tcPr>
                  <w:tcW w:w="575" w:type="dxa"/>
                  <w:tcBorders>
                    <w:top w:val="nil"/>
                    <w:left w:val="nil"/>
                    <w:bottom w:val="single" w:color="auto" w:sz="4" w:space="0"/>
                    <w:right w:val="single" w:color="auto" w:sz="4" w:space="0"/>
                  </w:tcBorders>
                  <w:shd w:val="clear" w:color="auto" w:fill="auto"/>
                  <w:vAlign w:val="center"/>
                </w:tcPr>
                <w:p w14:paraId="4CC187EC">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324</w:t>
                  </w:r>
                </w:p>
              </w:tc>
            </w:tr>
            <w:tr w14:paraId="7CF78D17">
              <w:tblPrEx>
                <w:tblCellMar>
                  <w:top w:w="0" w:type="dxa"/>
                  <w:left w:w="108" w:type="dxa"/>
                  <w:bottom w:w="0" w:type="dxa"/>
                  <w:right w:w="108" w:type="dxa"/>
                </w:tblCellMar>
              </w:tblPrEx>
              <w:trPr>
                <w:trHeight w:val="324"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493EB216">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w:t>
                  </w:r>
                  <w:r>
                    <w:rPr>
                      <w:rFonts w:hint="eastAsia" w:ascii="宋体" w:hAnsi="宋体" w:eastAsia="宋体" w:cs="宋体"/>
                      <w:color w:val="000000"/>
                      <w:kern w:val="0"/>
                      <w:sz w:val="22"/>
                      <w:szCs w:val="22"/>
                      <w:lang w:val="en-US" w:eastAsia="zh-CN"/>
                    </w:rPr>
                    <w:t>8</w:t>
                  </w:r>
                </w:p>
              </w:tc>
              <w:tc>
                <w:tcPr>
                  <w:tcW w:w="2025" w:type="dxa"/>
                  <w:tcBorders>
                    <w:top w:val="nil"/>
                    <w:left w:val="nil"/>
                    <w:bottom w:val="single" w:color="auto" w:sz="4" w:space="0"/>
                    <w:right w:val="single" w:color="auto" w:sz="4" w:space="0"/>
                  </w:tcBorders>
                  <w:shd w:val="clear" w:color="auto" w:fill="auto"/>
                  <w:vAlign w:val="center"/>
                </w:tcPr>
                <w:p w14:paraId="66691FD7">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补光灯电源线</w:t>
                  </w:r>
                </w:p>
              </w:tc>
              <w:tc>
                <w:tcPr>
                  <w:tcW w:w="3719" w:type="dxa"/>
                  <w:tcBorders>
                    <w:top w:val="nil"/>
                    <w:left w:val="nil"/>
                    <w:bottom w:val="single" w:color="auto" w:sz="4" w:space="0"/>
                    <w:right w:val="single" w:color="auto" w:sz="4" w:space="0"/>
                  </w:tcBorders>
                  <w:shd w:val="clear" w:color="auto" w:fill="auto"/>
                  <w:noWrap/>
                  <w:vAlign w:val="center"/>
                </w:tcPr>
                <w:p w14:paraId="454AAFA3">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RVV-3</w:t>
                  </w:r>
                  <w:r>
                    <w:rPr>
                      <w:rFonts w:hint="eastAsia" w:ascii="宋体" w:hAnsi="宋体" w:eastAsia="宋体" w:cs="宋体"/>
                      <w:kern w:val="0"/>
                      <w:sz w:val="22"/>
                      <w:szCs w:val="22"/>
                      <w:lang w:val="en-US" w:eastAsia="zh-CN"/>
                    </w:rPr>
                    <w:t>×</w:t>
                  </w:r>
                  <w:r>
                    <w:rPr>
                      <w:rFonts w:hint="eastAsia" w:ascii="宋体" w:hAnsi="宋体" w:eastAsia="宋体" w:cs="宋体"/>
                      <w:kern w:val="0"/>
                      <w:sz w:val="22"/>
                      <w:szCs w:val="22"/>
                    </w:rPr>
                    <w:t>2.5mm²</w:t>
                  </w:r>
                </w:p>
              </w:tc>
              <w:tc>
                <w:tcPr>
                  <w:tcW w:w="523" w:type="dxa"/>
                  <w:tcBorders>
                    <w:top w:val="nil"/>
                    <w:left w:val="nil"/>
                    <w:bottom w:val="single" w:color="auto" w:sz="4" w:space="0"/>
                    <w:right w:val="single" w:color="auto" w:sz="4" w:space="0"/>
                  </w:tcBorders>
                  <w:shd w:val="clear" w:color="auto" w:fill="auto"/>
                  <w:vAlign w:val="center"/>
                </w:tcPr>
                <w:p w14:paraId="7C4CE444">
                  <w:pPr>
                    <w:widowControl/>
                    <w:spacing w:line="36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米</w:t>
                  </w:r>
                </w:p>
              </w:tc>
              <w:tc>
                <w:tcPr>
                  <w:tcW w:w="575" w:type="dxa"/>
                  <w:tcBorders>
                    <w:top w:val="nil"/>
                    <w:left w:val="nil"/>
                    <w:bottom w:val="single" w:color="auto" w:sz="4" w:space="0"/>
                    <w:right w:val="single" w:color="auto" w:sz="4" w:space="0"/>
                  </w:tcBorders>
                  <w:shd w:val="clear" w:color="auto" w:fill="auto"/>
                  <w:vAlign w:val="center"/>
                </w:tcPr>
                <w:p w14:paraId="5DCD2E76">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576</w:t>
                  </w:r>
                </w:p>
              </w:tc>
            </w:tr>
            <w:tr w14:paraId="61891D2D">
              <w:tblPrEx>
                <w:tblCellMar>
                  <w:top w:w="0" w:type="dxa"/>
                  <w:left w:w="108" w:type="dxa"/>
                  <w:bottom w:w="0" w:type="dxa"/>
                  <w:right w:w="108" w:type="dxa"/>
                </w:tblCellMar>
              </w:tblPrEx>
              <w:trPr>
                <w:trHeight w:val="324"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73E077C4">
                  <w:pPr>
                    <w:widowControl/>
                    <w:spacing w:line="360" w:lineRule="auto"/>
                    <w:ind w:firstLine="0" w:firstLineChars="0"/>
                    <w:jc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19</w:t>
                  </w:r>
                </w:p>
              </w:tc>
              <w:tc>
                <w:tcPr>
                  <w:tcW w:w="2025" w:type="dxa"/>
                  <w:tcBorders>
                    <w:top w:val="nil"/>
                    <w:left w:val="nil"/>
                    <w:bottom w:val="single" w:color="auto" w:sz="4" w:space="0"/>
                    <w:right w:val="single" w:color="auto" w:sz="4" w:space="0"/>
                  </w:tcBorders>
                  <w:shd w:val="clear" w:color="auto" w:fill="auto"/>
                  <w:vAlign w:val="center"/>
                </w:tcPr>
                <w:p w14:paraId="0242D788">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保护地线</w:t>
                  </w:r>
                </w:p>
              </w:tc>
              <w:tc>
                <w:tcPr>
                  <w:tcW w:w="3719" w:type="dxa"/>
                  <w:tcBorders>
                    <w:top w:val="nil"/>
                    <w:left w:val="nil"/>
                    <w:bottom w:val="single" w:color="auto" w:sz="4" w:space="0"/>
                    <w:right w:val="single" w:color="auto" w:sz="4" w:space="0"/>
                  </w:tcBorders>
                  <w:shd w:val="clear" w:color="auto" w:fill="auto"/>
                  <w:noWrap/>
                  <w:vAlign w:val="center"/>
                </w:tcPr>
                <w:p w14:paraId="57059AF5">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RVB-6mm²</w:t>
                  </w:r>
                </w:p>
              </w:tc>
              <w:tc>
                <w:tcPr>
                  <w:tcW w:w="523" w:type="dxa"/>
                  <w:tcBorders>
                    <w:top w:val="nil"/>
                    <w:left w:val="nil"/>
                    <w:bottom w:val="single" w:color="auto" w:sz="4" w:space="0"/>
                    <w:right w:val="single" w:color="auto" w:sz="4" w:space="0"/>
                  </w:tcBorders>
                  <w:shd w:val="clear" w:color="auto" w:fill="auto"/>
                  <w:vAlign w:val="center"/>
                </w:tcPr>
                <w:p w14:paraId="4607437D">
                  <w:pPr>
                    <w:widowControl/>
                    <w:spacing w:line="36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米</w:t>
                  </w:r>
                </w:p>
              </w:tc>
              <w:tc>
                <w:tcPr>
                  <w:tcW w:w="575" w:type="dxa"/>
                  <w:tcBorders>
                    <w:top w:val="nil"/>
                    <w:left w:val="nil"/>
                    <w:bottom w:val="single" w:color="auto" w:sz="4" w:space="0"/>
                    <w:right w:val="single" w:color="auto" w:sz="4" w:space="0"/>
                  </w:tcBorders>
                  <w:shd w:val="clear" w:color="auto" w:fill="auto"/>
                  <w:vAlign w:val="center"/>
                </w:tcPr>
                <w:p w14:paraId="5FB1EAE0">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600</w:t>
                  </w:r>
                </w:p>
              </w:tc>
            </w:tr>
            <w:tr w14:paraId="3180124B">
              <w:tblPrEx>
                <w:tblCellMar>
                  <w:top w:w="0" w:type="dxa"/>
                  <w:left w:w="108" w:type="dxa"/>
                  <w:bottom w:w="0" w:type="dxa"/>
                  <w:right w:w="108" w:type="dxa"/>
                </w:tblCellMar>
              </w:tblPrEx>
              <w:trPr>
                <w:trHeight w:val="324"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7F0F11ED">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w:t>
                  </w:r>
                  <w:r>
                    <w:rPr>
                      <w:rFonts w:hint="eastAsia" w:ascii="宋体" w:hAnsi="宋体" w:eastAsia="宋体" w:cs="宋体"/>
                      <w:color w:val="000000"/>
                      <w:kern w:val="0"/>
                      <w:sz w:val="22"/>
                      <w:szCs w:val="22"/>
                      <w:lang w:val="en-US" w:eastAsia="zh-CN"/>
                    </w:rPr>
                    <w:t>0</w:t>
                  </w:r>
                </w:p>
              </w:tc>
              <w:tc>
                <w:tcPr>
                  <w:tcW w:w="2025" w:type="dxa"/>
                  <w:tcBorders>
                    <w:top w:val="nil"/>
                    <w:left w:val="nil"/>
                    <w:bottom w:val="single" w:color="auto" w:sz="4" w:space="0"/>
                    <w:right w:val="single" w:color="auto" w:sz="4" w:space="0"/>
                  </w:tcBorders>
                  <w:shd w:val="clear" w:color="auto" w:fill="auto"/>
                  <w:vAlign w:val="center"/>
                </w:tcPr>
                <w:p w14:paraId="38444D45">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保护地线</w:t>
                  </w:r>
                </w:p>
              </w:tc>
              <w:tc>
                <w:tcPr>
                  <w:tcW w:w="3719" w:type="dxa"/>
                  <w:tcBorders>
                    <w:top w:val="nil"/>
                    <w:left w:val="nil"/>
                    <w:bottom w:val="single" w:color="auto" w:sz="4" w:space="0"/>
                    <w:right w:val="single" w:color="auto" w:sz="4" w:space="0"/>
                  </w:tcBorders>
                  <w:shd w:val="clear" w:color="auto" w:fill="auto"/>
                  <w:noWrap/>
                  <w:vAlign w:val="center"/>
                </w:tcPr>
                <w:p w14:paraId="6066EEB5">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RVB-35mm²</w:t>
                  </w:r>
                </w:p>
              </w:tc>
              <w:tc>
                <w:tcPr>
                  <w:tcW w:w="523" w:type="dxa"/>
                  <w:tcBorders>
                    <w:top w:val="nil"/>
                    <w:left w:val="nil"/>
                    <w:bottom w:val="single" w:color="auto" w:sz="4" w:space="0"/>
                    <w:right w:val="single" w:color="auto" w:sz="4" w:space="0"/>
                  </w:tcBorders>
                  <w:shd w:val="clear" w:color="auto" w:fill="auto"/>
                  <w:vAlign w:val="center"/>
                </w:tcPr>
                <w:p w14:paraId="0D65C080">
                  <w:pPr>
                    <w:widowControl/>
                    <w:spacing w:line="36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米</w:t>
                  </w:r>
                </w:p>
              </w:tc>
              <w:tc>
                <w:tcPr>
                  <w:tcW w:w="575" w:type="dxa"/>
                  <w:tcBorders>
                    <w:top w:val="nil"/>
                    <w:left w:val="nil"/>
                    <w:bottom w:val="single" w:color="auto" w:sz="4" w:space="0"/>
                    <w:right w:val="single" w:color="auto" w:sz="4" w:space="0"/>
                  </w:tcBorders>
                  <w:shd w:val="clear" w:color="auto" w:fill="auto"/>
                  <w:vAlign w:val="center"/>
                </w:tcPr>
                <w:p w14:paraId="608CA4C9">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90</w:t>
                  </w:r>
                </w:p>
              </w:tc>
            </w:tr>
            <w:tr w14:paraId="4DC2BEE6">
              <w:tblPrEx>
                <w:tblCellMar>
                  <w:top w:w="0" w:type="dxa"/>
                  <w:left w:w="108" w:type="dxa"/>
                  <w:bottom w:w="0" w:type="dxa"/>
                  <w:right w:w="108" w:type="dxa"/>
                </w:tblCellMar>
              </w:tblPrEx>
              <w:trPr>
                <w:trHeight w:val="639"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53DC1734">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w:t>
                  </w:r>
                  <w:r>
                    <w:rPr>
                      <w:rFonts w:hint="eastAsia" w:ascii="宋体" w:hAnsi="宋体" w:eastAsia="宋体" w:cs="宋体"/>
                      <w:color w:val="000000"/>
                      <w:kern w:val="0"/>
                      <w:sz w:val="22"/>
                      <w:szCs w:val="22"/>
                      <w:lang w:val="en-US" w:eastAsia="zh-CN"/>
                    </w:rPr>
                    <w:t>1</w:t>
                  </w:r>
                </w:p>
              </w:tc>
              <w:tc>
                <w:tcPr>
                  <w:tcW w:w="2025" w:type="dxa"/>
                  <w:tcBorders>
                    <w:top w:val="nil"/>
                    <w:left w:val="nil"/>
                    <w:bottom w:val="single" w:color="auto" w:sz="4" w:space="0"/>
                    <w:right w:val="single" w:color="auto" w:sz="4" w:space="0"/>
                  </w:tcBorders>
                  <w:shd w:val="clear" w:color="auto" w:fill="auto"/>
                  <w:vAlign w:val="center"/>
                </w:tcPr>
                <w:p w14:paraId="25414E7F">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PE-110管管道(机械顶管)</w:t>
                  </w:r>
                </w:p>
              </w:tc>
              <w:tc>
                <w:tcPr>
                  <w:tcW w:w="3719" w:type="dxa"/>
                  <w:tcBorders>
                    <w:top w:val="nil"/>
                    <w:left w:val="nil"/>
                    <w:bottom w:val="single" w:color="auto" w:sz="4" w:space="0"/>
                    <w:right w:val="single" w:color="auto" w:sz="4" w:space="0"/>
                  </w:tcBorders>
                  <w:shd w:val="clear" w:color="auto" w:fill="auto"/>
                  <w:noWrap/>
                  <w:vAlign w:val="center"/>
                </w:tcPr>
                <w:p w14:paraId="12AC5110">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PEΦ110管，含管材、机械顶管。</w:t>
                  </w:r>
                </w:p>
              </w:tc>
              <w:tc>
                <w:tcPr>
                  <w:tcW w:w="523" w:type="dxa"/>
                  <w:tcBorders>
                    <w:top w:val="nil"/>
                    <w:left w:val="nil"/>
                    <w:bottom w:val="single" w:color="auto" w:sz="4" w:space="0"/>
                    <w:right w:val="single" w:color="auto" w:sz="4" w:space="0"/>
                  </w:tcBorders>
                  <w:shd w:val="clear" w:color="auto" w:fill="auto"/>
                  <w:vAlign w:val="center"/>
                </w:tcPr>
                <w:p w14:paraId="08010585">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米</w:t>
                  </w:r>
                </w:p>
              </w:tc>
              <w:tc>
                <w:tcPr>
                  <w:tcW w:w="575" w:type="dxa"/>
                  <w:tcBorders>
                    <w:top w:val="nil"/>
                    <w:left w:val="nil"/>
                    <w:bottom w:val="single" w:color="auto" w:sz="4" w:space="0"/>
                    <w:right w:val="single" w:color="auto" w:sz="4" w:space="0"/>
                  </w:tcBorders>
                  <w:shd w:val="clear" w:color="auto" w:fill="auto"/>
                  <w:vAlign w:val="center"/>
                </w:tcPr>
                <w:p w14:paraId="1F7986DA">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433</w:t>
                  </w:r>
                </w:p>
              </w:tc>
            </w:tr>
            <w:tr w14:paraId="7C7BAA46">
              <w:tblPrEx>
                <w:tblCellMar>
                  <w:top w:w="0" w:type="dxa"/>
                  <w:left w:w="108" w:type="dxa"/>
                  <w:bottom w:w="0" w:type="dxa"/>
                  <w:right w:w="108" w:type="dxa"/>
                </w:tblCellMar>
              </w:tblPrEx>
              <w:trPr>
                <w:trHeight w:val="639"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43AC130A">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w:t>
                  </w:r>
                  <w:r>
                    <w:rPr>
                      <w:rFonts w:hint="eastAsia" w:ascii="宋体" w:hAnsi="宋体" w:eastAsia="宋体" w:cs="宋体"/>
                      <w:color w:val="000000"/>
                      <w:kern w:val="0"/>
                      <w:sz w:val="22"/>
                      <w:szCs w:val="22"/>
                      <w:lang w:val="en-US" w:eastAsia="zh-CN"/>
                    </w:rPr>
                    <w:t>2</w:t>
                  </w:r>
                </w:p>
              </w:tc>
              <w:tc>
                <w:tcPr>
                  <w:tcW w:w="2025" w:type="dxa"/>
                  <w:tcBorders>
                    <w:top w:val="nil"/>
                    <w:left w:val="nil"/>
                    <w:bottom w:val="single" w:color="auto" w:sz="4" w:space="0"/>
                    <w:right w:val="single" w:color="auto" w:sz="4" w:space="0"/>
                  </w:tcBorders>
                  <w:shd w:val="clear" w:color="auto" w:fill="auto"/>
                  <w:vAlign w:val="center"/>
                </w:tcPr>
                <w:p w14:paraId="73AC918B">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PE-110管管道(开挖铺管)</w:t>
                  </w:r>
                </w:p>
              </w:tc>
              <w:tc>
                <w:tcPr>
                  <w:tcW w:w="3719" w:type="dxa"/>
                  <w:tcBorders>
                    <w:top w:val="nil"/>
                    <w:left w:val="nil"/>
                    <w:bottom w:val="single" w:color="auto" w:sz="4" w:space="0"/>
                    <w:right w:val="single" w:color="auto" w:sz="4" w:space="0"/>
                  </w:tcBorders>
                  <w:shd w:val="clear" w:color="auto" w:fill="auto"/>
                  <w:noWrap/>
                  <w:vAlign w:val="center"/>
                </w:tcPr>
                <w:p w14:paraId="28A2780B">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PEΦ110管，含管材、路面修复、人行道、绿化修复。</w:t>
                  </w:r>
                </w:p>
              </w:tc>
              <w:tc>
                <w:tcPr>
                  <w:tcW w:w="523" w:type="dxa"/>
                  <w:tcBorders>
                    <w:top w:val="nil"/>
                    <w:left w:val="nil"/>
                    <w:bottom w:val="single" w:color="auto" w:sz="4" w:space="0"/>
                    <w:right w:val="single" w:color="auto" w:sz="4" w:space="0"/>
                  </w:tcBorders>
                  <w:shd w:val="clear" w:color="auto" w:fill="auto"/>
                  <w:vAlign w:val="center"/>
                </w:tcPr>
                <w:p w14:paraId="698D50EA">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米</w:t>
                  </w:r>
                </w:p>
              </w:tc>
              <w:tc>
                <w:tcPr>
                  <w:tcW w:w="575" w:type="dxa"/>
                  <w:tcBorders>
                    <w:top w:val="nil"/>
                    <w:left w:val="nil"/>
                    <w:bottom w:val="single" w:color="auto" w:sz="4" w:space="0"/>
                    <w:right w:val="single" w:color="auto" w:sz="4" w:space="0"/>
                  </w:tcBorders>
                  <w:shd w:val="clear" w:color="auto" w:fill="auto"/>
                  <w:vAlign w:val="center"/>
                </w:tcPr>
                <w:p w14:paraId="0D3CFE44">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416</w:t>
                  </w:r>
                </w:p>
              </w:tc>
            </w:tr>
            <w:tr w14:paraId="5FF354DF">
              <w:tblPrEx>
                <w:tblCellMar>
                  <w:top w:w="0" w:type="dxa"/>
                  <w:left w:w="108" w:type="dxa"/>
                  <w:bottom w:w="0" w:type="dxa"/>
                  <w:right w:w="108" w:type="dxa"/>
                </w:tblCellMar>
              </w:tblPrEx>
              <w:trPr>
                <w:trHeight w:val="639"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57695678">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w:t>
                  </w:r>
                  <w:r>
                    <w:rPr>
                      <w:rFonts w:hint="eastAsia" w:ascii="宋体" w:hAnsi="宋体" w:eastAsia="宋体" w:cs="宋体"/>
                      <w:color w:val="000000"/>
                      <w:kern w:val="0"/>
                      <w:sz w:val="22"/>
                      <w:szCs w:val="22"/>
                      <w:lang w:val="en-US" w:eastAsia="zh-CN"/>
                    </w:rPr>
                    <w:t>3</w:t>
                  </w:r>
                </w:p>
              </w:tc>
              <w:tc>
                <w:tcPr>
                  <w:tcW w:w="2025" w:type="dxa"/>
                  <w:tcBorders>
                    <w:top w:val="nil"/>
                    <w:left w:val="nil"/>
                    <w:bottom w:val="single" w:color="auto" w:sz="4" w:space="0"/>
                    <w:right w:val="single" w:color="auto" w:sz="4" w:space="0"/>
                  </w:tcBorders>
                  <w:shd w:val="clear" w:color="auto" w:fill="auto"/>
                  <w:vAlign w:val="center"/>
                </w:tcPr>
                <w:p w14:paraId="0B98B6F1">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辅材</w:t>
                  </w:r>
                </w:p>
              </w:tc>
              <w:tc>
                <w:tcPr>
                  <w:tcW w:w="3719" w:type="dxa"/>
                  <w:tcBorders>
                    <w:top w:val="nil"/>
                    <w:left w:val="nil"/>
                    <w:bottom w:val="single" w:color="auto" w:sz="4" w:space="0"/>
                    <w:right w:val="single" w:color="auto" w:sz="4" w:space="0"/>
                  </w:tcBorders>
                  <w:shd w:val="clear" w:color="auto" w:fill="auto"/>
                  <w:noWrap/>
                  <w:vAlign w:val="center"/>
                </w:tcPr>
                <w:p w14:paraId="6C964554">
                  <w:pPr>
                    <w:widowControl/>
                    <w:spacing w:line="360" w:lineRule="auto"/>
                    <w:ind w:firstLine="0" w:firstLineChars="0"/>
                    <w:jc w:val="left"/>
                    <w:rPr>
                      <w:rFonts w:hint="eastAsia" w:ascii="宋体" w:hAnsi="宋体" w:eastAsia="宋体" w:cs="宋体"/>
                      <w:kern w:val="0"/>
                      <w:sz w:val="22"/>
                      <w:szCs w:val="22"/>
                      <w:lang w:eastAsia="zh-CN"/>
                    </w:rPr>
                  </w:pPr>
                  <w:r>
                    <w:rPr>
                      <w:rFonts w:hint="eastAsia" w:ascii="宋体" w:hAnsi="宋体" w:eastAsia="宋体" w:cs="宋体"/>
                      <w:kern w:val="0"/>
                      <w:sz w:val="22"/>
                      <w:szCs w:val="22"/>
                    </w:rPr>
                    <w:t>含扎带、波纹管、螺丝、黄</w:t>
                  </w:r>
                  <w:r>
                    <w:rPr>
                      <w:rFonts w:hint="eastAsia" w:ascii="宋体" w:hAnsi="宋体" w:eastAsia="宋体" w:cs="宋体"/>
                      <w:kern w:val="0"/>
                      <w:sz w:val="22"/>
                      <w:szCs w:val="22"/>
                      <w:lang w:val="en-US" w:eastAsia="zh-CN"/>
                    </w:rPr>
                    <w:t>蜡</w:t>
                  </w:r>
                  <w:r>
                    <w:rPr>
                      <w:rFonts w:hint="eastAsia" w:ascii="宋体" w:hAnsi="宋体" w:eastAsia="宋体" w:cs="宋体"/>
                      <w:kern w:val="0"/>
                      <w:sz w:val="22"/>
                      <w:szCs w:val="22"/>
                    </w:rPr>
                    <w:t>管、水泥</w:t>
                  </w:r>
                  <w:r>
                    <w:rPr>
                      <w:rFonts w:hint="eastAsia" w:ascii="宋体" w:hAnsi="宋体" w:eastAsia="宋体" w:cs="宋体"/>
                      <w:kern w:val="0"/>
                      <w:sz w:val="22"/>
                      <w:szCs w:val="22"/>
                      <w:lang w:eastAsia="zh-CN"/>
                    </w:rPr>
                    <w:t>、</w:t>
                  </w:r>
                  <w:r>
                    <w:rPr>
                      <w:rFonts w:hint="eastAsia" w:ascii="宋体" w:hAnsi="宋体" w:eastAsia="宋体" w:cs="宋体"/>
                      <w:kern w:val="0"/>
                      <w:sz w:val="22"/>
                      <w:szCs w:val="22"/>
                    </w:rPr>
                    <w:t>黄漆等</w:t>
                  </w:r>
                  <w:r>
                    <w:rPr>
                      <w:rFonts w:hint="eastAsia" w:ascii="宋体" w:hAnsi="宋体" w:eastAsia="宋体" w:cs="宋体"/>
                      <w:kern w:val="0"/>
                      <w:sz w:val="22"/>
                      <w:szCs w:val="22"/>
                      <w:lang w:eastAsia="zh-CN"/>
                    </w:rPr>
                    <w:t>。</w:t>
                  </w:r>
                </w:p>
              </w:tc>
              <w:tc>
                <w:tcPr>
                  <w:tcW w:w="523" w:type="dxa"/>
                  <w:tcBorders>
                    <w:top w:val="nil"/>
                    <w:left w:val="nil"/>
                    <w:bottom w:val="single" w:color="auto" w:sz="4" w:space="0"/>
                    <w:right w:val="single" w:color="auto" w:sz="4" w:space="0"/>
                  </w:tcBorders>
                  <w:shd w:val="clear" w:color="auto" w:fill="auto"/>
                  <w:vAlign w:val="center"/>
                </w:tcPr>
                <w:p w14:paraId="13A90A66">
                  <w:pPr>
                    <w:widowControl/>
                    <w:spacing w:line="36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套</w:t>
                  </w:r>
                </w:p>
              </w:tc>
              <w:tc>
                <w:tcPr>
                  <w:tcW w:w="575" w:type="dxa"/>
                  <w:tcBorders>
                    <w:top w:val="nil"/>
                    <w:left w:val="nil"/>
                    <w:bottom w:val="single" w:color="auto" w:sz="4" w:space="0"/>
                    <w:right w:val="single" w:color="auto" w:sz="4" w:space="0"/>
                  </w:tcBorders>
                  <w:shd w:val="clear" w:color="auto" w:fill="auto"/>
                  <w:vAlign w:val="center"/>
                </w:tcPr>
                <w:p w14:paraId="0D5D6EB7">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r>
            <w:tr w14:paraId="4D1659A9">
              <w:tblPrEx>
                <w:tblCellMar>
                  <w:top w:w="0" w:type="dxa"/>
                  <w:left w:w="108" w:type="dxa"/>
                  <w:bottom w:w="0" w:type="dxa"/>
                  <w:right w:w="108" w:type="dxa"/>
                </w:tblCellMar>
              </w:tblPrEx>
              <w:trPr>
                <w:trHeight w:val="1268"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5E07C8A7">
                  <w:pPr>
                    <w:widowControl/>
                    <w:spacing w:line="360" w:lineRule="auto"/>
                    <w:ind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w:t>
                  </w:r>
                  <w:r>
                    <w:rPr>
                      <w:rFonts w:hint="eastAsia" w:ascii="宋体" w:hAnsi="宋体" w:eastAsia="宋体" w:cs="宋体"/>
                      <w:color w:val="000000"/>
                      <w:kern w:val="0"/>
                      <w:sz w:val="22"/>
                      <w:szCs w:val="22"/>
                      <w:lang w:val="en-US" w:eastAsia="zh-CN"/>
                    </w:rPr>
                    <w:t>4</w:t>
                  </w:r>
                </w:p>
              </w:tc>
              <w:tc>
                <w:tcPr>
                  <w:tcW w:w="2025" w:type="dxa"/>
                  <w:tcBorders>
                    <w:top w:val="nil"/>
                    <w:left w:val="nil"/>
                    <w:bottom w:val="single" w:color="auto" w:sz="4" w:space="0"/>
                    <w:right w:val="single" w:color="auto" w:sz="4" w:space="0"/>
                  </w:tcBorders>
                  <w:shd w:val="clear" w:color="auto" w:fill="auto"/>
                  <w:vAlign w:val="center"/>
                </w:tcPr>
                <w:p w14:paraId="7511DFF2">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提示标志杆</w:t>
                  </w:r>
                </w:p>
              </w:tc>
              <w:tc>
                <w:tcPr>
                  <w:tcW w:w="3719" w:type="dxa"/>
                  <w:tcBorders>
                    <w:top w:val="nil"/>
                    <w:left w:val="nil"/>
                    <w:bottom w:val="single" w:color="auto" w:sz="4" w:space="0"/>
                    <w:right w:val="single" w:color="auto" w:sz="4" w:space="0"/>
                  </w:tcBorders>
                  <w:shd w:val="clear" w:color="auto" w:fill="auto"/>
                  <w:noWrap/>
                  <w:vAlign w:val="center"/>
                </w:tcPr>
                <w:p w14:paraId="51762A11">
                  <w:pPr>
                    <w:widowControl/>
                    <w:spacing w:line="360" w:lineRule="auto"/>
                    <w:ind w:firstLine="0" w:firstLineChars="0"/>
                    <w:jc w:val="left"/>
                    <w:rPr>
                      <w:rFonts w:hint="eastAsia" w:ascii="宋体" w:hAnsi="宋体" w:eastAsia="宋体" w:cs="宋体"/>
                      <w:kern w:val="0"/>
                      <w:sz w:val="22"/>
                      <w:szCs w:val="22"/>
                      <w:lang w:eastAsia="zh-CN"/>
                    </w:rPr>
                  </w:pPr>
                  <w:r>
                    <w:rPr>
                      <w:rFonts w:hint="eastAsia" w:ascii="宋体" w:hAnsi="宋体" w:eastAsia="宋体" w:cs="宋体"/>
                      <w:kern w:val="0"/>
                      <w:sz w:val="22"/>
                      <w:szCs w:val="22"/>
                    </w:rPr>
                    <w:t>3.5米镀锌圆形钢管；含地网、C25商品混凝土基础、法兰、地脚螺栓及安装配件；油漆品种</w:t>
                  </w:r>
                  <w:r>
                    <w:rPr>
                      <w:rFonts w:hint="eastAsia" w:ascii="宋体" w:hAnsi="宋体" w:eastAsia="宋体" w:cs="宋体"/>
                      <w:kern w:val="0"/>
                      <w:sz w:val="22"/>
                      <w:szCs w:val="22"/>
                      <w:lang w:eastAsia="zh-CN"/>
                    </w:rPr>
                    <w:t>：</w:t>
                  </w:r>
                  <w:r>
                    <w:rPr>
                      <w:rFonts w:hint="eastAsia" w:ascii="宋体" w:hAnsi="宋体" w:eastAsia="宋体" w:cs="宋体"/>
                      <w:kern w:val="0"/>
                      <w:sz w:val="22"/>
                      <w:szCs w:val="22"/>
                    </w:rPr>
                    <w:t>热浸镀锌处理、喷涂银灰色环氧富锌漆二层</w:t>
                  </w:r>
                  <w:r>
                    <w:rPr>
                      <w:rFonts w:hint="eastAsia" w:ascii="宋体" w:hAnsi="宋体" w:eastAsia="宋体" w:cs="宋体"/>
                      <w:kern w:val="0"/>
                      <w:sz w:val="22"/>
                      <w:szCs w:val="22"/>
                      <w:lang w:eastAsia="zh-CN"/>
                    </w:rPr>
                    <w:t>。</w:t>
                  </w:r>
                </w:p>
              </w:tc>
              <w:tc>
                <w:tcPr>
                  <w:tcW w:w="523" w:type="dxa"/>
                  <w:tcBorders>
                    <w:top w:val="nil"/>
                    <w:left w:val="nil"/>
                    <w:bottom w:val="single" w:color="auto" w:sz="4" w:space="0"/>
                    <w:right w:val="single" w:color="auto" w:sz="4" w:space="0"/>
                  </w:tcBorders>
                  <w:shd w:val="clear" w:color="auto" w:fill="auto"/>
                  <w:vAlign w:val="center"/>
                </w:tcPr>
                <w:p w14:paraId="6E7BB02D">
                  <w:pPr>
                    <w:widowControl/>
                    <w:spacing w:line="36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根</w:t>
                  </w:r>
                </w:p>
              </w:tc>
              <w:tc>
                <w:tcPr>
                  <w:tcW w:w="575" w:type="dxa"/>
                  <w:tcBorders>
                    <w:top w:val="nil"/>
                    <w:left w:val="nil"/>
                    <w:bottom w:val="single" w:color="auto" w:sz="4" w:space="0"/>
                    <w:right w:val="single" w:color="auto" w:sz="4" w:space="0"/>
                  </w:tcBorders>
                  <w:shd w:val="clear" w:color="auto" w:fill="auto"/>
                  <w:vAlign w:val="center"/>
                </w:tcPr>
                <w:p w14:paraId="61357D7B">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w:t>
                  </w:r>
                </w:p>
              </w:tc>
            </w:tr>
            <w:tr w14:paraId="4EC9187D">
              <w:tblPrEx>
                <w:tblCellMar>
                  <w:top w:w="0" w:type="dxa"/>
                  <w:left w:w="108" w:type="dxa"/>
                  <w:bottom w:w="0" w:type="dxa"/>
                  <w:right w:w="108" w:type="dxa"/>
                </w:tblCellMar>
              </w:tblPrEx>
              <w:trPr>
                <w:trHeight w:val="324" w:hRule="atLeast"/>
                <w:jc w:val="center"/>
              </w:trPr>
              <w:tc>
                <w:tcPr>
                  <w:tcW w:w="753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D302316">
                  <w:pPr>
                    <w:widowControl/>
                    <w:spacing w:line="360" w:lineRule="auto"/>
                    <w:ind w:firstLine="0" w:firstLineChars="0"/>
                    <w:jc w:val="left"/>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lang w:eastAsia="zh-CN"/>
                    </w:rPr>
                    <w:t>（</w:t>
                  </w:r>
                  <w:r>
                    <w:rPr>
                      <w:rFonts w:hint="eastAsia" w:ascii="宋体" w:hAnsi="宋体" w:eastAsia="宋体" w:cs="宋体"/>
                      <w:b/>
                      <w:bCs/>
                      <w:color w:val="000000"/>
                      <w:kern w:val="0"/>
                      <w:sz w:val="22"/>
                      <w:szCs w:val="22"/>
                      <w:lang w:val="en-US" w:eastAsia="zh-CN"/>
                    </w:rPr>
                    <w:t>三</w:t>
                  </w:r>
                  <w:r>
                    <w:rPr>
                      <w:rFonts w:hint="eastAsia" w:ascii="宋体" w:hAnsi="宋体" w:eastAsia="宋体" w:cs="宋体"/>
                      <w:b/>
                      <w:bCs/>
                      <w:color w:val="000000"/>
                      <w:kern w:val="0"/>
                      <w:sz w:val="22"/>
                      <w:szCs w:val="22"/>
                      <w:lang w:eastAsia="zh-CN"/>
                    </w:rPr>
                    <w:t>）</w:t>
                  </w:r>
                  <w:r>
                    <w:rPr>
                      <w:rFonts w:hint="eastAsia" w:ascii="宋体" w:hAnsi="宋体" w:eastAsia="宋体" w:cs="宋体"/>
                      <w:b/>
                      <w:bCs/>
                      <w:color w:val="000000"/>
                      <w:kern w:val="0"/>
                      <w:sz w:val="22"/>
                      <w:szCs w:val="22"/>
                    </w:rPr>
                    <w:t>其他</w:t>
                  </w:r>
                </w:p>
              </w:tc>
            </w:tr>
            <w:tr w14:paraId="61A811A8">
              <w:tblPrEx>
                <w:tblCellMar>
                  <w:top w:w="0" w:type="dxa"/>
                  <w:left w:w="108" w:type="dxa"/>
                  <w:bottom w:w="0" w:type="dxa"/>
                  <w:right w:w="108" w:type="dxa"/>
                </w:tblCellMar>
              </w:tblPrEx>
              <w:trPr>
                <w:trHeight w:val="1268"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03500F36">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2025" w:type="dxa"/>
                  <w:tcBorders>
                    <w:top w:val="nil"/>
                    <w:left w:val="nil"/>
                    <w:bottom w:val="single" w:color="auto" w:sz="4" w:space="0"/>
                    <w:right w:val="single" w:color="auto" w:sz="4" w:space="0"/>
                  </w:tcBorders>
                  <w:shd w:val="clear" w:color="auto" w:fill="auto"/>
                  <w:vAlign w:val="center"/>
                </w:tcPr>
                <w:p w14:paraId="5804A8A5">
                  <w:pPr>
                    <w:widowControl/>
                    <w:spacing w:line="360" w:lineRule="auto"/>
                    <w:ind w:firstLine="0" w:firstLineChars="0"/>
                    <w:jc w:val="left"/>
                    <w:rPr>
                      <w:rFonts w:hint="eastAsia" w:ascii="宋体" w:hAnsi="宋体" w:eastAsia="宋体" w:cs="宋体"/>
                      <w:kern w:val="0"/>
                      <w:sz w:val="22"/>
                      <w:szCs w:val="22"/>
                    </w:rPr>
                  </w:pPr>
                  <w:r>
                    <w:rPr>
                      <w:rFonts w:hint="eastAsia" w:ascii="宋体" w:hAnsi="宋体" w:eastAsia="宋体" w:cs="宋体"/>
                      <w:kern w:val="0"/>
                      <w:sz w:val="22"/>
                      <w:szCs w:val="22"/>
                    </w:rPr>
                    <w:t>车道标志调整</w:t>
                  </w:r>
                </w:p>
              </w:tc>
              <w:tc>
                <w:tcPr>
                  <w:tcW w:w="3719" w:type="dxa"/>
                  <w:tcBorders>
                    <w:top w:val="nil"/>
                    <w:left w:val="nil"/>
                    <w:bottom w:val="single" w:color="auto" w:sz="4" w:space="0"/>
                    <w:right w:val="single" w:color="auto" w:sz="4" w:space="0"/>
                  </w:tcBorders>
                  <w:shd w:val="clear" w:color="auto" w:fill="auto"/>
                  <w:noWrap/>
                  <w:vAlign w:val="center"/>
                </w:tcPr>
                <w:p w14:paraId="598B2C12">
                  <w:pPr>
                    <w:widowControl/>
                    <w:spacing w:line="360" w:lineRule="auto"/>
                    <w:ind w:firstLine="0" w:firstLineChars="0"/>
                    <w:jc w:val="left"/>
                    <w:rPr>
                      <w:rFonts w:hint="eastAsia" w:ascii="宋体" w:hAnsi="宋体" w:eastAsia="宋体" w:cs="宋体"/>
                      <w:kern w:val="0"/>
                      <w:sz w:val="22"/>
                      <w:szCs w:val="22"/>
                      <w:lang w:eastAsia="zh-CN"/>
                    </w:rPr>
                  </w:pPr>
                  <w:r>
                    <w:rPr>
                      <w:rFonts w:hint="eastAsia" w:ascii="宋体" w:hAnsi="宋体" w:eastAsia="宋体" w:cs="宋体"/>
                      <w:kern w:val="0"/>
                      <w:sz w:val="22"/>
                      <w:szCs w:val="22"/>
                    </w:rPr>
                    <w:t>海湾城海湾一路与长平路十字路口南往北向第二车道原直行车道改直行加左转合用车道，清除原有地面标线并重新划线，修改原有车道分布牌</w:t>
                  </w:r>
                  <w:r>
                    <w:rPr>
                      <w:rFonts w:hint="eastAsia" w:ascii="宋体" w:hAnsi="宋体" w:eastAsia="宋体" w:cs="宋体"/>
                      <w:kern w:val="0"/>
                      <w:sz w:val="22"/>
                      <w:szCs w:val="22"/>
                      <w:lang w:eastAsia="zh-CN"/>
                    </w:rPr>
                    <w:t>。</w:t>
                  </w:r>
                </w:p>
              </w:tc>
              <w:tc>
                <w:tcPr>
                  <w:tcW w:w="523" w:type="dxa"/>
                  <w:tcBorders>
                    <w:top w:val="nil"/>
                    <w:left w:val="nil"/>
                    <w:bottom w:val="single" w:color="auto" w:sz="4" w:space="0"/>
                    <w:right w:val="single" w:color="auto" w:sz="4" w:space="0"/>
                  </w:tcBorders>
                  <w:shd w:val="clear" w:color="auto" w:fill="auto"/>
                  <w:vAlign w:val="center"/>
                </w:tcPr>
                <w:p w14:paraId="5AA989AE">
                  <w:pPr>
                    <w:widowControl/>
                    <w:spacing w:line="36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项</w:t>
                  </w:r>
                </w:p>
              </w:tc>
              <w:tc>
                <w:tcPr>
                  <w:tcW w:w="575" w:type="dxa"/>
                  <w:tcBorders>
                    <w:top w:val="nil"/>
                    <w:left w:val="nil"/>
                    <w:bottom w:val="single" w:color="auto" w:sz="4" w:space="0"/>
                    <w:right w:val="single" w:color="auto" w:sz="4" w:space="0"/>
                  </w:tcBorders>
                  <w:shd w:val="clear" w:color="auto" w:fill="auto"/>
                  <w:vAlign w:val="center"/>
                </w:tcPr>
                <w:p w14:paraId="2FC00964">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r>
            <w:tr w14:paraId="5E51F6EA">
              <w:tblPrEx>
                <w:tblCellMar>
                  <w:top w:w="0" w:type="dxa"/>
                  <w:left w:w="108" w:type="dxa"/>
                  <w:bottom w:w="0" w:type="dxa"/>
                  <w:right w:w="108" w:type="dxa"/>
                </w:tblCellMar>
              </w:tblPrEx>
              <w:trPr>
                <w:trHeight w:val="324" w:hRule="atLeast"/>
                <w:jc w:val="center"/>
              </w:trPr>
              <w:tc>
                <w:tcPr>
                  <w:tcW w:w="753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562BE021">
                  <w:pPr>
                    <w:widowControl/>
                    <w:spacing w:line="360" w:lineRule="auto"/>
                    <w:ind w:firstLine="0" w:firstLineChars="0"/>
                    <w:jc w:val="left"/>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lang w:val="en-US" w:eastAsia="zh-CN"/>
                    </w:rPr>
                    <w:t>二、</w:t>
                  </w:r>
                  <w:r>
                    <w:rPr>
                      <w:rFonts w:hint="eastAsia" w:ascii="宋体" w:hAnsi="宋体" w:eastAsia="宋体" w:cs="宋体"/>
                      <w:b/>
                      <w:bCs/>
                      <w:color w:val="000000"/>
                      <w:kern w:val="0"/>
                      <w:sz w:val="22"/>
                      <w:szCs w:val="22"/>
                    </w:rPr>
                    <w:t>后端部分</w:t>
                  </w:r>
                </w:p>
              </w:tc>
            </w:tr>
            <w:tr w14:paraId="635241C8">
              <w:tblPrEx>
                <w:tblCellMar>
                  <w:top w:w="0" w:type="dxa"/>
                  <w:left w:w="108" w:type="dxa"/>
                  <w:bottom w:w="0" w:type="dxa"/>
                  <w:right w:w="108" w:type="dxa"/>
                </w:tblCellMar>
              </w:tblPrEx>
              <w:trPr>
                <w:trHeight w:val="324" w:hRule="atLeast"/>
                <w:jc w:val="center"/>
              </w:trPr>
              <w:tc>
                <w:tcPr>
                  <w:tcW w:w="753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D0C350B">
                  <w:pPr>
                    <w:widowControl/>
                    <w:spacing w:line="360" w:lineRule="auto"/>
                    <w:ind w:firstLine="0" w:firstLineChars="0"/>
                    <w:jc w:val="left"/>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lang w:val="en-US" w:eastAsia="zh-CN"/>
                    </w:rPr>
                    <w:t>（一）</w:t>
                  </w:r>
                  <w:r>
                    <w:rPr>
                      <w:rFonts w:hint="eastAsia" w:ascii="宋体" w:hAnsi="宋体" w:eastAsia="宋体" w:cs="宋体"/>
                      <w:b/>
                      <w:bCs/>
                      <w:color w:val="000000"/>
                      <w:kern w:val="0"/>
                      <w:sz w:val="22"/>
                      <w:szCs w:val="22"/>
                    </w:rPr>
                    <w:t>网络设备</w:t>
                  </w:r>
                </w:p>
              </w:tc>
            </w:tr>
            <w:tr w14:paraId="2D35F56C">
              <w:tblPrEx>
                <w:tblCellMar>
                  <w:top w:w="0" w:type="dxa"/>
                  <w:left w:w="108" w:type="dxa"/>
                  <w:bottom w:w="0" w:type="dxa"/>
                  <w:right w:w="108" w:type="dxa"/>
                </w:tblCellMar>
              </w:tblPrEx>
              <w:trPr>
                <w:trHeight w:val="324"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69E7F129">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2025" w:type="dxa"/>
                  <w:tcBorders>
                    <w:top w:val="nil"/>
                    <w:left w:val="nil"/>
                    <w:bottom w:val="single" w:color="auto" w:sz="4" w:space="0"/>
                    <w:right w:val="single" w:color="auto" w:sz="4" w:space="0"/>
                  </w:tcBorders>
                  <w:shd w:val="clear" w:color="auto" w:fill="auto"/>
                  <w:vAlign w:val="center"/>
                </w:tcPr>
                <w:p w14:paraId="712D62A5">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汇聚交换机</w:t>
                  </w:r>
                </w:p>
              </w:tc>
              <w:tc>
                <w:tcPr>
                  <w:tcW w:w="3719" w:type="dxa"/>
                  <w:tcBorders>
                    <w:top w:val="nil"/>
                    <w:left w:val="nil"/>
                    <w:bottom w:val="single" w:color="auto" w:sz="4" w:space="0"/>
                    <w:right w:val="single" w:color="auto" w:sz="4" w:space="0"/>
                  </w:tcBorders>
                  <w:shd w:val="clear" w:color="auto" w:fill="auto"/>
                  <w:noWrap/>
                  <w:vAlign w:val="center"/>
                </w:tcPr>
                <w:p w14:paraId="56A0B9B6">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参数要求详见主要设备参数要求。</w:t>
                  </w:r>
                </w:p>
              </w:tc>
              <w:tc>
                <w:tcPr>
                  <w:tcW w:w="523" w:type="dxa"/>
                  <w:tcBorders>
                    <w:top w:val="nil"/>
                    <w:left w:val="nil"/>
                    <w:bottom w:val="single" w:color="auto" w:sz="4" w:space="0"/>
                    <w:right w:val="single" w:color="auto" w:sz="4" w:space="0"/>
                  </w:tcBorders>
                  <w:shd w:val="clear" w:color="auto" w:fill="auto"/>
                  <w:vAlign w:val="center"/>
                </w:tcPr>
                <w:p w14:paraId="6D064567">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台</w:t>
                  </w:r>
                </w:p>
              </w:tc>
              <w:tc>
                <w:tcPr>
                  <w:tcW w:w="575" w:type="dxa"/>
                  <w:tcBorders>
                    <w:top w:val="nil"/>
                    <w:left w:val="nil"/>
                    <w:bottom w:val="single" w:color="auto" w:sz="4" w:space="0"/>
                    <w:right w:val="single" w:color="auto" w:sz="4" w:space="0"/>
                  </w:tcBorders>
                  <w:shd w:val="clear" w:color="auto" w:fill="auto"/>
                  <w:vAlign w:val="center"/>
                </w:tcPr>
                <w:p w14:paraId="0E213E45">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r>
            <w:tr w14:paraId="395C508A">
              <w:tblPrEx>
                <w:tblCellMar>
                  <w:top w:w="0" w:type="dxa"/>
                  <w:left w:w="108" w:type="dxa"/>
                  <w:bottom w:w="0" w:type="dxa"/>
                  <w:right w:w="108" w:type="dxa"/>
                </w:tblCellMar>
              </w:tblPrEx>
              <w:trPr>
                <w:trHeight w:val="639"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259028B6">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2025" w:type="dxa"/>
                  <w:tcBorders>
                    <w:top w:val="nil"/>
                    <w:left w:val="nil"/>
                    <w:bottom w:val="single" w:color="auto" w:sz="4" w:space="0"/>
                    <w:right w:val="single" w:color="auto" w:sz="4" w:space="0"/>
                  </w:tcBorders>
                  <w:shd w:val="clear" w:color="auto" w:fill="auto"/>
                  <w:vAlign w:val="center"/>
                </w:tcPr>
                <w:p w14:paraId="5AB91C05">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千兆光模块</w:t>
                  </w:r>
                </w:p>
              </w:tc>
              <w:tc>
                <w:tcPr>
                  <w:tcW w:w="3719" w:type="dxa"/>
                  <w:tcBorders>
                    <w:top w:val="nil"/>
                    <w:left w:val="nil"/>
                    <w:bottom w:val="single" w:color="auto" w:sz="4" w:space="0"/>
                    <w:right w:val="single" w:color="auto" w:sz="4" w:space="0"/>
                  </w:tcBorders>
                  <w:shd w:val="clear" w:color="auto" w:fill="auto"/>
                  <w:noWrap/>
                  <w:vAlign w:val="center"/>
                </w:tcPr>
                <w:p w14:paraId="0B246BB3">
                  <w:pPr>
                    <w:widowControl/>
                    <w:spacing w:line="360" w:lineRule="auto"/>
                    <w:ind w:firstLine="0" w:firstLineChars="0"/>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工业级千兆光模块，1310nm，10km，单模（接入</w:t>
                  </w:r>
                  <w:r>
                    <w:rPr>
                      <w:rFonts w:hint="eastAsia" w:ascii="宋体" w:hAnsi="宋体" w:eastAsia="宋体" w:cs="宋体"/>
                      <w:color w:val="000000"/>
                      <w:kern w:val="0"/>
                      <w:sz w:val="22"/>
                      <w:szCs w:val="22"/>
                      <w:lang w:val="en-US" w:eastAsia="zh-CN"/>
                    </w:rPr>
                    <w:t>翠亨新区</w:t>
                  </w:r>
                  <w:r>
                    <w:rPr>
                      <w:rFonts w:hint="eastAsia" w:ascii="宋体" w:hAnsi="宋体" w:eastAsia="宋体" w:cs="宋体"/>
                      <w:color w:val="000000"/>
                      <w:kern w:val="0"/>
                      <w:sz w:val="22"/>
                      <w:szCs w:val="22"/>
                    </w:rPr>
                    <w:t>公安分局机房核心交换机）</w:t>
                  </w:r>
                  <w:r>
                    <w:rPr>
                      <w:rFonts w:hint="eastAsia" w:ascii="宋体" w:hAnsi="宋体" w:eastAsia="宋体" w:cs="宋体"/>
                      <w:color w:val="000000"/>
                      <w:kern w:val="0"/>
                      <w:sz w:val="22"/>
                      <w:szCs w:val="22"/>
                      <w:lang w:eastAsia="zh-CN"/>
                    </w:rPr>
                    <w:t>。</w:t>
                  </w:r>
                </w:p>
              </w:tc>
              <w:tc>
                <w:tcPr>
                  <w:tcW w:w="523" w:type="dxa"/>
                  <w:tcBorders>
                    <w:top w:val="nil"/>
                    <w:left w:val="nil"/>
                    <w:bottom w:val="single" w:color="auto" w:sz="4" w:space="0"/>
                    <w:right w:val="single" w:color="auto" w:sz="4" w:space="0"/>
                  </w:tcBorders>
                  <w:shd w:val="clear" w:color="auto" w:fill="auto"/>
                  <w:vAlign w:val="center"/>
                </w:tcPr>
                <w:p w14:paraId="2CA0D6E4">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块</w:t>
                  </w:r>
                </w:p>
              </w:tc>
              <w:tc>
                <w:tcPr>
                  <w:tcW w:w="575" w:type="dxa"/>
                  <w:tcBorders>
                    <w:top w:val="nil"/>
                    <w:left w:val="nil"/>
                    <w:bottom w:val="single" w:color="auto" w:sz="4" w:space="0"/>
                    <w:right w:val="single" w:color="auto" w:sz="4" w:space="0"/>
                  </w:tcBorders>
                  <w:shd w:val="clear" w:color="auto" w:fill="auto"/>
                  <w:vAlign w:val="center"/>
                </w:tcPr>
                <w:p w14:paraId="607E6FF1">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xml:space="preserve">5 </w:t>
                  </w:r>
                </w:p>
              </w:tc>
            </w:tr>
            <w:tr w14:paraId="48BD99F9">
              <w:tblPrEx>
                <w:tblCellMar>
                  <w:top w:w="0" w:type="dxa"/>
                  <w:left w:w="108" w:type="dxa"/>
                  <w:bottom w:w="0" w:type="dxa"/>
                  <w:right w:w="108" w:type="dxa"/>
                </w:tblCellMar>
              </w:tblPrEx>
              <w:trPr>
                <w:trHeight w:val="324" w:hRule="atLeast"/>
                <w:jc w:val="center"/>
              </w:trPr>
              <w:tc>
                <w:tcPr>
                  <w:tcW w:w="753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690710B">
                  <w:pPr>
                    <w:widowControl/>
                    <w:spacing w:line="360" w:lineRule="auto"/>
                    <w:ind w:firstLine="0" w:firstLineChars="0"/>
                    <w:jc w:val="left"/>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lang w:eastAsia="zh-CN"/>
                    </w:rPr>
                    <w:t>（</w:t>
                  </w:r>
                  <w:r>
                    <w:rPr>
                      <w:rFonts w:hint="eastAsia" w:ascii="宋体" w:hAnsi="宋体" w:eastAsia="宋体" w:cs="宋体"/>
                      <w:b/>
                      <w:bCs/>
                      <w:color w:val="000000"/>
                      <w:kern w:val="0"/>
                      <w:sz w:val="22"/>
                      <w:szCs w:val="22"/>
                      <w:lang w:val="en-US" w:eastAsia="zh-CN"/>
                    </w:rPr>
                    <w:t>二</w:t>
                  </w:r>
                  <w:r>
                    <w:rPr>
                      <w:rFonts w:hint="eastAsia" w:ascii="宋体" w:hAnsi="宋体" w:eastAsia="宋体" w:cs="宋体"/>
                      <w:b/>
                      <w:bCs/>
                      <w:color w:val="000000"/>
                      <w:kern w:val="0"/>
                      <w:sz w:val="22"/>
                      <w:szCs w:val="22"/>
                      <w:lang w:eastAsia="zh-CN"/>
                    </w:rPr>
                    <w:t>）</w:t>
                  </w:r>
                  <w:r>
                    <w:rPr>
                      <w:rFonts w:hint="eastAsia" w:ascii="宋体" w:hAnsi="宋体" w:eastAsia="宋体" w:cs="宋体"/>
                      <w:b/>
                      <w:bCs/>
                      <w:color w:val="000000"/>
                      <w:kern w:val="0"/>
                      <w:sz w:val="22"/>
                      <w:szCs w:val="22"/>
                    </w:rPr>
                    <w:t>电子警察后台设备</w:t>
                  </w:r>
                </w:p>
              </w:tc>
            </w:tr>
            <w:tr w14:paraId="4539E258">
              <w:tblPrEx>
                <w:tblCellMar>
                  <w:top w:w="0" w:type="dxa"/>
                  <w:left w:w="108" w:type="dxa"/>
                  <w:bottom w:w="0" w:type="dxa"/>
                  <w:right w:w="108" w:type="dxa"/>
                </w:tblCellMar>
              </w:tblPrEx>
              <w:trPr>
                <w:trHeight w:val="639"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00F6F150">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2025" w:type="dxa"/>
                  <w:tcBorders>
                    <w:top w:val="nil"/>
                    <w:left w:val="nil"/>
                    <w:bottom w:val="single" w:color="auto" w:sz="4" w:space="0"/>
                    <w:right w:val="single" w:color="auto" w:sz="4" w:space="0"/>
                  </w:tcBorders>
                  <w:shd w:val="clear" w:color="auto" w:fill="auto"/>
                  <w:vAlign w:val="center"/>
                </w:tcPr>
                <w:p w14:paraId="24C72DD6">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中心管理扩容单元</w:t>
                  </w:r>
                </w:p>
              </w:tc>
              <w:tc>
                <w:tcPr>
                  <w:tcW w:w="3719" w:type="dxa"/>
                  <w:tcBorders>
                    <w:top w:val="nil"/>
                    <w:left w:val="nil"/>
                    <w:bottom w:val="single" w:color="auto" w:sz="4" w:space="0"/>
                    <w:right w:val="single" w:color="auto" w:sz="4" w:space="0"/>
                  </w:tcBorders>
                  <w:shd w:val="clear" w:color="auto" w:fill="auto"/>
                  <w:noWrap/>
                  <w:vAlign w:val="center"/>
                </w:tcPr>
                <w:p w14:paraId="3C0A4041">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参数要求详见主要设备参数要求。</w:t>
                  </w:r>
                </w:p>
              </w:tc>
              <w:tc>
                <w:tcPr>
                  <w:tcW w:w="523" w:type="dxa"/>
                  <w:tcBorders>
                    <w:top w:val="nil"/>
                    <w:left w:val="nil"/>
                    <w:bottom w:val="single" w:color="auto" w:sz="4" w:space="0"/>
                    <w:right w:val="single" w:color="auto" w:sz="4" w:space="0"/>
                  </w:tcBorders>
                  <w:shd w:val="clear" w:color="auto" w:fill="auto"/>
                  <w:vAlign w:val="center"/>
                </w:tcPr>
                <w:p w14:paraId="0FF1D364">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台</w:t>
                  </w:r>
                </w:p>
              </w:tc>
              <w:tc>
                <w:tcPr>
                  <w:tcW w:w="575" w:type="dxa"/>
                  <w:tcBorders>
                    <w:top w:val="nil"/>
                    <w:left w:val="nil"/>
                    <w:bottom w:val="single" w:color="auto" w:sz="4" w:space="0"/>
                    <w:right w:val="single" w:color="auto" w:sz="4" w:space="0"/>
                  </w:tcBorders>
                  <w:shd w:val="clear" w:color="auto" w:fill="auto"/>
                  <w:vAlign w:val="center"/>
                </w:tcPr>
                <w:p w14:paraId="1DCAE73F">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r>
            <w:tr w14:paraId="22FADB0B">
              <w:tblPrEx>
                <w:tblCellMar>
                  <w:top w:w="0" w:type="dxa"/>
                  <w:left w:w="108" w:type="dxa"/>
                  <w:bottom w:w="0" w:type="dxa"/>
                  <w:right w:w="108" w:type="dxa"/>
                </w:tblCellMar>
              </w:tblPrEx>
              <w:trPr>
                <w:trHeight w:val="2785"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3D0637FE">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2025" w:type="dxa"/>
                  <w:tcBorders>
                    <w:top w:val="nil"/>
                    <w:left w:val="nil"/>
                    <w:bottom w:val="single" w:color="auto" w:sz="4" w:space="0"/>
                    <w:right w:val="single" w:color="auto" w:sz="4" w:space="0"/>
                  </w:tcBorders>
                  <w:shd w:val="clear" w:color="auto" w:fill="auto"/>
                  <w:vAlign w:val="center"/>
                </w:tcPr>
                <w:p w14:paraId="3B3A03F3">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平台扩容授权费用</w:t>
                  </w:r>
                </w:p>
              </w:tc>
              <w:tc>
                <w:tcPr>
                  <w:tcW w:w="3719" w:type="dxa"/>
                  <w:tcBorders>
                    <w:top w:val="nil"/>
                    <w:left w:val="nil"/>
                    <w:bottom w:val="single" w:color="auto" w:sz="4" w:space="0"/>
                    <w:right w:val="single" w:color="auto" w:sz="4" w:space="0"/>
                  </w:tcBorders>
                  <w:shd w:val="clear" w:color="auto" w:fill="auto"/>
                  <w:noWrap/>
                  <w:vAlign w:val="center"/>
                </w:tcPr>
                <w:p w14:paraId="29421060">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包含接入本项目全部设备所需的平台视频通道、卡口、车道数量的扩容授权； 按</w:t>
                  </w:r>
                  <w:r>
                    <w:rPr>
                      <w:rFonts w:hint="eastAsia" w:ascii="宋体" w:hAnsi="宋体" w:eastAsia="宋体" w:cs="宋体"/>
                      <w:color w:val="000000"/>
                      <w:kern w:val="0"/>
                      <w:sz w:val="22"/>
                      <w:szCs w:val="22"/>
                      <w:lang w:val="en-US" w:eastAsia="zh-CN"/>
                    </w:rPr>
                    <w:t>中山市公安</w:t>
                  </w:r>
                  <w:r>
                    <w:rPr>
                      <w:rFonts w:hint="eastAsia" w:ascii="宋体" w:hAnsi="宋体" w:eastAsia="宋体" w:cs="宋体"/>
                      <w:color w:val="000000"/>
                      <w:kern w:val="0"/>
                      <w:sz w:val="22"/>
                      <w:szCs w:val="22"/>
                    </w:rPr>
                    <w:t>局要求数据对接视频云以及集成指挥平台；设备持续调优，漏洞修复升级等。</w:t>
                  </w:r>
                </w:p>
              </w:tc>
              <w:tc>
                <w:tcPr>
                  <w:tcW w:w="523" w:type="dxa"/>
                  <w:tcBorders>
                    <w:top w:val="nil"/>
                    <w:left w:val="nil"/>
                    <w:bottom w:val="single" w:color="auto" w:sz="4" w:space="0"/>
                    <w:right w:val="single" w:color="auto" w:sz="4" w:space="0"/>
                  </w:tcBorders>
                  <w:shd w:val="clear" w:color="auto" w:fill="auto"/>
                  <w:vAlign w:val="center"/>
                </w:tcPr>
                <w:p w14:paraId="0B194EC1">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项</w:t>
                  </w:r>
                </w:p>
              </w:tc>
              <w:tc>
                <w:tcPr>
                  <w:tcW w:w="575" w:type="dxa"/>
                  <w:tcBorders>
                    <w:top w:val="nil"/>
                    <w:left w:val="nil"/>
                    <w:bottom w:val="single" w:color="auto" w:sz="4" w:space="0"/>
                    <w:right w:val="single" w:color="auto" w:sz="4" w:space="0"/>
                  </w:tcBorders>
                  <w:shd w:val="clear" w:color="auto" w:fill="auto"/>
                  <w:vAlign w:val="center"/>
                </w:tcPr>
                <w:p w14:paraId="3CCB3E00">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r>
            <w:tr w14:paraId="2BFC99E4">
              <w:tblPrEx>
                <w:tblCellMar>
                  <w:top w:w="0" w:type="dxa"/>
                  <w:left w:w="108" w:type="dxa"/>
                  <w:bottom w:w="0" w:type="dxa"/>
                  <w:right w:w="108" w:type="dxa"/>
                </w:tblCellMar>
              </w:tblPrEx>
              <w:trPr>
                <w:trHeight w:val="324" w:hRule="atLeast"/>
                <w:jc w:val="center"/>
              </w:trPr>
              <w:tc>
                <w:tcPr>
                  <w:tcW w:w="753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4CE5A20A">
                  <w:pPr>
                    <w:widowControl/>
                    <w:spacing w:line="360" w:lineRule="auto"/>
                    <w:ind w:firstLine="0" w:firstLineChars="0"/>
                    <w:jc w:val="left"/>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lang w:eastAsia="zh-CN"/>
                    </w:rPr>
                    <w:t>（</w:t>
                  </w:r>
                  <w:r>
                    <w:rPr>
                      <w:rFonts w:hint="eastAsia" w:ascii="宋体" w:hAnsi="宋体" w:eastAsia="宋体" w:cs="宋体"/>
                      <w:b/>
                      <w:bCs/>
                      <w:color w:val="000000"/>
                      <w:kern w:val="0"/>
                      <w:sz w:val="22"/>
                      <w:szCs w:val="22"/>
                      <w:lang w:val="en-US" w:eastAsia="zh-CN"/>
                    </w:rPr>
                    <w:t>三</w:t>
                  </w:r>
                  <w:r>
                    <w:rPr>
                      <w:rFonts w:hint="eastAsia" w:ascii="宋体" w:hAnsi="宋体" w:eastAsia="宋体" w:cs="宋体"/>
                      <w:b/>
                      <w:bCs/>
                      <w:color w:val="000000"/>
                      <w:kern w:val="0"/>
                      <w:sz w:val="22"/>
                      <w:szCs w:val="22"/>
                      <w:lang w:eastAsia="zh-CN"/>
                    </w:rPr>
                    <w:t>）</w:t>
                  </w:r>
                  <w:r>
                    <w:rPr>
                      <w:rFonts w:hint="eastAsia" w:ascii="宋体" w:hAnsi="宋体" w:eastAsia="宋体" w:cs="宋体"/>
                      <w:b/>
                      <w:bCs/>
                      <w:color w:val="000000"/>
                      <w:kern w:val="0"/>
                      <w:sz w:val="22"/>
                      <w:szCs w:val="22"/>
                    </w:rPr>
                    <w:t>存储设备</w:t>
                  </w:r>
                </w:p>
              </w:tc>
            </w:tr>
            <w:tr w14:paraId="740D4C02">
              <w:tblPrEx>
                <w:tblCellMar>
                  <w:top w:w="0" w:type="dxa"/>
                  <w:left w:w="108" w:type="dxa"/>
                  <w:bottom w:w="0" w:type="dxa"/>
                  <w:right w:w="108" w:type="dxa"/>
                </w:tblCellMar>
              </w:tblPrEx>
              <w:trPr>
                <w:trHeight w:val="324"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60DDBB48">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2025" w:type="dxa"/>
                  <w:tcBorders>
                    <w:top w:val="nil"/>
                    <w:left w:val="nil"/>
                    <w:bottom w:val="single" w:color="auto" w:sz="4" w:space="0"/>
                    <w:right w:val="single" w:color="auto" w:sz="4" w:space="0"/>
                  </w:tcBorders>
                  <w:shd w:val="clear" w:color="auto" w:fill="auto"/>
                  <w:vAlign w:val="center"/>
                </w:tcPr>
                <w:p w14:paraId="78865862">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存储阵列</w:t>
                  </w:r>
                </w:p>
              </w:tc>
              <w:tc>
                <w:tcPr>
                  <w:tcW w:w="3719" w:type="dxa"/>
                  <w:tcBorders>
                    <w:top w:val="nil"/>
                    <w:left w:val="nil"/>
                    <w:bottom w:val="single" w:color="auto" w:sz="4" w:space="0"/>
                    <w:right w:val="single" w:color="auto" w:sz="4" w:space="0"/>
                  </w:tcBorders>
                  <w:shd w:val="clear" w:color="auto" w:fill="auto"/>
                  <w:noWrap/>
                  <w:vAlign w:val="center"/>
                </w:tcPr>
                <w:p w14:paraId="7C92D287">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参数要求详见主要设备参数要求。</w:t>
                  </w:r>
                </w:p>
              </w:tc>
              <w:tc>
                <w:tcPr>
                  <w:tcW w:w="523" w:type="dxa"/>
                  <w:tcBorders>
                    <w:top w:val="nil"/>
                    <w:left w:val="nil"/>
                    <w:bottom w:val="single" w:color="auto" w:sz="4" w:space="0"/>
                    <w:right w:val="single" w:color="auto" w:sz="4" w:space="0"/>
                  </w:tcBorders>
                  <w:shd w:val="clear" w:color="auto" w:fill="auto"/>
                  <w:vAlign w:val="center"/>
                </w:tcPr>
                <w:p w14:paraId="6C8FE3E1">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台</w:t>
                  </w:r>
                </w:p>
              </w:tc>
              <w:tc>
                <w:tcPr>
                  <w:tcW w:w="575" w:type="dxa"/>
                  <w:tcBorders>
                    <w:top w:val="nil"/>
                    <w:left w:val="nil"/>
                    <w:bottom w:val="single" w:color="auto" w:sz="4" w:space="0"/>
                    <w:right w:val="single" w:color="auto" w:sz="4" w:space="0"/>
                  </w:tcBorders>
                  <w:shd w:val="clear" w:color="auto" w:fill="auto"/>
                  <w:vAlign w:val="center"/>
                </w:tcPr>
                <w:p w14:paraId="3B44A87C">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r>
            <w:tr w14:paraId="7AD0FEFA">
              <w:tblPrEx>
                <w:tblCellMar>
                  <w:top w:w="0" w:type="dxa"/>
                  <w:left w:w="108" w:type="dxa"/>
                  <w:bottom w:w="0" w:type="dxa"/>
                  <w:right w:w="108" w:type="dxa"/>
                </w:tblCellMar>
              </w:tblPrEx>
              <w:trPr>
                <w:trHeight w:val="324"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7810B54E">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2025" w:type="dxa"/>
                  <w:tcBorders>
                    <w:top w:val="nil"/>
                    <w:left w:val="nil"/>
                    <w:bottom w:val="single" w:color="auto" w:sz="4" w:space="0"/>
                    <w:right w:val="single" w:color="auto" w:sz="4" w:space="0"/>
                  </w:tcBorders>
                  <w:shd w:val="clear" w:color="auto" w:fill="auto"/>
                  <w:vAlign w:val="center"/>
                </w:tcPr>
                <w:p w14:paraId="465A34C8">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硬盘</w:t>
                  </w:r>
                </w:p>
              </w:tc>
              <w:tc>
                <w:tcPr>
                  <w:tcW w:w="3719" w:type="dxa"/>
                  <w:tcBorders>
                    <w:top w:val="nil"/>
                    <w:left w:val="nil"/>
                    <w:bottom w:val="single" w:color="auto" w:sz="4" w:space="0"/>
                    <w:right w:val="single" w:color="auto" w:sz="4" w:space="0"/>
                  </w:tcBorders>
                  <w:shd w:val="clear" w:color="auto" w:fill="auto"/>
                  <w:noWrap/>
                  <w:vAlign w:val="center"/>
                </w:tcPr>
                <w:p w14:paraId="2C84B7BA">
                  <w:pPr>
                    <w:widowControl/>
                    <w:spacing w:line="360" w:lineRule="auto"/>
                    <w:ind w:firstLine="0" w:firstLineChars="0"/>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8T,7200RPM,3.5寸,SATA</w:t>
                  </w:r>
                  <w:r>
                    <w:rPr>
                      <w:rFonts w:hint="eastAsia" w:ascii="宋体" w:hAnsi="宋体" w:eastAsia="宋体" w:cs="宋体"/>
                      <w:color w:val="000000"/>
                      <w:kern w:val="0"/>
                      <w:sz w:val="22"/>
                      <w:szCs w:val="22"/>
                      <w:lang w:eastAsia="zh-CN"/>
                    </w:rPr>
                    <w:t>。</w:t>
                  </w:r>
                </w:p>
              </w:tc>
              <w:tc>
                <w:tcPr>
                  <w:tcW w:w="523" w:type="dxa"/>
                  <w:tcBorders>
                    <w:top w:val="nil"/>
                    <w:left w:val="nil"/>
                    <w:bottom w:val="single" w:color="auto" w:sz="4" w:space="0"/>
                    <w:right w:val="single" w:color="auto" w:sz="4" w:space="0"/>
                  </w:tcBorders>
                  <w:shd w:val="clear" w:color="auto" w:fill="auto"/>
                  <w:vAlign w:val="center"/>
                </w:tcPr>
                <w:p w14:paraId="3641DE5C">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块</w:t>
                  </w:r>
                </w:p>
              </w:tc>
              <w:tc>
                <w:tcPr>
                  <w:tcW w:w="575" w:type="dxa"/>
                  <w:tcBorders>
                    <w:top w:val="nil"/>
                    <w:left w:val="nil"/>
                    <w:bottom w:val="single" w:color="auto" w:sz="4" w:space="0"/>
                    <w:right w:val="single" w:color="auto" w:sz="4" w:space="0"/>
                  </w:tcBorders>
                  <w:shd w:val="clear" w:color="auto" w:fill="auto"/>
                  <w:vAlign w:val="center"/>
                </w:tcPr>
                <w:p w14:paraId="785642B5">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36</w:t>
                  </w:r>
                </w:p>
              </w:tc>
            </w:tr>
            <w:tr w14:paraId="10414381">
              <w:tblPrEx>
                <w:tblCellMar>
                  <w:top w:w="0" w:type="dxa"/>
                  <w:left w:w="108" w:type="dxa"/>
                  <w:bottom w:w="0" w:type="dxa"/>
                  <w:right w:w="108" w:type="dxa"/>
                </w:tblCellMar>
              </w:tblPrEx>
              <w:trPr>
                <w:trHeight w:val="324" w:hRule="atLeast"/>
                <w:jc w:val="center"/>
              </w:trPr>
              <w:tc>
                <w:tcPr>
                  <w:tcW w:w="753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5DCFA7E9">
                  <w:pPr>
                    <w:widowControl/>
                    <w:spacing w:line="360" w:lineRule="auto"/>
                    <w:ind w:firstLine="0" w:firstLineChars="0"/>
                    <w:jc w:val="left"/>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lang w:eastAsia="zh-CN"/>
                    </w:rPr>
                    <w:t>（</w:t>
                  </w:r>
                  <w:r>
                    <w:rPr>
                      <w:rFonts w:hint="eastAsia" w:ascii="宋体" w:hAnsi="宋体" w:eastAsia="宋体" w:cs="宋体"/>
                      <w:b/>
                      <w:bCs/>
                      <w:color w:val="000000"/>
                      <w:kern w:val="0"/>
                      <w:sz w:val="22"/>
                      <w:szCs w:val="22"/>
                      <w:lang w:val="en-US" w:eastAsia="zh-CN"/>
                    </w:rPr>
                    <w:t>四</w:t>
                  </w:r>
                  <w:r>
                    <w:rPr>
                      <w:rFonts w:hint="eastAsia" w:ascii="宋体" w:hAnsi="宋体" w:eastAsia="宋体" w:cs="宋体"/>
                      <w:b/>
                      <w:bCs/>
                      <w:color w:val="000000"/>
                      <w:kern w:val="0"/>
                      <w:sz w:val="22"/>
                      <w:szCs w:val="22"/>
                      <w:lang w:eastAsia="zh-CN"/>
                    </w:rPr>
                    <w:t>）</w:t>
                  </w:r>
                  <w:r>
                    <w:rPr>
                      <w:rFonts w:hint="eastAsia" w:ascii="宋体" w:hAnsi="宋体" w:eastAsia="宋体" w:cs="宋体"/>
                      <w:b/>
                      <w:bCs/>
                      <w:color w:val="000000"/>
                      <w:kern w:val="0"/>
                      <w:sz w:val="22"/>
                      <w:szCs w:val="22"/>
                    </w:rPr>
                    <w:t>机房其他辅材</w:t>
                  </w:r>
                </w:p>
              </w:tc>
            </w:tr>
            <w:tr w14:paraId="1D2B9502">
              <w:tblPrEx>
                <w:tblCellMar>
                  <w:top w:w="0" w:type="dxa"/>
                  <w:left w:w="108" w:type="dxa"/>
                  <w:bottom w:w="0" w:type="dxa"/>
                  <w:right w:w="108" w:type="dxa"/>
                </w:tblCellMar>
              </w:tblPrEx>
              <w:trPr>
                <w:trHeight w:val="649" w:hRule="atLeast"/>
                <w:jc w:val="center"/>
              </w:trPr>
              <w:tc>
                <w:tcPr>
                  <w:tcW w:w="691" w:type="dxa"/>
                  <w:tcBorders>
                    <w:top w:val="nil"/>
                    <w:left w:val="single" w:color="auto" w:sz="4" w:space="0"/>
                    <w:bottom w:val="single" w:color="auto" w:sz="4" w:space="0"/>
                    <w:right w:val="single" w:color="auto" w:sz="4" w:space="0"/>
                  </w:tcBorders>
                  <w:shd w:val="clear" w:color="auto" w:fill="auto"/>
                  <w:vAlign w:val="center"/>
                </w:tcPr>
                <w:p w14:paraId="4CFB0911">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2025" w:type="dxa"/>
                  <w:tcBorders>
                    <w:top w:val="nil"/>
                    <w:left w:val="nil"/>
                    <w:bottom w:val="single" w:color="auto" w:sz="4" w:space="0"/>
                    <w:right w:val="single" w:color="auto" w:sz="4" w:space="0"/>
                  </w:tcBorders>
                  <w:shd w:val="clear" w:color="auto" w:fill="auto"/>
                  <w:vAlign w:val="center"/>
                </w:tcPr>
                <w:p w14:paraId="665566DC">
                  <w:pPr>
                    <w:widowControl/>
                    <w:spacing w:line="360" w:lineRule="auto"/>
                    <w:ind w:firstLine="0" w:firstLineChars="0"/>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辅材</w:t>
                  </w:r>
                </w:p>
              </w:tc>
              <w:tc>
                <w:tcPr>
                  <w:tcW w:w="3719" w:type="dxa"/>
                  <w:tcBorders>
                    <w:top w:val="nil"/>
                    <w:left w:val="nil"/>
                    <w:bottom w:val="single" w:color="auto" w:sz="4" w:space="0"/>
                    <w:right w:val="single" w:color="auto" w:sz="4" w:space="0"/>
                  </w:tcBorders>
                  <w:shd w:val="clear" w:color="auto" w:fill="auto"/>
                  <w:noWrap/>
                  <w:vAlign w:val="center"/>
                </w:tcPr>
                <w:p w14:paraId="363AAB70">
                  <w:pPr>
                    <w:widowControl/>
                    <w:spacing w:line="360" w:lineRule="auto"/>
                    <w:ind w:firstLine="0" w:firstLineChars="0"/>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包括但不限于</w:t>
                  </w:r>
                  <w:r>
                    <w:rPr>
                      <w:rFonts w:hint="eastAsia" w:ascii="宋体" w:hAnsi="宋体" w:eastAsia="宋体" w:cs="宋体"/>
                      <w:color w:val="000000"/>
                      <w:kern w:val="0"/>
                      <w:sz w:val="22"/>
                      <w:szCs w:val="22"/>
                    </w:rPr>
                    <w:t>光纤跳线、网线、水晶头、地线等零星耗材</w:t>
                  </w:r>
                  <w:r>
                    <w:rPr>
                      <w:rFonts w:hint="eastAsia" w:ascii="宋体" w:hAnsi="宋体" w:eastAsia="宋体" w:cs="宋体"/>
                      <w:color w:val="000000"/>
                      <w:kern w:val="0"/>
                      <w:sz w:val="22"/>
                      <w:szCs w:val="22"/>
                      <w:lang w:eastAsia="zh-CN"/>
                    </w:rPr>
                    <w:t>。</w:t>
                  </w:r>
                </w:p>
              </w:tc>
              <w:tc>
                <w:tcPr>
                  <w:tcW w:w="523" w:type="dxa"/>
                  <w:tcBorders>
                    <w:top w:val="nil"/>
                    <w:left w:val="nil"/>
                    <w:bottom w:val="single" w:color="auto" w:sz="4" w:space="0"/>
                    <w:right w:val="single" w:color="auto" w:sz="4" w:space="0"/>
                  </w:tcBorders>
                  <w:shd w:val="clear" w:color="auto" w:fill="auto"/>
                  <w:vAlign w:val="center"/>
                </w:tcPr>
                <w:p w14:paraId="3B9E46D3">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项</w:t>
                  </w:r>
                </w:p>
              </w:tc>
              <w:tc>
                <w:tcPr>
                  <w:tcW w:w="575" w:type="dxa"/>
                  <w:tcBorders>
                    <w:top w:val="nil"/>
                    <w:left w:val="nil"/>
                    <w:bottom w:val="single" w:color="auto" w:sz="4" w:space="0"/>
                    <w:right w:val="single" w:color="auto" w:sz="4" w:space="0"/>
                  </w:tcBorders>
                  <w:shd w:val="clear" w:color="auto" w:fill="auto"/>
                  <w:vAlign w:val="center"/>
                </w:tcPr>
                <w:p w14:paraId="76395CA1">
                  <w:pPr>
                    <w:widowControl/>
                    <w:spacing w:line="360" w:lineRule="auto"/>
                    <w:ind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r>
          </w:tbl>
          <w:p w14:paraId="093DB6A9">
            <w:pPr>
              <w:pageBreakBefore w:val="0"/>
              <w:widowControl w:val="0"/>
              <w:kinsoku/>
              <w:wordWrap/>
              <w:overflowPunct/>
              <w:topLinePunct w:val="0"/>
              <w:autoSpaceDE/>
              <w:autoSpaceDN/>
              <w:bidi w:val="0"/>
              <w:adjustRightInd/>
              <w:snapToGrid/>
              <w:spacing w:beforeAutospacing="0" w:afterAutospacing="0" w:line="360" w:lineRule="auto"/>
              <w:ind w:firstLine="440" w:firstLineChars="200"/>
              <w:textAlignment w:val="auto"/>
              <w:rPr>
                <w:rFonts w:hint="eastAsia" w:ascii="宋体" w:hAnsi="宋体" w:eastAsia="宋体" w:cs="宋体"/>
                <w:b w:val="0"/>
                <w:bCs w:val="0"/>
                <w:color w:val="auto"/>
                <w:sz w:val="22"/>
                <w:szCs w:val="22"/>
                <w:highlight w:val="none"/>
              </w:rPr>
            </w:pPr>
          </w:p>
        </w:tc>
        <w:tc>
          <w:tcPr>
            <w:tcW w:w="1208" w:type="dxa"/>
          </w:tcPr>
          <w:p w14:paraId="423A2144">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1DDD88EC">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7A511739">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3AC71646">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462CC6C6">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383598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0" w:type="dxa"/>
            <w:vAlign w:val="center"/>
          </w:tcPr>
          <w:p w14:paraId="0401A597">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val="0"/>
                <w:bCs w:val="0"/>
                <w:color w:val="auto"/>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60" w:type="dxa"/>
          </w:tcPr>
          <w:p w14:paraId="688DD633">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0B546641">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4C7983A8">
            <w:pPr>
              <w:pStyle w:val="25"/>
              <w:keepNext w:val="0"/>
              <w:keepLines w:val="0"/>
              <w:pageBreakBefore w:val="0"/>
              <w:numPr>
                <w:ilvl w:val="0"/>
                <w:numId w:val="0"/>
              </w:numPr>
              <w:kinsoku/>
              <w:wordWrap/>
              <w:overflowPunct/>
              <w:topLinePunct w:val="0"/>
              <w:autoSpaceDE/>
              <w:autoSpaceDN/>
              <w:bidi w:val="0"/>
              <w:adjustRightInd/>
              <w:snapToGrid/>
              <w:spacing w:line="360" w:lineRule="auto"/>
              <w:ind w:left="210" w:leftChars="0" w:firstLine="0" w:firstLineChars="0"/>
              <w:jc w:val="both"/>
              <w:textAlignment w:val="auto"/>
              <w:rPr>
                <w:rFonts w:hint="eastAsia" w:ascii="宋体" w:hAnsi="宋体" w:eastAsia="宋体" w:cs="宋体"/>
                <w:b/>
                <w:bCs/>
                <w:sz w:val="22"/>
                <w:szCs w:val="22"/>
                <w:lang w:val="en-US" w:eastAsia="zh-CN"/>
              </w:rPr>
            </w:pPr>
            <w:r>
              <w:rPr>
                <w:rFonts w:hint="eastAsia" w:ascii="宋体" w:hAnsi="宋体" w:eastAsia="宋体" w:cs="宋体"/>
                <w:b/>
                <w:bCs/>
                <w:sz w:val="22"/>
                <w:szCs w:val="22"/>
                <w:lang w:val="en-US" w:eastAsia="zh-CN"/>
              </w:rPr>
              <w:t>二、项目总体建设需求</w:t>
            </w:r>
          </w:p>
          <w:p w14:paraId="0F8187D4">
            <w:pPr>
              <w:pStyle w:val="8"/>
              <w:pageBreakBefore w:val="0"/>
              <w:numPr>
                <w:ilvl w:val="4"/>
                <w:numId w:val="0"/>
              </w:numPr>
              <w:kinsoku/>
              <w:wordWrap/>
              <w:overflowPunct/>
              <w:topLinePunct w:val="0"/>
              <w:autoSpaceDE/>
              <w:autoSpaceDN/>
              <w:bidi w:val="0"/>
              <w:adjustRightInd/>
              <w:snapToGrid/>
              <w:spacing w:before="0" w:beforeLines="0" w:after="0" w:afterLines="0" w:line="360" w:lineRule="auto"/>
              <w:ind w:leftChars="0"/>
              <w:textAlignment w:val="auto"/>
              <w:rPr>
                <w:rFonts w:hint="eastAsia" w:ascii="宋体" w:hAnsi="宋体" w:eastAsia="宋体" w:cs="宋体"/>
                <w:sz w:val="22"/>
                <w:szCs w:val="22"/>
              </w:rPr>
            </w:pP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一</w:t>
            </w:r>
            <w:r>
              <w:rPr>
                <w:rFonts w:hint="eastAsia" w:ascii="宋体" w:hAnsi="宋体" w:eastAsia="宋体" w:cs="宋体"/>
                <w:sz w:val="22"/>
                <w:szCs w:val="22"/>
                <w:lang w:eastAsia="zh-CN"/>
              </w:rPr>
              <w:t>）</w:t>
            </w:r>
            <w:r>
              <w:rPr>
                <w:rFonts w:hint="eastAsia" w:ascii="宋体" w:hAnsi="宋体" w:eastAsia="宋体" w:cs="宋体"/>
                <w:sz w:val="22"/>
                <w:szCs w:val="22"/>
              </w:rPr>
              <w:t>前端子系统</w:t>
            </w:r>
          </w:p>
          <w:p w14:paraId="402C92FF">
            <w:pPr>
              <w:pStyle w:val="8"/>
              <w:pageBreakBefore w:val="0"/>
              <w:numPr>
                <w:ilvl w:val="4"/>
                <w:numId w:val="0"/>
              </w:numPr>
              <w:kinsoku/>
              <w:wordWrap/>
              <w:overflowPunct/>
              <w:topLinePunct w:val="0"/>
              <w:autoSpaceDE/>
              <w:autoSpaceDN/>
              <w:bidi w:val="0"/>
              <w:adjustRightInd/>
              <w:snapToGrid/>
              <w:spacing w:before="0" w:beforeLines="0" w:after="0" w:afterLines="0" w:line="360" w:lineRule="auto"/>
              <w:ind w:leftChars="0"/>
              <w:textAlignment w:val="auto"/>
              <w:rPr>
                <w:rFonts w:hint="eastAsia" w:ascii="宋体" w:hAnsi="宋体" w:eastAsia="宋体" w:cs="宋体"/>
                <w:b/>
                <w:bCs/>
                <w:sz w:val="22"/>
                <w:szCs w:val="22"/>
                <w:lang w:val="en-US" w:eastAsia="zh-CN"/>
              </w:rPr>
            </w:pPr>
            <w:r>
              <w:rPr>
                <w:rFonts w:hint="eastAsia" w:ascii="宋体" w:hAnsi="宋体" w:eastAsia="宋体" w:cs="宋体"/>
                <w:b/>
                <w:bCs/>
                <w:sz w:val="22"/>
                <w:szCs w:val="22"/>
                <w:lang w:val="en-US" w:eastAsia="zh-CN"/>
              </w:rPr>
              <w:t>1.路口抓拍系统</w:t>
            </w:r>
          </w:p>
          <w:p w14:paraId="601EE0C3">
            <w:pPr>
              <w:pStyle w:val="8"/>
              <w:pageBreakBefore w:val="0"/>
              <w:numPr>
                <w:ilvl w:val="4"/>
                <w:numId w:val="0"/>
              </w:numPr>
              <w:kinsoku/>
              <w:wordWrap/>
              <w:overflowPunct/>
              <w:topLinePunct w:val="0"/>
              <w:autoSpaceDE/>
              <w:autoSpaceDN/>
              <w:bidi w:val="0"/>
              <w:adjustRightInd/>
              <w:snapToGrid/>
              <w:spacing w:before="0" w:beforeLines="0" w:after="0" w:afterLines="0" w:line="360" w:lineRule="auto"/>
              <w:ind w:leftChars="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1.1</w:t>
            </w:r>
            <w:r>
              <w:rPr>
                <w:rFonts w:hint="eastAsia" w:ascii="宋体" w:hAnsi="宋体" w:eastAsia="宋体" w:cs="宋体"/>
                <w:b/>
                <w:bCs/>
                <w:sz w:val="22"/>
                <w:szCs w:val="22"/>
              </w:rPr>
              <w:t>系统组成</w:t>
            </w:r>
          </w:p>
          <w:p w14:paraId="0D14BD13">
            <w:pPr>
              <w:pStyle w:val="2"/>
              <w:pageBreakBefore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系统由前端子系统、传输与后端管理子系统组成，</w:t>
            </w:r>
            <w:r>
              <w:rPr>
                <w:rFonts w:hint="eastAsia" w:ascii="宋体" w:hAnsi="宋体" w:eastAsia="宋体" w:cs="宋体"/>
                <w:sz w:val="22"/>
                <w:szCs w:val="22"/>
                <w:lang w:val="en-US" w:eastAsia="zh-CN"/>
              </w:rPr>
              <w:t>能够</w:t>
            </w:r>
            <w:r>
              <w:rPr>
                <w:rFonts w:hint="eastAsia" w:ascii="宋体" w:hAnsi="宋体" w:eastAsia="宋体" w:cs="宋体"/>
                <w:sz w:val="22"/>
                <w:szCs w:val="22"/>
              </w:rPr>
              <w:t>自动抓拍、记录、传输和处理路口机动车闯红灯、逆行、压线、不按所需行进方向驶入导向车道、不按规定车道行驶等交通违法行为，同时</w:t>
            </w:r>
            <w:r>
              <w:rPr>
                <w:rFonts w:hint="eastAsia" w:ascii="宋体" w:hAnsi="宋体" w:eastAsia="宋体" w:cs="宋体"/>
                <w:sz w:val="22"/>
                <w:szCs w:val="22"/>
                <w:lang w:val="en-US" w:eastAsia="zh-CN"/>
              </w:rPr>
              <w:t>具备</w:t>
            </w:r>
            <w:r>
              <w:rPr>
                <w:rFonts w:hint="eastAsia" w:ascii="宋体" w:hAnsi="宋体" w:eastAsia="宋体" w:cs="宋体"/>
                <w:sz w:val="22"/>
                <w:szCs w:val="22"/>
              </w:rPr>
              <w:t>卡口功能，</w:t>
            </w:r>
            <w:r>
              <w:rPr>
                <w:rFonts w:hint="eastAsia" w:ascii="宋体" w:hAnsi="宋体" w:eastAsia="宋体" w:cs="宋体"/>
                <w:sz w:val="22"/>
                <w:szCs w:val="22"/>
                <w:lang w:val="en-US" w:eastAsia="zh-CN"/>
              </w:rPr>
              <w:t>可</w:t>
            </w:r>
            <w:r>
              <w:rPr>
                <w:rFonts w:hint="eastAsia" w:ascii="宋体" w:hAnsi="宋体" w:eastAsia="宋体" w:cs="宋体"/>
                <w:sz w:val="22"/>
                <w:szCs w:val="22"/>
              </w:rPr>
              <w:t>实时记录通行车辆信息。</w:t>
            </w:r>
          </w:p>
          <w:p w14:paraId="3790C843">
            <w:pPr>
              <w:pStyle w:val="2"/>
              <w:pageBreakBefore w:val="0"/>
              <w:kinsoku/>
              <w:wordWrap/>
              <w:overflowPunct/>
              <w:topLinePunct w:val="0"/>
              <w:autoSpaceDE/>
              <w:autoSpaceDN/>
              <w:bidi w:val="0"/>
              <w:adjustRightInd/>
              <w:snapToGrid/>
              <w:spacing w:after="0"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1.1.1</w:t>
            </w:r>
            <w:r>
              <w:rPr>
                <w:rFonts w:hint="eastAsia" w:ascii="宋体" w:hAnsi="宋体" w:eastAsia="宋体" w:cs="宋体"/>
                <w:b/>
                <w:bCs/>
                <w:sz w:val="22"/>
                <w:szCs w:val="22"/>
              </w:rPr>
              <w:t>前端子系统</w:t>
            </w:r>
          </w:p>
          <w:p w14:paraId="3B72DC2C">
            <w:pPr>
              <w:pStyle w:val="2"/>
              <w:pageBreakBefore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负责完成前端数据的采集、分析、处理、存储与上传，主要由电警抓拍高清摄像单元、补光单元、交通灯信号检测器、终端管理单元等相关组件构成。路口交通违法信息与卡口信息全部采用IP方式传输。</w:t>
            </w:r>
          </w:p>
          <w:p w14:paraId="201F6BAA">
            <w:pPr>
              <w:pStyle w:val="2"/>
              <w:pageBreakBefore w:val="0"/>
              <w:kinsoku/>
              <w:wordWrap/>
              <w:overflowPunct/>
              <w:topLinePunct w:val="0"/>
              <w:autoSpaceDE/>
              <w:autoSpaceDN/>
              <w:bidi w:val="0"/>
              <w:adjustRightInd/>
              <w:snapToGrid/>
              <w:spacing w:after="0"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1.1.2</w:t>
            </w:r>
            <w:r>
              <w:rPr>
                <w:rFonts w:hint="eastAsia" w:ascii="宋体" w:hAnsi="宋体" w:eastAsia="宋体" w:cs="宋体"/>
                <w:b/>
                <w:bCs/>
                <w:sz w:val="22"/>
                <w:szCs w:val="22"/>
              </w:rPr>
              <w:t>传输与后端管理子系统</w:t>
            </w:r>
          </w:p>
          <w:p w14:paraId="3140BC23">
            <w:pPr>
              <w:pStyle w:val="2"/>
              <w:pageBreakBefore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传输部分：负责完成数据、图片、视频的传输与交换。建设视频专网，其中路口局域网由点到点裸光纤、光纤收发器组成；中心网络由接入层交换机以及核心交换机组成。</w:t>
            </w:r>
          </w:p>
          <w:p w14:paraId="08BCDB4A">
            <w:pPr>
              <w:pStyle w:val="2"/>
              <w:pageBreakBefore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后端管理部分：负责辖区内相关数据的汇聚、处理、存储、应用、管理与共享，由中心管理平台和存储系统组成。中心管理平台由平台软件模块搭载的服务器组成，包括：中心管理单元（本</w:t>
            </w:r>
            <w:r>
              <w:rPr>
                <w:rFonts w:hint="eastAsia" w:ascii="宋体" w:hAnsi="宋体" w:eastAsia="宋体" w:cs="宋体"/>
                <w:sz w:val="22"/>
                <w:szCs w:val="22"/>
                <w:lang w:val="en-US" w:eastAsia="zh-CN"/>
              </w:rPr>
              <w:t>项目</w:t>
            </w:r>
            <w:r>
              <w:rPr>
                <w:rFonts w:hint="eastAsia" w:ascii="宋体" w:hAnsi="宋体" w:eastAsia="宋体" w:cs="宋体"/>
                <w:sz w:val="22"/>
                <w:szCs w:val="22"/>
              </w:rPr>
              <w:t>扩容）、对接服务器（利旧）和流媒体服务器（利旧）。</w:t>
            </w:r>
          </w:p>
          <w:p w14:paraId="7D73F0AE">
            <w:pPr>
              <w:pStyle w:val="8"/>
              <w:pageBreakBefore w:val="0"/>
              <w:numPr>
                <w:ilvl w:val="4"/>
                <w:numId w:val="0"/>
              </w:numPr>
              <w:kinsoku/>
              <w:wordWrap/>
              <w:overflowPunct/>
              <w:topLinePunct w:val="0"/>
              <w:autoSpaceDE/>
              <w:autoSpaceDN/>
              <w:bidi w:val="0"/>
              <w:adjustRightInd/>
              <w:snapToGrid/>
              <w:spacing w:before="0" w:beforeLines="0" w:after="0" w:afterLines="0" w:line="360" w:lineRule="auto"/>
              <w:ind w:leftChars="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1.2</w:t>
            </w:r>
            <w:r>
              <w:rPr>
                <w:rFonts w:hint="eastAsia" w:ascii="宋体" w:hAnsi="宋体" w:eastAsia="宋体" w:cs="宋体"/>
                <w:b/>
                <w:bCs/>
                <w:sz w:val="22"/>
                <w:szCs w:val="22"/>
              </w:rPr>
              <w:t>前端部署原则</w:t>
            </w:r>
          </w:p>
          <w:p w14:paraId="37353E31">
            <w:pPr>
              <w:pStyle w:val="2"/>
              <w:pageBreakBefore w:val="0"/>
              <w:kinsoku/>
              <w:wordWrap/>
              <w:overflowPunct/>
              <w:topLinePunct w:val="0"/>
              <w:autoSpaceDE/>
              <w:autoSpaceDN/>
              <w:bidi w:val="0"/>
              <w:adjustRightInd/>
              <w:snapToGrid/>
              <w:spacing w:after="0"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1.2.1</w:t>
            </w:r>
            <w:r>
              <w:rPr>
                <w:rFonts w:hint="eastAsia" w:ascii="宋体" w:hAnsi="宋体" w:eastAsia="宋体" w:cs="宋体"/>
                <w:b/>
                <w:bCs/>
                <w:sz w:val="22"/>
                <w:szCs w:val="22"/>
              </w:rPr>
              <w:t>抓拍单元</w:t>
            </w:r>
          </w:p>
          <w:p w14:paraId="35F30064">
            <w:pPr>
              <w:pStyle w:val="2"/>
              <w:pageBreakBefore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每3个车道配置1台900万电警抓拍单元，用于采集行驶车辆的完整外形图片和实时数据处理；每2个车道配置1台900万卡口抓拍单元，用于采集行驶车辆的完整外形图片以及驾驶员人脸特征和实时数据处理；其中ISP成像控制、补光灯联动信号输出、车牌号码识别等关键技术均集成在卡口抓拍单元中。</w:t>
            </w:r>
          </w:p>
          <w:p w14:paraId="523A6032">
            <w:pPr>
              <w:pStyle w:val="2"/>
              <w:pageBreakBefore w:val="0"/>
              <w:kinsoku/>
              <w:wordWrap/>
              <w:overflowPunct/>
              <w:topLinePunct w:val="0"/>
              <w:autoSpaceDE/>
              <w:autoSpaceDN/>
              <w:bidi w:val="0"/>
              <w:adjustRightInd/>
              <w:snapToGrid/>
              <w:spacing w:after="0"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1.2.2</w:t>
            </w:r>
            <w:r>
              <w:rPr>
                <w:rFonts w:hint="eastAsia" w:ascii="宋体" w:hAnsi="宋体" w:eastAsia="宋体" w:cs="宋体"/>
                <w:b/>
                <w:bCs/>
                <w:sz w:val="22"/>
                <w:szCs w:val="22"/>
              </w:rPr>
              <w:t>补光单元</w:t>
            </w:r>
          </w:p>
          <w:p w14:paraId="41347ECE">
            <w:pPr>
              <w:pStyle w:val="2"/>
              <w:pageBreakBefore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后拍设备每个车道配置一台LED频闪灯作为辅助光源，前拍设备每个车道配置多合一红外白光爆闪一体灯作为辅助光源，确保抓拍图片能够清晰识别车牌号码及车辆正面、驾驶舱特征。</w:t>
            </w:r>
          </w:p>
          <w:p w14:paraId="20DB67BD">
            <w:pPr>
              <w:pStyle w:val="2"/>
              <w:pageBreakBefore w:val="0"/>
              <w:kinsoku/>
              <w:wordWrap/>
              <w:overflowPunct/>
              <w:topLinePunct w:val="0"/>
              <w:autoSpaceDE/>
              <w:autoSpaceDN/>
              <w:bidi w:val="0"/>
              <w:adjustRightInd/>
              <w:snapToGrid/>
              <w:spacing w:after="0"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1.2.3</w:t>
            </w:r>
            <w:r>
              <w:rPr>
                <w:rFonts w:hint="eastAsia" w:ascii="宋体" w:hAnsi="宋体" w:eastAsia="宋体" w:cs="宋体"/>
                <w:b/>
                <w:bCs/>
                <w:sz w:val="22"/>
                <w:szCs w:val="22"/>
              </w:rPr>
              <w:t>视频监控单元</w:t>
            </w:r>
          </w:p>
          <w:p w14:paraId="2425791E">
            <w:pPr>
              <w:pStyle w:val="2"/>
              <w:pageBreakBefore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本项目各路口按每个方向配置1台枪球一体机覆盖所有车道，新增球机与抓拍单元安装于本</w:t>
            </w:r>
            <w:r>
              <w:rPr>
                <w:rFonts w:hint="eastAsia" w:ascii="宋体" w:hAnsi="宋体" w:eastAsia="宋体" w:cs="宋体"/>
                <w:sz w:val="22"/>
                <w:szCs w:val="22"/>
                <w:lang w:val="en-US" w:eastAsia="zh-CN"/>
              </w:rPr>
              <w:t>项目</w:t>
            </w:r>
            <w:r>
              <w:rPr>
                <w:rFonts w:hint="eastAsia" w:ascii="宋体" w:hAnsi="宋体" w:eastAsia="宋体" w:cs="宋体"/>
                <w:sz w:val="22"/>
                <w:szCs w:val="22"/>
              </w:rPr>
              <w:t>新建的7.5米杆上，可满足本</w:t>
            </w:r>
            <w:r>
              <w:rPr>
                <w:rFonts w:hint="eastAsia" w:ascii="宋体" w:hAnsi="宋体" w:eastAsia="宋体" w:cs="宋体"/>
                <w:sz w:val="22"/>
                <w:szCs w:val="22"/>
                <w:lang w:val="en-US" w:eastAsia="zh-CN"/>
              </w:rPr>
              <w:t>项目</w:t>
            </w:r>
            <w:r>
              <w:rPr>
                <w:rFonts w:hint="eastAsia" w:ascii="宋体" w:hAnsi="宋体" w:eastAsia="宋体" w:cs="宋体"/>
                <w:sz w:val="22"/>
                <w:szCs w:val="22"/>
              </w:rPr>
              <w:t>需求。摄像机</w:t>
            </w:r>
            <w:r>
              <w:rPr>
                <w:rFonts w:hint="eastAsia" w:ascii="宋体" w:hAnsi="宋体" w:eastAsia="宋体" w:cs="宋体"/>
                <w:sz w:val="22"/>
                <w:szCs w:val="22"/>
                <w:lang w:val="en-US" w:eastAsia="zh-CN"/>
              </w:rPr>
              <w:t>需</w:t>
            </w:r>
            <w:r>
              <w:rPr>
                <w:rFonts w:hint="eastAsia" w:ascii="宋体" w:hAnsi="宋体" w:eastAsia="宋体" w:cs="宋体"/>
                <w:sz w:val="22"/>
                <w:szCs w:val="22"/>
              </w:rPr>
              <w:t>实现24小时全天候不间断的高质量图像视频信息采集。摄像机的数据输出接口为RJ45（1000M电口），通过网线接入路口工业交换机。</w:t>
            </w:r>
          </w:p>
          <w:p w14:paraId="75EA9F0B">
            <w:pPr>
              <w:pStyle w:val="2"/>
              <w:pageBreakBefore w:val="0"/>
              <w:kinsoku/>
              <w:wordWrap/>
              <w:overflowPunct/>
              <w:topLinePunct w:val="0"/>
              <w:autoSpaceDE/>
              <w:autoSpaceDN/>
              <w:bidi w:val="0"/>
              <w:adjustRightInd/>
              <w:snapToGrid/>
              <w:spacing w:after="0"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1.2.4</w:t>
            </w:r>
            <w:r>
              <w:rPr>
                <w:rFonts w:hint="eastAsia" w:ascii="宋体" w:hAnsi="宋体" w:eastAsia="宋体" w:cs="宋体"/>
                <w:b/>
                <w:bCs/>
                <w:sz w:val="22"/>
                <w:szCs w:val="22"/>
              </w:rPr>
              <w:t>终端管理单元</w:t>
            </w:r>
          </w:p>
          <w:p w14:paraId="7D891007">
            <w:pPr>
              <w:pStyle w:val="2"/>
              <w:pageBreakBefore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sz w:val="22"/>
                <w:szCs w:val="22"/>
                <w:lang w:eastAsia="zh-CN"/>
              </w:rPr>
            </w:pPr>
            <w:r>
              <w:rPr>
                <w:rFonts w:hint="eastAsia" w:ascii="宋体" w:hAnsi="宋体" w:eastAsia="宋体" w:cs="宋体"/>
                <w:sz w:val="22"/>
                <w:szCs w:val="22"/>
              </w:rPr>
              <w:t>每个卡点设置一台终端管理单元，用作前端信息备份存储</w:t>
            </w:r>
            <w:r>
              <w:rPr>
                <w:rFonts w:hint="eastAsia" w:ascii="宋体" w:hAnsi="宋体" w:eastAsia="宋体" w:cs="宋体"/>
                <w:sz w:val="22"/>
                <w:szCs w:val="22"/>
                <w:lang w:eastAsia="zh-CN"/>
              </w:rPr>
              <w:t>。</w:t>
            </w:r>
          </w:p>
          <w:p w14:paraId="687C29F1">
            <w:pPr>
              <w:pStyle w:val="2"/>
              <w:pageBreakBefore w:val="0"/>
              <w:kinsoku/>
              <w:wordWrap/>
              <w:overflowPunct/>
              <w:topLinePunct w:val="0"/>
              <w:autoSpaceDE/>
              <w:autoSpaceDN/>
              <w:bidi w:val="0"/>
              <w:adjustRightInd/>
              <w:snapToGrid/>
              <w:spacing w:after="0"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1.2.5</w:t>
            </w:r>
            <w:r>
              <w:rPr>
                <w:rFonts w:hint="eastAsia" w:ascii="宋体" w:hAnsi="宋体" w:eastAsia="宋体" w:cs="宋体"/>
                <w:b/>
                <w:bCs/>
                <w:sz w:val="22"/>
                <w:szCs w:val="22"/>
              </w:rPr>
              <w:t>落地机柜</w:t>
            </w:r>
          </w:p>
          <w:p w14:paraId="48DA3F46">
            <w:pPr>
              <w:pStyle w:val="2"/>
              <w:pageBreakBefore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每个路口配置一个落地机柜，机柜安装在路口的适当位置，机箱内</w:t>
            </w:r>
            <w:r>
              <w:rPr>
                <w:rFonts w:hint="eastAsia" w:ascii="宋体" w:hAnsi="宋体" w:eastAsia="宋体" w:cs="宋体"/>
                <w:sz w:val="22"/>
                <w:szCs w:val="22"/>
                <w:lang w:val="en-US" w:eastAsia="zh-CN"/>
              </w:rPr>
              <w:t>需</w:t>
            </w:r>
            <w:r>
              <w:rPr>
                <w:rFonts w:hint="eastAsia" w:ascii="宋体" w:hAnsi="宋体" w:eastAsia="宋体" w:cs="宋体"/>
                <w:sz w:val="22"/>
                <w:szCs w:val="22"/>
              </w:rPr>
              <w:t>安装配电设备、安装支架和线槽，并提供维护电源插座。</w:t>
            </w:r>
          </w:p>
          <w:p w14:paraId="0800CD7B">
            <w:pPr>
              <w:pStyle w:val="8"/>
              <w:pageBreakBefore w:val="0"/>
              <w:numPr>
                <w:ilvl w:val="4"/>
                <w:numId w:val="0"/>
              </w:numPr>
              <w:kinsoku/>
              <w:wordWrap/>
              <w:overflowPunct/>
              <w:topLinePunct w:val="0"/>
              <w:autoSpaceDE/>
              <w:autoSpaceDN/>
              <w:bidi w:val="0"/>
              <w:adjustRightInd/>
              <w:snapToGrid/>
              <w:spacing w:before="0" w:beforeLines="0" w:after="0" w:afterLines="0" w:line="360" w:lineRule="auto"/>
              <w:ind w:leftChars="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1.3</w:t>
            </w:r>
            <w:r>
              <w:rPr>
                <w:rFonts w:hint="eastAsia" w:ascii="宋体" w:hAnsi="宋体" w:eastAsia="宋体" w:cs="宋体"/>
                <w:b/>
                <w:bCs/>
                <w:sz w:val="22"/>
                <w:szCs w:val="22"/>
              </w:rPr>
              <w:t>前端建设点位</w:t>
            </w:r>
          </w:p>
          <w:p w14:paraId="25EAFC5D">
            <w:pPr>
              <w:pStyle w:val="2"/>
              <w:pageBreakBefore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3个路口电子警察监控设备建设点位</w:t>
            </w:r>
            <w:r>
              <w:rPr>
                <w:rFonts w:hint="eastAsia" w:ascii="宋体" w:hAnsi="宋体" w:eastAsia="宋体" w:cs="宋体"/>
                <w:sz w:val="22"/>
                <w:szCs w:val="22"/>
                <w:lang w:eastAsia="zh-CN"/>
              </w:rPr>
              <w:t>：</w:t>
            </w:r>
          </w:p>
          <w:tbl>
            <w:tblPr>
              <w:tblStyle w:val="18"/>
              <w:tblW w:w="7904" w:type="dxa"/>
              <w:tblInd w:w="0" w:type="dxa"/>
              <w:tblLayout w:type="fixed"/>
              <w:tblCellMar>
                <w:top w:w="0" w:type="dxa"/>
                <w:left w:w="108" w:type="dxa"/>
                <w:bottom w:w="0" w:type="dxa"/>
                <w:right w:w="108" w:type="dxa"/>
              </w:tblCellMar>
            </w:tblPr>
            <w:tblGrid>
              <w:gridCol w:w="686"/>
              <w:gridCol w:w="1631"/>
              <w:gridCol w:w="1575"/>
              <w:gridCol w:w="1237"/>
              <w:gridCol w:w="1163"/>
              <w:gridCol w:w="1069"/>
              <w:gridCol w:w="543"/>
            </w:tblGrid>
            <w:tr w14:paraId="4AD36F57">
              <w:tblPrEx>
                <w:tblCellMar>
                  <w:top w:w="0" w:type="dxa"/>
                  <w:left w:w="108" w:type="dxa"/>
                  <w:bottom w:w="0" w:type="dxa"/>
                  <w:right w:w="108" w:type="dxa"/>
                </w:tblCellMar>
              </w:tblPrEx>
              <w:trPr>
                <w:trHeight w:val="1174" w:hRule="atLeast"/>
                <w:tblHead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14:paraId="09D70247">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bookmarkStart w:id="4" w:name="_Toc173501780"/>
                  <w:r>
                    <w:rPr>
                      <w:rFonts w:hint="eastAsia" w:ascii="宋体" w:hAnsi="宋体" w:eastAsia="宋体" w:cs="宋体"/>
                      <w:b/>
                      <w:bCs/>
                      <w:color w:val="000000"/>
                      <w:kern w:val="0"/>
                      <w:sz w:val="22"/>
                      <w:szCs w:val="22"/>
                    </w:rPr>
                    <w:t>序号</w:t>
                  </w:r>
                </w:p>
              </w:tc>
              <w:tc>
                <w:tcPr>
                  <w:tcW w:w="1631" w:type="dxa"/>
                  <w:tcBorders>
                    <w:top w:val="single" w:color="auto" w:sz="4" w:space="0"/>
                    <w:left w:val="nil"/>
                    <w:bottom w:val="single" w:color="auto" w:sz="4" w:space="0"/>
                    <w:right w:val="single" w:color="auto" w:sz="4" w:space="0"/>
                  </w:tcBorders>
                  <w:shd w:val="clear" w:color="auto" w:fill="auto"/>
                  <w:vAlign w:val="center"/>
                </w:tcPr>
                <w:p w14:paraId="0B0B086E">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路口名称</w:t>
                  </w:r>
                </w:p>
              </w:tc>
              <w:tc>
                <w:tcPr>
                  <w:tcW w:w="1575" w:type="dxa"/>
                  <w:tcBorders>
                    <w:top w:val="single" w:color="auto" w:sz="4" w:space="0"/>
                    <w:left w:val="nil"/>
                    <w:bottom w:val="single" w:color="auto" w:sz="4" w:space="0"/>
                    <w:right w:val="single" w:color="auto" w:sz="4" w:space="0"/>
                  </w:tcBorders>
                  <w:shd w:val="clear" w:color="auto" w:fill="auto"/>
                  <w:vAlign w:val="center"/>
                </w:tcPr>
                <w:p w14:paraId="7CABAB3F">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经度</w:t>
                  </w:r>
                </w:p>
              </w:tc>
              <w:tc>
                <w:tcPr>
                  <w:tcW w:w="1237" w:type="dxa"/>
                  <w:tcBorders>
                    <w:top w:val="single" w:color="auto" w:sz="4" w:space="0"/>
                    <w:left w:val="nil"/>
                    <w:bottom w:val="single" w:color="auto" w:sz="4" w:space="0"/>
                    <w:right w:val="single" w:color="auto" w:sz="4" w:space="0"/>
                  </w:tcBorders>
                  <w:shd w:val="clear" w:color="auto" w:fill="auto"/>
                  <w:vAlign w:val="center"/>
                </w:tcPr>
                <w:p w14:paraId="2AD97155">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纬度</w:t>
                  </w:r>
                </w:p>
              </w:tc>
              <w:tc>
                <w:tcPr>
                  <w:tcW w:w="1163" w:type="dxa"/>
                  <w:tcBorders>
                    <w:top w:val="single" w:color="auto" w:sz="4" w:space="0"/>
                    <w:left w:val="nil"/>
                    <w:bottom w:val="single" w:color="auto" w:sz="4" w:space="0"/>
                    <w:right w:val="single" w:color="auto" w:sz="4" w:space="0"/>
                  </w:tcBorders>
                  <w:shd w:val="clear" w:color="auto" w:fill="auto"/>
                  <w:vAlign w:val="center"/>
                </w:tcPr>
                <w:p w14:paraId="11465A5B">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设备类型</w:t>
                  </w:r>
                </w:p>
              </w:tc>
              <w:tc>
                <w:tcPr>
                  <w:tcW w:w="1069" w:type="dxa"/>
                  <w:tcBorders>
                    <w:top w:val="single" w:color="auto" w:sz="4" w:space="0"/>
                    <w:left w:val="nil"/>
                    <w:bottom w:val="single" w:color="auto" w:sz="4" w:space="0"/>
                    <w:right w:val="single" w:color="auto" w:sz="4" w:space="0"/>
                  </w:tcBorders>
                  <w:shd w:val="clear" w:color="auto" w:fill="auto"/>
                  <w:vAlign w:val="center"/>
                </w:tcPr>
                <w:p w14:paraId="4BFCE304">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路口方向数</w:t>
                  </w:r>
                </w:p>
              </w:tc>
              <w:tc>
                <w:tcPr>
                  <w:tcW w:w="543" w:type="dxa"/>
                  <w:tcBorders>
                    <w:top w:val="single" w:color="auto" w:sz="4" w:space="0"/>
                    <w:left w:val="nil"/>
                    <w:bottom w:val="single" w:color="auto" w:sz="4" w:space="0"/>
                    <w:right w:val="single" w:color="auto" w:sz="4" w:space="0"/>
                  </w:tcBorders>
                  <w:shd w:val="clear" w:color="auto" w:fill="auto"/>
                  <w:vAlign w:val="center"/>
                </w:tcPr>
                <w:p w14:paraId="5FC3EB7B">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车道数</w:t>
                  </w:r>
                </w:p>
              </w:tc>
            </w:tr>
            <w:tr w14:paraId="641961E6">
              <w:tblPrEx>
                <w:tblCellMar>
                  <w:top w:w="0" w:type="dxa"/>
                  <w:left w:w="108" w:type="dxa"/>
                  <w:bottom w:w="0" w:type="dxa"/>
                  <w:right w:w="108" w:type="dxa"/>
                </w:tblCellMar>
              </w:tblPrEx>
              <w:trPr>
                <w:trHeight w:val="1174" w:hRule="atLeast"/>
              </w:trPr>
              <w:tc>
                <w:tcPr>
                  <w:tcW w:w="686" w:type="dxa"/>
                  <w:tcBorders>
                    <w:top w:val="nil"/>
                    <w:left w:val="single" w:color="auto" w:sz="4" w:space="0"/>
                    <w:bottom w:val="single" w:color="auto" w:sz="4" w:space="0"/>
                    <w:right w:val="single" w:color="auto" w:sz="4" w:space="0"/>
                  </w:tcBorders>
                  <w:shd w:val="clear" w:color="auto" w:fill="auto"/>
                  <w:noWrap/>
                  <w:vAlign w:val="center"/>
                </w:tcPr>
                <w:p w14:paraId="6BF9EF09">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631" w:type="dxa"/>
                  <w:tcBorders>
                    <w:top w:val="nil"/>
                    <w:left w:val="nil"/>
                    <w:bottom w:val="single" w:color="auto" w:sz="4" w:space="0"/>
                    <w:right w:val="single" w:color="auto" w:sz="4" w:space="0"/>
                  </w:tcBorders>
                  <w:shd w:val="clear" w:color="auto" w:fill="auto"/>
                  <w:noWrap/>
                  <w:vAlign w:val="center"/>
                </w:tcPr>
                <w:p w14:paraId="26905F1B">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海湾二路与翠云路十字路口</w:t>
                  </w:r>
                </w:p>
              </w:tc>
              <w:tc>
                <w:tcPr>
                  <w:tcW w:w="1575" w:type="dxa"/>
                  <w:tcBorders>
                    <w:top w:val="nil"/>
                    <w:left w:val="nil"/>
                    <w:bottom w:val="single" w:color="auto" w:sz="4" w:space="0"/>
                    <w:right w:val="single" w:color="auto" w:sz="4" w:space="0"/>
                  </w:tcBorders>
                  <w:shd w:val="clear" w:color="auto" w:fill="auto"/>
                  <w:noWrap/>
                  <w:vAlign w:val="center"/>
                </w:tcPr>
                <w:p w14:paraId="180143C4">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113.544429</w:t>
                  </w:r>
                </w:p>
              </w:tc>
              <w:tc>
                <w:tcPr>
                  <w:tcW w:w="1237" w:type="dxa"/>
                  <w:tcBorders>
                    <w:top w:val="nil"/>
                    <w:left w:val="nil"/>
                    <w:bottom w:val="single" w:color="auto" w:sz="4" w:space="0"/>
                    <w:right w:val="single" w:color="auto" w:sz="4" w:space="0"/>
                  </w:tcBorders>
                  <w:shd w:val="clear" w:color="auto" w:fill="auto"/>
                  <w:noWrap/>
                  <w:vAlign w:val="center"/>
                </w:tcPr>
                <w:p w14:paraId="74670395">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22.432520</w:t>
                  </w:r>
                </w:p>
              </w:tc>
              <w:tc>
                <w:tcPr>
                  <w:tcW w:w="1163" w:type="dxa"/>
                  <w:tcBorders>
                    <w:top w:val="nil"/>
                    <w:left w:val="nil"/>
                    <w:bottom w:val="single" w:color="auto" w:sz="4" w:space="0"/>
                    <w:right w:val="single" w:color="auto" w:sz="4" w:space="0"/>
                  </w:tcBorders>
                  <w:shd w:val="clear" w:color="auto" w:fill="auto"/>
                  <w:noWrap/>
                  <w:vAlign w:val="center"/>
                </w:tcPr>
                <w:p w14:paraId="29C7DF0F">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电子警察监控</w:t>
                  </w:r>
                </w:p>
              </w:tc>
              <w:tc>
                <w:tcPr>
                  <w:tcW w:w="1069" w:type="dxa"/>
                  <w:tcBorders>
                    <w:top w:val="nil"/>
                    <w:left w:val="nil"/>
                    <w:bottom w:val="single" w:color="auto" w:sz="4" w:space="0"/>
                    <w:right w:val="single" w:color="auto" w:sz="4" w:space="0"/>
                  </w:tcBorders>
                  <w:shd w:val="clear" w:color="auto" w:fill="auto"/>
                  <w:noWrap/>
                  <w:vAlign w:val="center"/>
                </w:tcPr>
                <w:p w14:paraId="2360CC90">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543" w:type="dxa"/>
                  <w:tcBorders>
                    <w:top w:val="nil"/>
                    <w:left w:val="nil"/>
                    <w:bottom w:val="single" w:color="auto" w:sz="4" w:space="0"/>
                    <w:right w:val="single" w:color="auto" w:sz="4" w:space="0"/>
                  </w:tcBorders>
                  <w:shd w:val="clear" w:color="auto" w:fill="auto"/>
                  <w:noWrap/>
                  <w:vAlign w:val="center"/>
                </w:tcPr>
                <w:p w14:paraId="7888973A">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w:t>
                  </w:r>
                </w:p>
              </w:tc>
            </w:tr>
            <w:tr w14:paraId="1EF12215">
              <w:tblPrEx>
                <w:tblCellMar>
                  <w:top w:w="0" w:type="dxa"/>
                  <w:left w:w="108" w:type="dxa"/>
                  <w:bottom w:w="0" w:type="dxa"/>
                  <w:right w:w="108" w:type="dxa"/>
                </w:tblCellMar>
              </w:tblPrEx>
              <w:trPr>
                <w:trHeight w:val="593" w:hRule="atLeast"/>
              </w:trPr>
              <w:tc>
                <w:tcPr>
                  <w:tcW w:w="686" w:type="dxa"/>
                  <w:tcBorders>
                    <w:top w:val="nil"/>
                    <w:left w:val="single" w:color="auto" w:sz="4" w:space="0"/>
                    <w:bottom w:val="single" w:color="auto" w:sz="4" w:space="0"/>
                    <w:right w:val="single" w:color="auto" w:sz="4" w:space="0"/>
                  </w:tcBorders>
                  <w:shd w:val="clear" w:color="auto" w:fill="auto"/>
                  <w:noWrap/>
                  <w:vAlign w:val="center"/>
                </w:tcPr>
                <w:p w14:paraId="2AAFA000">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1631" w:type="dxa"/>
                  <w:tcBorders>
                    <w:top w:val="nil"/>
                    <w:left w:val="nil"/>
                    <w:bottom w:val="single" w:color="auto" w:sz="4" w:space="0"/>
                    <w:right w:val="single" w:color="auto" w:sz="4" w:space="0"/>
                  </w:tcBorders>
                  <w:shd w:val="clear" w:color="auto" w:fill="auto"/>
                  <w:noWrap/>
                  <w:vAlign w:val="center"/>
                </w:tcPr>
                <w:p w14:paraId="1D500018">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翠锦路与长平路十字路口</w:t>
                  </w:r>
                </w:p>
              </w:tc>
              <w:tc>
                <w:tcPr>
                  <w:tcW w:w="1575" w:type="dxa"/>
                  <w:tcBorders>
                    <w:top w:val="nil"/>
                    <w:left w:val="nil"/>
                    <w:bottom w:val="single" w:color="auto" w:sz="4" w:space="0"/>
                    <w:right w:val="single" w:color="auto" w:sz="4" w:space="0"/>
                  </w:tcBorders>
                  <w:shd w:val="clear" w:color="auto" w:fill="auto"/>
                  <w:noWrap/>
                  <w:vAlign w:val="center"/>
                </w:tcPr>
                <w:p w14:paraId="0D73FAB1">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xml:space="preserve">113.539097 </w:t>
                  </w:r>
                </w:p>
              </w:tc>
              <w:tc>
                <w:tcPr>
                  <w:tcW w:w="1237" w:type="dxa"/>
                  <w:tcBorders>
                    <w:top w:val="nil"/>
                    <w:left w:val="nil"/>
                    <w:bottom w:val="single" w:color="auto" w:sz="4" w:space="0"/>
                    <w:right w:val="single" w:color="auto" w:sz="4" w:space="0"/>
                  </w:tcBorders>
                  <w:shd w:val="clear" w:color="auto" w:fill="auto"/>
                  <w:noWrap/>
                  <w:vAlign w:val="center"/>
                </w:tcPr>
                <w:p w14:paraId="05F1C8C4">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xml:space="preserve">22.418387 </w:t>
                  </w:r>
                </w:p>
              </w:tc>
              <w:tc>
                <w:tcPr>
                  <w:tcW w:w="1163" w:type="dxa"/>
                  <w:tcBorders>
                    <w:top w:val="nil"/>
                    <w:left w:val="nil"/>
                    <w:bottom w:val="single" w:color="auto" w:sz="4" w:space="0"/>
                    <w:right w:val="single" w:color="auto" w:sz="4" w:space="0"/>
                  </w:tcBorders>
                  <w:shd w:val="clear" w:color="auto" w:fill="auto"/>
                  <w:noWrap/>
                  <w:vAlign w:val="center"/>
                </w:tcPr>
                <w:p w14:paraId="27E6E186">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电子警察监控</w:t>
                  </w:r>
                </w:p>
              </w:tc>
              <w:tc>
                <w:tcPr>
                  <w:tcW w:w="1069" w:type="dxa"/>
                  <w:tcBorders>
                    <w:top w:val="nil"/>
                    <w:left w:val="nil"/>
                    <w:bottom w:val="single" w:color="auto" w:sz="4" w:space="0"/>
                    <w:right w:val="single" w:color="auto" w:sz="4" w:space="0"/>
                  </w:tcBorders>
                  <w:shd w:val="clear" w:color="auto" w:fill="auto"/>
                  <w:noWrap/>
                  <w:vAlign w:val="center"/>
                </w:tcPr>
                <w:p w14:paraId="59C5A36E">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543" w:type="dxa"/>
                  <w:tcBorders>
                    <w:top w:val="nil"/>
                    <w:left w:val="nil"/>
                    <w:bottom w:val="single" w:color="auto" w:sz="4" w:space="0"/>
                    <w:right w:val="single" w:color="auto" w:sz="4" w:space="0"/>
                  </w:tcBorders>
                  <w:shd w:val="clear" w:color="auto" w:fill="auto"/>
                  <w:noWrap/>
                  <w:vAlign w:val="center"/>
                </w:tcPr>
                <w:p w14:paraId="0051AC87">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w:t>
                  </w:r>
                </w:p>
              </w:tc>
            </w:tr>
            <w:tr w14:paraId="6B32CD33">
              <w:tblPrEx>
                <w:tblCellMar>
                  <w:top w:w="0" w:type="dxa"/>
                  <w:left w:w="108" w:type="dxa"/>
                  <w:bottom w:w="0" w:type="dxa"/>
                  <w:right w:w="108" w:type="dxa"/>
                </w:tblCellMar>
              </w:tblPrEx>
              <w:trPr>
                <w:trHeight w:val="1174" w:hRule="atLeast"/>
              </w:trPr>
              <w:tc>
                <w:tcPr>
                  <w:tcW w:w="686" w:type="dxa"/>
                  <w:tcBorders>
                    <w:top w:val="nil"/>
                    <w:left w:val="single" w:color="auto" w:sz="4" w:space="0"/>
                    <w:bottom w:val="single" w:color="auto" w:sz="4" w:space="0"/>
                    <w:right w:val="single" w:color="auto" w:sz="4" w:space="0"/>
                  </w:tcBorders>
                  <w:shd w:val="clear" w:color="auto" w:fill="auto"/>
                  <w:noWrap/>
                  <w:vAlign w:val="center"/>
                </w:tcPr>
                <w:p w14:paraId="5E18419E">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1631" w:type="dxa"/>
                  <w:tcBorders>
                    <w:top w:val="nil"/>
                    <w:left w:val="nil"/>
                    <w:bottom w:val="single" w:color="auto" w:sz="4" w:space="0"/>
                    <w:right w:val="single" w:color="auto" w:sz="4" w:space="0"/>
                  </w:tcBorders>
                  <w:shd w:val="clear" w:color="auto" w:fill="auto"/>
                  <w:noWrap/>
                  <w:vAlign w:val="center"/>
                </w:tcPr>
                <w:p w14:paraId="09303BD1">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翠锦路与翠云路十字路口</w:t>
                  </w:r>
                </w:p>
              </w:tc>
              <w:tc>
                <w:tcPr>
                  <w:tcW w:w="1575" w:type="dxa"/>
                  <w:tcBorders>
                    <w:top w:val="nil"/>
                    <w:left w:val="nil"/>
                    <w:bottom w:val="single" w:color="auto" w:sz="4" w:space="0"/>
                    <w:right w:val="single" w:color="auto" w:sz="4" w:space="0"/>
                  </w:tcBorders>
                  <w:shd w:val="clear" w:color="auto" w:fill="auto"/>
                  <w:noWrap/>
                  <w:vAlign w:val="center"/>
                </w:tcPr>
                <w:p w14:paraId="371E2F45">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xml:space="preserve">113.542090 </w:t>
                  </w:r>
                </w:p>
              </w:tc>
              <w:tc>
                <w:tcPr>
                  <w:tcW w:w="1237" w:type="dxa"/>
                  <w:tcBorders>
                    <w:top w:val="nil"/>
                    <w:left w:val="nil"/>
                    <w:bottom w:val="single" w:color="auto" w:sz="4" w:space="0"/>
                    <w:right w:val="single" w:color="auto" w:sz="4" w:space="0"/>
                  </w:tcBorders>
                  <w:shd w:val="clear" w:color="auto" w:fill="auto"/>
                  <w:noWrap/>
                  <w:vAlign w:val="center"/>
                </w:tcPr>
                <w:p w14:paraId="05B417C9">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xml:space="preserve">22.433030 </w:t>
                  </w:r>
                </w:p>
              </w:tc>
              <w:tc>
                <w:tcPr>
                  <w:tcW w:w="1163" w:type="dxa"/>
                  <w:tcBorders>
                    <w:top w:val="nil"/>
                    <w:left w:val="nil"/>
                    <w:bottom w:val="single" w:color="auto" w:sz="4" w:space="0"/>
                    <w:right w:val="single" w:color="auto" w:sz="4" w:space="0"/>
                  </w:tcBorders>
                  <w:shd w:val="clear" w:color="auto" w:fill="auto"/>
                  <w:noWrap/>
                  <w:vAlign w:val="center"/>
                </w:tcPr>
                <w:p w14:paraId="7901716D">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电子警察监控</w:t>
                  </w:r>
                </w:p>
              </w:tc>
              <w:tc>
                <w:tcPr>
                  <w:tcW w:w="1069" w:type="dxa"/>
                  <w:tcBorders>
                    <w:top w:val="nil"/>
                    <w:left w:val="nil"/>
                    <w:bottom w:val="single" w:color="auto" w:sz="4" w:space="0"/>
                    <w:right w:val="single" w:color="auto" w:sz="4" w:space="0"/>
                  </w:tcBorders>
                  <w:shd w:val="clear" w:color="auto" w:fill="auto"/>
                  <w:noWrap/>
                  <w:vAlign w:val="center"/>
                </w:tcPr>
                <w:p w14:paraId="6106351E">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543" w:type="dxa"/>
                  <w:tcBorders>
                    <w:top w:val="nil"/>
                    <w:left w:val="nil"/>
                    <w:bottom w:val="single" w:color="auto" w:sz="4" w:space="0"/>
                    <w:right w:val="single" w:color="auto" w:sz="4" w:space="0"/>
                  </w:tcBorders>
                  <w:shd w:val="clear" w:color="auto" w:fill="auto"/>
                  <w:noWrap/>
                  <w:vAlign w:val="center"/>
                </w:tcPr>
                <w:p w14:paraId="2131FE9C">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w:t>
                  </w:r>
                </w:p>
              </w:tc>
            </w:tr>
            <w:tr w14:paraId="51052D0B">
              <w:tblPrEx>
                <w:tblCellMar>
                  <w:top w:w="0" w:type="dxa"/>
                  <w:left w:w="108" w:type="dxa"/>
                  <w:bottom w:w="0" w:type="dxa"/>
                  <w:right w:w="108" w:type="dxa"/>
                </w:tblCellMar>
              </w:tblPrEx>
              <w:trPr>
                <w:trHeight w:val="605" w:hRule="atLeast"/>
              </w:trPr>
              <w:tc>
                <w:tcPr>
                  <w:tcW w:w="6292"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3B7F2A5F">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合计</w:t>
                  </w:r>
                </w:p>
              </w:tc>
              <w:tc>
                <w:tcPr>
                  <w:tcW w:w="1069" w:type="dxa"/>
                  <w:tcBorders>
                    <w:top w:val="nil"/>
                    <w:left w:val="nil"/>
                    <w:bottom w:val="single" w:color="auto" w:sz="4" w:space="0"/>
                    <w:right w:val="single" w:color="auto" w:sz="4" w:space="0"/>
                  </w:tcBorders>
                  <w:shd w:val="clear" w:color="auto" w:fill="auto"/>
                  <w:noWrap/>
                  <w:vAlign w:val="center"/>
                </w:tcPr>
                <w:p w14:paraId="264BB54E">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w:t>
                  </w:r>
                </w:p>
              </w:tc>
              <w:tc>
                <w:tcPr>
                  <w:tcW w:w="543" w:type="dxa"/>
                  <w:tcBorders>
                    <w:top w:val="nil"/>
                    <w:left w:val="nil"/>
                    <w:bottom w:val="single" w:color="auto" w:sz="4" w:space="0"/>
                    <w:right w:val="single" w:color="auto" w:sz="4" w:space="0"/>
                  </w:tcBorders>
                  <w:shd w:val="clear" w:color="auto" w:fill="auto"/>
                  <w:noWrap/>
                  <w:vAlign w:val="center"/>
                </w:tcPr>
                <w:p w14:paraId="3D19FC61">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44</w:t>
                  </w:r>
                </w:p>
              </w:tc>
            </w:tr>
            <w:bookmarkEnd w:id="4"/>
          </w:tbl>
          <w:p w14:paraId="5FC1A3F2">
            <w:pPr>
              <w:pStyle w:val="5"/>
              <w:pageBreakBefore w:val="0"/>
              <w:widowControl w:val="0"/>
              <w:numPr>
                <w:ilvl w:val="2"/>
                <w:numId w:val="0"/>
              </w:numPr>
              <w:kinsoku/>
              <w:wordWrap/>
              <w:overflowPunct/>
              <w:topLinePunct w:val="0"/>
              <w:autoSpaceDE/>
              <w:autoSpaceDN/>
              <w:bidi w:val="0"/>
              <w:adjustRightInd/>
              <w:snapToGrid/>
              <w:spacing w:before="0" w:beforeLines="0" w:after="0" w:afterLines="0" w:line="360" w:lineRule="auto"/>
              <w:ind w:leftChars="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2.</w:t>
            </w:r>
            <w:r>
              <w:rPr>
                <w:rFonts w:hint="eastAsia" w:ascii="宋体" w:hAnsi="宋体" w:eastAsia="宋体" w:cs="宋体"/>
                <w:sz w:val="22"/>
                <w:szCs w:val="22"/>
              </w:rPr>
              <w:t>系统工作流程</w:t>
            </w:r>
          </w:p>
          <w:p w14:paraId="0888990B">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Chars="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2.1</w:t>
            </w:r>
            <w:r>
              <w:rPr>
                <w:rFonts w:hint="eastAsia" w:ascii="宋体" w:hAnsi="宋体" w:eastAsia="宋体" w:cs="宋体"/>
                <w:b/>
                <w:bCs/>
                <w:sz w:val="22"/>
                <w:szCs w:val="22"/>
              </w:rPr>
              <w:t>卡口过车抓拍流程</w:t>
            </w:r>
          </w:p>
          <w:p w14:paraId="61B99CD8">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2.1.1</w:t>
            </w:r>
            <w:r>
              <w:rPr>
                <w:rFonts w:hint="eastAsia" w:ascii="宋体" w:hAnsi="宋体" w:eastAsia="宋体" w:cs="宋体"/>
                <w:b/>
                <w:bCs/>
                <w:sz w:val="22"/>
                <w:szCs w:val="22"/>
              </w:rPr>
              <w:t>视频电警</w:t>
            </w:r>
          </w:p>
          <w:p w14:paraId="2F6171FA">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当信号灯状态为绿灯或黄灯时，系统在触发线1位置前抓拍1张车辆尾部图片作为电警图片记录并保存。</w:t>
            </w:r>
          </w:p>
          <w:p w14:paraId="4B8F1318">
            <w:pPr>
              <w:pStyle w:val="2"/>
              <w:keepNext/>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drawing>
                <wp:inline distT="0" distB="0" distL="0" distR="0">
                  <wp:extent cx="3621405" cy="2172970"/>
                  <wp:effectExtent l="0" t="0" r="17145" b="17780"/>
                  <wp:docPr id="1428064691" name="图片 2" descr="视频模式触发抓拍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64691" name="图片 2" descr="视频模式触发抓拍位置"/>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621405" cy="2172970"/>
                          </a:xfrm>
                          <a:prstGeom prst="rect">
                            <a:avLst/>
                          </a:prstGeom>
                          <a:noFill/>
                          <a:ln>
                            <a:noFill/>
                          </a:ln>
                        </pic:spPr>
                      </pic:pic>
                    </a:graphicData>
                  </a:graphic>
                </wp:inline>
              </w:drawing>
            </w:r>
          </w:p>
          <w:p w14:paraId="67F28173">
            <w:pPr>
              <w:pStyle w:val="1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2"/>
                <w:szCs w:val="22"/>
              </w:rPr>
            </w:pPr>
            <w:r>
              <w:rPr>
                <w:rFonts w:hint="eastAsia" w:ascii="宋体" w:hAnsi="宋体" w:eastAsia="宋体" w:cs="宋体"/>
                <w:sz w:val="22"/>
                <w:szCs w:val="22"/>
              </w:rPr>
              <w:t>图</w:t>
            </w:r>
            <w:r>
              <w:rPr>
                <w:rFonts w:hint="eastAsia" w:ascii="宋体" w:hAnsi="宋体" w:eastAsia="宋体" w:cs="宋体"/>
                <w:sz w:val="22"/>
                <w:szCs w:val="22"/>
                <w:lang w:val="en-US" w:eastAsia="zh-CN"/>
              </w:rPr>
              <w:t>1</w:t>
            </w:r>
            <w:r>
              <w:rPr>
                <w:rFonts w:hint="eastAsia" w:ascii="宋体" w:hAnsi="宋体" w:eastAsia="宋体" w:cs="宋体"/>
                <w:sz w:val="22"/>
                <w:szCs w:val="22"/>
              </w:rPr>
              <w:t>视频触发模式电警车辆触发抓拍位置</w:t>
            </w:r>
          </w:p>
          <w:p w14:paraId="3CA3A404">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2.1.2</w:t>
            </w:r>
            <w:r>
              <w:rPr>
                <w:rFonts w:hint="eastAsia" w:ascii="宋体" w:hAnsi="宋体" w:eastAsia="宋体" w:cs="宋体"/>
                <w:b/>
                <w:bCs/>
                <w:sz w:val="22"/>
                <w:szCs w:val="22"/>
              </w:rPr>
              <w:t>车辆人脸卡口</w:t>
            </w:r>
          </w:p>
          <w:p w14:paraId="6DAEA0A5">
            <w:pPr>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当车辆经过卡口前方25米触发线时，卡口设备即抓拍车辆与车内驾驶人人脸图片记录并保存。</w:t>
            </w:r>
          </w:p>
          <w:p w14:paraId="5D900A71">
            <w:pPr>
              <w:pStyle w:val="2"/>
              <w:keepNext/>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object>
                <v:shape id="_x0000_i1025" o:spt="75" type="#_x0000_t75" style="height:120.5pt;width:280.65pt;" o:ole="t" filled="f" o:preferrelative="t" stroked="f" coordsize="21600,21600">
                  <v:path/>
                  <v:fill on="f" focussize="0,0"/>
                  <v:stroke on="f"/>
                  <v:imagedata r:id="rId6" o:title=""/>
                  <o:lock v:ext="edit" aspectratio="t"/>
                  <w10:wrap type="none"/>
                  <w10:anchorlock/>
                </v:shape>
                <o:OLEObject Type="Embed" ProgID="Visio.Drawing.15" ShapeID="_x0000_i1025" DrawAspect="Content" ObjectID="_1468075725" r:id="rId5">
                  <o:LockedField>false</o:LockedField>
                </o:OLEObject>
              </w:object>
            </w:r>
          </w:p>
          <w:p w14:paraId="258332EA">
            <w:pPr>
              <w:pStyle w:val="1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2"/>
                <w:szCs w:val="22"/>
              </w:rPr>
            </w:pPr>
            <w:r>
              <w:rPr>
                <w:rFonts w:hint="eastAsia" w:ascii="宋体" w:hAnsi="宋体" w:eastAsia="宋体" w:cs="宋体"/>
                <w:sz w:val="22"/>
                <w:szCs w:val="22"/>
              </w:rPr>
              <w:t xml:space="preserve">图 </w:t>
            </w:r>
            <w:r>
              <w:rPr>
                <w:rFonts w:hint="eastAsia" w:ascii="宋体" w:hAnsi="宋体" w:eastAsia="宋体" w:cs="宋体"/>
                <w:sz w:val="22"/>
                <w:szCs w:val="22"/>
                <w:lang w:val="en-US" w:eastAsia="zh-CN"/>
              </w:rPr>
              <w:t>2</w:t>
            </w:r>
            <w:r>
              <w:rPr>
                <w:rFonts w:hint="eastAsia" w:ascii="宋体" w:hAnsi="宋体" w:eastAsia="宋体" w:cs="宋体"/>
                <w:sz w:val="22"/>
                <w:szCs w:val="22"/>
              </w:rPr>
              <w:t>视频触发模式卡口触发抓拍位置</w:t>
            </w:r>
          </w:p>
          <w:p w14:paraId="089E4A5B">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2.2</w:t>
            </w:r>
            <w:r>
              <w:rPr>
                <w:rFonts w:hint="eastAsia" w:ascii="宋体" w:hAnsi="宋体" w:eastAsia="宋体" w:cs="宋体"/>
                <w:b/>
                <w:bCs/>
                <w:sz w:val="22"/>
                <w:szCs w:val="22"/>
              </w:rPr>
              <w:t>闯红灯违法取证流程</w:t>
            </w:r>
          </w:p>
          <w:p w14:paraId="31BFEF39">
            <w:pPr>
              <w:pStyle w:val="2"/>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系统对通行车辆进行实时监控抓拍，每条闯红灯违法记录由三张图片构成，能够清晰表现机动车未到达停止线、越过停止线、越过停止线后继续向前位移的完整过程，违法过程的图片位移保持适宜的距离，以清晰反映机动车闯红灯违法过程。抓拍图片</w:t>
            </w:r>
            <w:r>
              <w:rPr>
                <w:rFonts w:hint="eastAsia" w:ascii="宋体" w:hAnsi="宋体" w:eastAsia="宋体" w:cs="宋体"/>
                <w:sz w:val="22"/>
                <w:szCs w:val="22"/>
                <w:lang w:val="en-US" w:eastAsia="zh-CN"/>
              </w:rPr>
              <w:t>需</w:t>
            </w:r>
            <w:r>
              <w:rPr>
                <w:rFonts w:hint="eastAsia" w:ascii="宋体" w:hAnsi="宋体" w:eastAsia="宋体" w:cs="宋体"/>
                <w:sz w:val="22"/>
                <w:szCs w:val="22"/>
              </w:rPr>
              <w:t>符合《GA/T496-2014闯红灯自动记录系统通用技术条件》和《GA/T832-2014道路交通安全违法行为图像取证技术规范》中的相关要求：</w:t>
            </w:r>
          </w:p>
          <w:p w14:paraId="3AD68E2E">
            <w:pPr>
              <w:pStyle w:val="2"/>
              <w:pageBreakBefore w:val="0"/>
              <w:widowControl w:val="0"/>
              <w:numPr>
                <w:ilvl w:val="0"/>
                <w:numId w:val="0"/>
              </w:numPr>
              <w:kinsoku/>
              <w:wordWrap/>
              <w:overflowPunct/>
              <w:topLinePunct w:val="0"/>
              <w:autoSpaceDE/>
              <w:autoSpaceDN/>
              <w:bidi w:val="0"/>
              <w:adjustRightInd/>
              <w:snapToGrid/>
              <w:spacing w:after="0"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0"/>
                <w:sz w:val="22"/>
                <w:szCs w:val="22"/>
                <w:lang w:val="en-US" w:eastAsia="zh-CN" w:bidi="ar-SA"/>
              </w:rPr>
              <w:t>（1）</w:t>
            </w:r>
            <w:r>
              <w:rPr>
                <w:rFonts w:hint="eastAsia" w:ascii="宋体" w:hAnsi="宋体" w:eastAsia="宋体" w:cs="宋体"/>
                <w:sz w:val="22"/>
                <w:szCs w:val="22"/>
              </w:rPr>
              <w:t>能反映机动车未到达停止线的图片，并能清晰辨别车辆类型、交通信号灯红灯、停止线</w:t>
            </w:r>
            <w:r>
              <w:rPr>
                <w:rFonts w:hint="eastAsia" w:ascii="宋体" w:hAnsi="宋体" w:eastAsia="宋体" w:cs="宋体"/>
                <w:sz w:val="22"/>
                <w:szCs w:val="22"/>
                <w:lang w:eastAsia="zh-CN"/>
              </w:rPr>
              <w:t>。</w:t>
            </w:r>
          </w:p>
          <w:p w14:paraId="111BCA9F">
            <w:pPr>
              <w:pStyle w:val="2"/>
              <w:pageBreakBefore w:val="0"/>
              <w:widowControl w:val="0"/>
              <w:numPr>
                <w:ilvl w:val="0"/>
                <w:numId w:val="0"/>
              </w:numPr>
              <w:kinsoku/>
              <w:wordWrap/>
              <w:overflowPunct/>
              <w:topLinePunct w:val="0"/>
              <w:autoSpaceDE/>
              <w:autoSpaceDN/>
              <w:bidi w:val="0"/>
              <w:adjustRightInd/>
              <w:snapToGrid/>
              <w:spacing w:after="0"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0"/>
                <w:sz w:val="22"/>
                <w:szCs w:val="22"/>
                <w:lang w:val="en-US" w:eastAsia="zh-CN" w:bidi="ar-SA"/>
              </w:rPr>
              <w:t>（2）</w:t>
            </w:r>
            <w:r>
              <w:rPr>
                <w:rFonts w:hint="eastAsia" w:ascii="宋体" w:hAnsi="宋体" w:eastAsia="宋体" w:cs="宋体"/>
                <w:sz w:val="22"/>
                <w:szCs w:val="22"/>
              </w:rPr>
              <w:t>能反映机动车已越过停止线的图片，并能清晰辨别车辆类型、号牌号码、交通信号灯红灯、停止线</w:t>
            </w:r>
            <w:r>
              <w:rPr>
                <w:rFonts w:hint="eastAsia" w:ascii="宋体" w:hAnsi="宋体" w:eastAsia="宋体" w:cs="宋体"/>
                <w:sz w:val="22"/>
                <w:szCs w:val="22"/>
                <w:lang w:eastAsia="zh-CN"/>
              </w:rPr>
              <w:t>。</w:t>
            </w:r>
          </w:p>
          <w:p w14:paraId="1E64E881">
            <w:pPr>
              <w:pStyle w:val="2"/>
              <w:pageBreakBefore w:val="0"/>
              <w:widowControl w:val="0"/>
              <w:numPr>
                <w:ilvl w:val="0"/>
                <w:numId w:val="0"/>
              </w:numPr>
              <w:kinsoku/>
              <w:wordWrap/>
              <w:overflowPunct/>
              <w:topLinePunct w:val="0"/>
              <w:autoSpaceDE/>
              <w:autoSpaceDN/>
              <w:bidi w:val="0"/>
              <w:adjustRightInd/>
              <w:snapToGrid/>
              <w:spacing w:after="0"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0"/>
                <w:sz w:val="22"/>
                <w:szCs w:val="22"/>
                <w:lang w:val="en-US" w:eastAsia="zh-CN" w:bidi="ar-SA"/>
              </w:rPr>
              <w:t>（3）</w:t>
            </w:r>
            <w:r>
              <w:rPr>
                <w:rFonts w:hint="eastAsia" w:ascii="宋体" w:hAnsi="宋体" w:eastAsia="宋体" w:cs="宋体"/>
                <w:sz w:val="22"/>
                <w:szCs w:val="22"/>
              </w:rPr>
              <w:t>能反映机动车与图片中机动车向前位移的图片，并能清晰辨别车辆类型、交通信号灯红灯、停止线。</w:t>
            </w:r>
          </w:p>
          <w:p w14:paraId="3AE959F6">
            <w:pPr>
              <w:pStyle w:val="2"/>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电警抓拍高清摄像单元对每帧图像进行视频分析，实时检测车辆及红灯信号状态。当有车辆进入视频检测区域时，对车辆行驶轨迹进行跟踪分析，并结合信号灯当前状态和车道属性（左转、直行、右转）判断车辆是否存在交通违法行为。</w:t>
            </w:r>
          </w:p>
          <w:p w14:paraId="4BF73EB8">
            <w:pPr>
              <w:pStyle w:val="2"/>
              <w:spacing w:line="360" w:lineRule="auto"/>
              <w:rPr>
                <w:rFonts w:hint="eastAsia" w:ascii="宋体" w:hAnsi="宋体" w:eastAsia="宋体" w:cs="宋体"/>
                <w:b/>
                <w:bCs/>
                <w:sz w:val="22"/>
                <w:szCs w:val="22"/>
              </w:rPr>
            </w:pPr>
            <w:r>
              <w:rPr>
                <w:rFonts w:hint="eastAsia" w:ascii="宋体" w:hAnsi="宋体" w:eastAsia="宋体" w:cs="宋体"/>
                <w:b/>
                <w:bCs/>
                <w:sz w:val="22"/>
                <w:szCs w:val="22"/>
                <w:lang w:val="en-US" w:eastAsia="zh-CN"/>
              </w:rPr>
              <w:t>2.3</w:t>
            </w:r>
            <w:r>
              <w:rPr>
                <w:rFonts w:hint="eastAsia" w:ascii="宋体" w:hAnsi="宋体" w:eastAsia="宋体" w:cs="宋体"/>
                <w:b/>
                <w:bCs/>
                <w:sz w:val="22"/>
                <w:szCs w:val="22"/>
              </w:rPr>
              <w:t>其</w:t>
            </w:r>
            <w:r>
              <w:rPr>
                <w:rFonts w:hint="eastAsia" w:ascii="宋体" w:hAnsi="宋体" w:eastAsia="宋体" w:cs="宋体"/>
                <w:b/>
                <w:bCs/>
                <w:sz w:val="22"/>
                <w:szCs w:val="22"/>
                <w:lang w:val="en-US" w:eastAsia="zh-CN"/>
              </w:rPr>
              <w:t>他</w:t>
            </w:r>
            <w:r>
              <w:rPr>
                <w:rFonts w:hint="eastAsia" w:ascii="宋体" w:hAnsi="宋体" w:eastAsia="宋体" w:cs="宋体"/>
                <w:b/>
                <w:bCs/>
                <w:sz w:val="22"/>
                <w:szCs w:val="22"/>
              </w:rPr>
              <w:t>违法行为取证流程</w:t>
            </w:r>
          </w:p>
          <w:p w14:paraId="5164662B">
            <w:pPr>
              <w:pStyle w:val="2"/>
              <w:pageBreakBefore w:val="0"/>
              <w:widowControl w:val="0"/>
              <w:kinsoku/>
              <w:wordWrap/>
              <w:overflowPunct/>
              <w:topLinePunct w:val="0"/>
              <w:autoSpaceDE/>
              <w:autoSpaceDN/>
              <w:bidi w:val="0"/>
              <w:adjustRightInd/>
              <w:snapToGrid/>
              <w:spacing w:after="0" w:line="360" w:lineRule="auto"/>
              <w:ind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sz w:val="22"/>
                <w:szCs w:val="22"/>
              </w:rPr>
              <w:t>当有车辆进入视频检测区域时，电警抓拍高清摄像单元对车辆行驶轨迹进行跟踪分析，并结合信号灯当前状态和车道属性（左转、直行、右转）判断车辆是否存在交通违法行为。</w:t>
            </w:r>
          </w:p>
        </w:tc>
        <w:tc>
          <w:tcPr>
            <w:tcW w:w="1208" w:type="dxa"/>
          </w:tcPr>
          <w:p w14:paraId="24842A7C">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516A8B55">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3C351DFD">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67F0F6B5">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1270324A">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72EF11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530" w:type="dxa"/>
            <w:vAlign w:val="center"/>
          </w:tcPr>
          <w:p w14:paraId="2409251A">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val="0"/>
                <w:bCs w:val="0"/>
                <w:color w:val="auto"/>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60" w:type="dxa"/>
          </w:tcPr>
          <w:p w14:paraId="0D4542FF">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74504978">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5C2EEDA3">
            <w:pPr>
              <w:pStyle w:val="5"/>
              <w:pageBreakBefore w:val="0"/>
              <w:widowControl w:val="0"/>
              <w:numPr>
                <w:ilvl w:val="2"/>
                <w:numId w:val="0"/>
              </w:numPr>
              <w:kinsoku/>
              <w:wordWrap/>
              <w:overflowPunct/>
              <w:topLinePunct w:val="0"/>
              <w:autoSpaceDE/>
              <w:autoSpaceDN/>
              <w:bidi w:val="0"/>
              <w:adjustRightInd/>
              <w:snapToGrid/>
              <w:spacing w:before="0" w:beforeLines="0" w:after="0" w:afterLines="0" w:line="360" w:lineRule="auto"/>
              <w:ind w:left="1418" w:leftChars="0" w:hanging="1418" w:firstLineChars="0"/>
              <w:textAlignment w:val="auto"/>
              <w:rPr>
                <w:rFonts w:hint="eastAsia" w:ascii="宋体" w:hAnsi="宋体" w:eastAsia="宋体" w:cs="宋体"/>
                <w:sz w:val="22"/>
                <w:szCs w:val="22"/>
              </w:rPr>
            </w:pPr>
            <w:bookmarkStart w:id="5" w:name="_Toc173501781"/>
            <w:r>
              <w:rPr>
                <w:rFonts w:hint="eastAsia" w:ascii="宋体" w:hAnsi="宋体" w:eastAsia="宋体" w:cs="宋体"/>
                <w:sz w:val="22"/>
                <w:szCs w:val="22"/>
                <w:lang w:val="en-US" w:eastAsia="zh-CN"/>
              </w:rPr>
              <w:t>3.</w:t>
            </w:r>
            <w:r>
              <w:rPr>
                <w:rFonts w:hint="eastAsia" w:ascii="宋体" w:hAnsi="宋体" w:eastAsia="宋体" w:cs="宋体"/>
                <w:sz w:val="22"/>
                <w:szCs w:val="22"/>
              </w:rPr>
              <w:t>前端系统功能</w:t>
            </w:r>
            <w:bookmarkEnd w:id="5"/>
          </w:p>
          <w:p w14:paraId="048C98F4">
            <w:pPr>
              <w:pStyle w:val="7"/>
              <w:pageBreakBefore w:val="0"/>
              <w:widowControl w:val="0"/>
              <w:numPr>
                <w:ilvl w:val="3"/>
                <w:numId w:val="0"/>
              </w:numPr>
              <w:kinsoku/>
              <w:wordWrap/>
              <w:overflowPunct/>
              <w:topLinePunct w:val="0"/>
              <w:autoSpaceDE/>
              <w:autoSpaceDN/>
              <w:bidi w:val="0"/>
              <w:adjustRightInd/>
              <w:snapToGrid/>
              <w:spacing w:before="0" w:beforeLines="0" w:after="0" w:afterLines="0" w:line="360" w:lineRule="auto"/>
              <w:ind w:left="1984" w:leftChars="0" w:hanging="1984"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w:t>
            </w:r>
            <w:r>
              <w:rPr>
                <w:rFonts w:hint="eastAsia" w:ascii="宋体" w:hAnsi="宋体" w:eastAsia="宋体" w:cs="宋体"/>
                <w:b/>
                <w:bCs/>
                <w:sz w:val="22"/>
                <w:szCs w:val="22"/>
              </w:rPr>
              <w:t>闯红灯电子警察抓拍系统</w:t>
            </w:r>
          </w:p>
          <w:p w14:paraId="3972CD96">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3.1.1总体要求</w:t>
            </w:r>
          </w:p>
          <w:p w14:paraId="06D15FDD">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系统前端采用高清检测抓拍摄像机对行驶通过监测区域内的车辆进行检测，自动识别出通过车辆的号牌：对车辆通过监测区域过程进行分析，自动抓拍交通违法行为，并自动记录机动车交通违法信息。对监测区域内的每个行驶方向实现交通流信息采集，并自动记录交通流信息。</w:t>
            </w:r>
            <w:r>
              <w:rPr>
                <w:rFonts w:hint="eastAsia" w:ascii="宋体" w:hAnsi="宋体" w:eastAsia="宋体" w:cs="宋体"/>
                <w:sz w:val="22"/>
                <w:szCs w:val="22"/>
                <w:lang w:val="en-US" w:eastAsia="zh-CN"/>
              </w:rPr>
              <w:t>要求</w:t>
            </w:r>
            <w:r>
              <w:rPr>
                <w:rFonts w:hint="eastAsia" w:ascii="宋体" w:hAnsi="宋体" w:eastAsia="宋体" w:cs="宋体"/>
                <w:sz w:val="22"/>
                <w:szCs w:val="22"/>
              </w:rPr>
              <w:t>系统采用基于工业标准高清电子警察摄像机来实现车辆违法捕获，兼具卡口功能、视频检测、车辆抓拍、号牌自动识别。系统结合交通信号控制技术、车辆检测技术、数据传输技术、计算机图像处理技术等技术</w:t>
            </w:r>
            <w:r>
              <w:rPr>
                <w:rFonts w:hint="eastAsia" w:ascii="宋体" w:hAnsi="宋体" w:eastAsia="宋体" w:cs="宋体"/>
                <w:sz w:val="22"/>
                <w:szCs w:val="22"/>
                <w:lang w:val="en-US" w:eastAsia="zh-CN"/>
              </w:rPr>
              <w:t>手段</w:t>
            </w:r>
            <w:r>
              <w:rPr>
                <w:rFonts w:hint="eastAsia" w:ascii="宋体" w:hAnsi="宋体" w:eastAsia="宋体" w:cs="宋体"/>
                <w:sz w:val="22"/>
                <w:szCs w:val="22"/>
              </w:rPr>
              <w:t>，及时、准确地捕获机动车闯红灯交通违法行为以及驾驶员特征</w:t>
            </w:r>
            <w:r>
              <w:rPr>
                <w:rFonts w:hint="eastAsia" w:ascii="宋体" w:hAnsi="宋体" w:eastAsia="宋体" w:cs="宋体"/>
                <w:sz w:val="22"/>
                <w:szCs w:val="22"/>
                <w:lang w:eastAsia="zh-CN"/>
              </w:rPr>
              <w:t>；</w:t>
            </w:r>
            <w:r>
              <w:rPr>
                <w:rFonts w:hint="eastAsia" w:ascii="宋体" w:hAnsi="宋体" w:eastAsia="宋体" w:cs="宋体"/>
                <w:sz w:val="22"/>
                <w:szCs w:val="22"/>
              </w:rPr>
              <w:t>系统视频检测准确性高、速度快，且不受光照强度、行人、自行车、树木阴影等各种因素影响，对车辆违法闯红灯过程进行全天候记录，同时对无牌</w:t>
            </w:r>
            <w:r>
              <w:rPr>
                <w:rFonts w:hint="eastAsia" w:ascii="宋体" w:hAnsi="宋体" w:eastAsia="宋体" w:cs="宋体"/>
                <w:sz w:val="22"/>
                <w:szCs w:val="22"/>
                <w:lang w:val="en-US" w:eastAsia="zh-CN"/>
              </w:rPr>
              <w:t>车</w:t>
            </w:r>
            <w:r>
              <w:rPr>
                <w:rFonts w:hint="eastAsia" w:ascii="宋体" w:hAnsi="宋体" w:eastAsia="宋体" w:cs="宋体"/>
                <w:sz w:val="22"/>
                <w:szCs w:val="22"/>
              </w:rPr>
              <w:t>及其他违法行为</w:t>
            </w:r>
            <w:r>
              <w:rPr>
                <w:rFonts w:hint="eastAsia" w:ascii="宋体" w:hAnsi="宋体" w:eastAsia="宋体" w:cs="宋体"/>
                <w:sz w:val="22"/>
                <w:szCs w:val="22"/>
                <w:lang w:val="en-US" w:eastAsia="zh-CN"/>
              </w:rPr>
              <w:t>进行</w:t>
            </w:r>
            <w:r>
              <w:rPr>
                <w:rFonts w:hint="eastAsia" w:ascii="宋体" w:hAnsi="宋体" w:eastAsia="宋体" w:cs="宋体"/>
                <w:sz w:val="22"/>
                <w:szCs w:val="22"/>
              </w:rPr>
              <w:t>自动记录。</w:t>
            </w:r>
          </w:p>
          <w:p w14:paraId="177BCC9E">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电子警察系统的前端部分，</w:t>
            </w:r>
            <w:r>
              <w:rPr>
                <w:rFonts w:hint="eastAsia" w:ascii="宋体" w:hAnsi="宋体" w:eastAsia="宋体" w:cs="宋体"/>
                <w:sz w:val="22"/>
                <w:szCs w:val="22"/>
                <w:lang w:val="en-US" w:eastAsia="zh-CN"/>
              </w:rPr>
              <w:t>应</w:t>
            </w:r>
            <w:r>
              <w:rPr>
                <w:rFonts w:hint="eastAsia" w:ascii="宋体" w:hAnsi="宋体" w:eastAsia="宋体" w:cs="宋体"/>
                <w:sz w:val="22"/>
                <w:szCs w:val="22"/>
              </w:rPr>
              <w:t>基于车辆视频检测进行车辆分析，实现闯红灯违法行为的判别、违法事件检测、违法过程图片抓拍、车牌识别、流量统计、设备管理等功能。</w:t>
            </w:r>
          </w:p>
          <w:p w14:paraId="75C0C5CC">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电子警察高清摄像单元承担违法图像采集取证功能，实现抓拍逻辑的判断、图像的采集、图像的识别、数据存储、光信号分析处理、补光控制等功能。通过相机DSP内置算法实时对过往车辆进行检测，核心部分摄像机能够在最短时间内被触发，拍摄下车辆的特征图像，并进行牌照自动识别、压缩存储等操作。根据现场照度不同进行补充照明，在环境照度良好情况下利用车辆牌照夜间具有荧光效果这一特性，控制具有特殊光谱的LED灯，在夜间增强牌照图片效果。</w:t>
            </w:r>
          </w:p>
          <w:p w14:paraId="45B5AD99">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3.1.2</w:t>
            </w:r>
            <w:r>
              <w:rPr>
                <w:rFonts w:hint="eastAsia" w:ascii="宋体" w:hAnsi="宋体" w:eastAsia="宋体" w:cs="宋体"/>
                <w:b/>
                <w:bCs/>
                <w:sz w:val="22"/>
                <w:szCs w:val="22"/>
              </w:rPr>
              <w:t>机动车号牌自动识别功能</w:t>
            </w:r>
          </w:p>
          <w:p w14:paraId="32987BFE">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系统应能对行驶通过监测区域内的机动车进行检测，自动识别出通行机动车的号牌。</w:t>
            </w:r>
          </w:p>
          <w:p w14:paraId="22724384">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2" w:firstLineChars="200"/>
              <w:textAlignment w:val="auto"/>
              <w:rPr>
                <w:rFonts w:hint="eastAsia" w:ascii="宋体" w:hAnsi="宋体" w:eastAsia="宋体" w:cs="宋体"/>
                <w:sz w:val="22"/>
                <w:szCs w:val="22"/>
              </w:rPr>
            </w:pPr>
            <w:r>
              <w:rPr>
                <w:rFonts w:hint="eastAsia" w:ascii="宋体" w:hAnsi="宋体" w:eastAsia="宋体" w:cs="宋体"/>
                <w:b/>
                <w:bCs/>
                <w:sz w:val="22"/>
                <w:szCs w:val="22"/>
                <w:lang w:eastAsia="zh-CN"/>
              </w:rPr>
              <w:t>（</w:t>
            </w:r>
            <w:r>
              <w:rPr>
                <w:rFonts w:hint="eastAsia" w:ascii="宋体" w:hAnsi="宋体" w:eastAsia="宋体" w:cs="宋体"/>
                <w:b/>
                <w:bCs/>
                <w:sz w:val="22"/>
                <w:szCs w:val="22"/>
                <w:lang w:val="en-US" w:eastAsia="zh-CN"/>
              </w:rPr>
              <w:t>1</w:t>
            </w:r>
            <w:r>
              <w:rPr>
                <w:rFonts w:hint="eastAsia" w:ascii="宋体" w:hAnsi="宋体" w:eastAsia="宋体" w:cs="宋体"/>
                <w:b/>
                <w:bCs/>
                <w:sz w:val="22"/>
                <w:szCs w:val="22"/>
                <w:lang w:eastAsia="zh-CN"/>
              </w:rPr>
              <w:t>）</w:t>
            </w:r>
            <w:r>
              <w:rPr>
                <w:rFonts w:hint="eastAsia" w:ascii="宋体" w:hAnsi="宋体" w:eastAsia="宋体" w:cs="宋体"/>
                <w:b/>
                <w:bCs/>
                <w:sz w:val="22"/>
                <w:szCs w:val="22"/>
              </w:rPr>
              <w:t>系统应能识别的号牌结构应</w:t>
            </w:r>
            <w:r>
              <w:rPr>
                <w:rFonts w:hint="eastAsia" w:ascii="宋体" w:hAnsi="宋体" w:eastAsia="宋体" w:cs="宋体"/>
                <w:sz w:val="22"/>
                <w:szCs w:val="22"/>
                <w:lang w:val="en-US" w:eastAsia="zh-CN"/>
              </w:rPr>
              <w:t>符合</w:t>
            </w:r>
            <w:r>
              <w:rPr>
                <w:rFonts w:hint="eastAsia" w:ascii="宋体" w:hAnsi="宋体" w:eastAsia="宋体" w:cs="宋体"/>
                <w:sz w:val="22"/>
                <w:szCs w:val="22"/>
              </w:rPr>
              <w:t>GA/T 833</w:t>
            </w:r>
            <w:r>
              <w:rPr>
                <w:rFonts w:hint="eastAsia" w:ascii="宋体" w:hAnsi="宋体" w:eastAsia="宋体" w:cs="宋体"/>
                <w:sz w:val="22"/>
                <w:szCs w:val="22"/>
                <w:lang w:val="en-US" w:eastAsia="zh-CN"/>
              </w:rPr>
              <w:t>的规定</w:t>
            </w:r>
            <w:r>
              <w:rPr>
                <w:rFonts w:hint="eastAsia" w:ascii="宋体" w:hAnsi="宋体" w:eastAsia="宋体" w:cs="宋体"/>
                <w:sz w:val="22"/>
                <w:szCs w:val="22"/>
              </w:rPr>
              <w:t>。</w:t>
            </w:r>
          </w:p>
          <w:p w14:paraId="08F46A4D">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lang w:eastAsia="zh-CN"/>
              </w:rPr>
            </w:pPr>
            <w:r>
              <w:rPr>
                <w:rFonts w:hint="eastAsia" w:ascii="宋体" w:hAnsi="宋体" w:eastAsia="宋体" w:cs="宋体"/>
                <w:b/>
                <w:bCs/>
                <w:sz w:val="22"/>
                <w:szCs w:val="22"/>
                <w:lang w:eastAsia="zh-CN"/>
              </w:rPr>
              <w:t>（</w:t>
            </w:r>
            <w:r>
              <w:rPr>
                <w:rFonts w:hint="eastAsia" w:ascii="宋体" w:hAnsi="宋体" w:eastAsia="宋体" w:cs="宋体"/>
                <w:b/>
                <w:bCs/>
                <w:sz w:val="22"/>
                <w:szCs w:val="22"/>
                <w:lang w:val="en-US" w:eastAsia="zh-CN"/>
              </w:rPr>
              <w:t>2</w:t>
            </w:r>
            <w:r>
              <w:rPr>
                <w:rFonts w:hint="eastAsia" w:ascii="宋体" w:hAnsi="宋体" w:eastAsia="宋体" w:cs="宋体"/>
                <w:b/>
                <w:bCs/>
                <w:sz w:val="22"/>
                <w:szCs w:val="22"/>
                <w:lang w:eastAsia="zh-CN"/>
              </w:rPr>
              <w:t>）</w:t>
            </w:r>
            <w:r>
              <w:rPr>
                <w:rFonts w:hint="eastAsia" w:ascii="宋体" w:hAnsi="宋体" w:eastAsia="宋体" w:cs="宋体"/>
                <w:b/>
                <w:bCs/>
                <w:sz w:val="22"/>
                <w:szCs w:val="22"/>
              </w:rPr>
              <w:t>系统应具备对民用、新能源、警用、新军用牌、武警、港澳牌等汽车号牌自动识别的能力，所能识别的号牌字符应包括但不限于</w:t>
            </w:r>
            <w:r>
              <w:rPr>
                <w:rFonts w:hint="eastAsia" w:ascii="宋体" w:hAnsi="宋体" w:eastAsia="宋体" w:cs="宋体"/>
                <w:sz w:val="22"/>
                <w:szCs w:val="22"/>
              </w:rPr>
              <w:t>GA36规定的号牌</w:t>
            </w:r>
            <w:r>
              <w:rPr>
                <w:rFonts w:hint="eastAsia" w:ascii="宋体" w:hAnsi="宋体" w:eastAsia="宋体" w:cs="宋体"/>
                <w:sz w:val="22"/>
                <w:szCs w:val="22"/>
                <w:lang w:val="en-US" w:eastAsia="zh-CN"/>
              </w:rPr>
              <w:t>字符</w:t>
            </w:r>
            <w:r>
              <w:rPr>
                <w:rFonts w:hint="eastAsia" w:ascii="宋体" w:hAnsi="宋体" w:eastAsia="宋体" w:cs="宋体"/>
                <w:sz w:val="22"/>
                <w:szCs w:val="22"/>
              </w:rPr>
              <w:t>、军队和武警号牌</w:t>
            </w:r>
            <w:r>
              <w:rPr>
                <w:rFonts w:hint="eastAsia" w:ascii="宋体" w:hAnsi="宋体" w:eastAsia="宋体" w:cs="宋体"/>
                <w:sz w:val="22"/>
                <w:szCs w:val="22"/>
                <w:lang w:val="en-US" w:eastAsia="zh-CN"/>
              </w:rPr>
              <w:t>以及其他号码字符</w:t>
            </w:r>
            <w:r>
              <w:rPr>
                <w:rFonts w:hint="eastAsia" w:ascii="宋体" w:hAnsi="宋体" w:eastAsia="宋体" w:cs="宋体"/>
                <w:b/>
                <w:bCs/>
                <w:sz w:val="22"/>
                <w:szCs w:val="22"/>
                <w:lang w:eastAsia="zh-CN"/>
              </w:rPr>
              <w:t>。</w:t>
            </w:r>
          </w:p>
          <w:p w14:paraId="01676EDB">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lang w:eastAsia="zh-CN"/>
              </w:rPr>
            </w:pPr>
            <w:r>
              <w:rPr>
                <w:rFonts w:hint="eastAsia" w:ascii="宋体" w:hAnsi="宋体" w:eastAsia="宋体" w:cs="宋体"/>
                <w:b/>
                <w:bCs/>
                <w:sz w:val="22"/>
                <w:szCs w:val="22"/>
                <w:lang w:eastAsia="zh-CN"/>
              </w:rPr>
              <w:t>（</w:t>
            </w:r>
            <w:r>
              <w:rPr>
                <w:rFonts w:hint="eastAsia" w:ascii="宋体" w:hAnsi="宋体" w:eastAsia="宋体" w:cs="宋体"/>
                <w:b/>
                <w:bCs/>
                <w:sz w:val="22"/>
                <w:szCs w:val="22"/>
                <w:lang w:val="en-US" w:eastAsia="zh-CN"/>
              </w:rPr>
              <w:t>3</w:t>
            </w:r>
            <w:r>
              <w:rPr>
                <w:rFonts w:hint="eastAsia" w:ascii="宋体" w:hAnsi="宋体" w:eastAsia="宋体" w:cs="宋体"/>
                <w:b/>
                <w:bCs/>
                <w:sz w:val="22"/>
                <w:szCs w:val="22"/>
                <w:lang w:eastAsia="zh-CN"/>
              </w:rPr>
              <w:t>）</w:t>
            </w:r>
            <w:r>
              <w:rPr>
                <w:rFonts w:hint="eastAsia" w:ascii="宋体" w:hAnsi="宋体" w:eastAsia="宋体" w:cs="宋体"/>
                <w:b/>
                <w:bCs/>
                <w:sz w:val="22"/>
                <w:szCs w:val="22"/>
              </w:rPr>
              <w:t>系统应具备对港澳汽车号牌自动识别的能力</w:t>
            </w:r>
            <w:r>
              <w:rPr>
                <w:rFonts w:hint="eastAsia" w:ascii="宋体" w:hAnsi="宋体" w:eastAsia="宋体" w:cs="宋体"/>
                <w:b/>
                <w:bCs/>
                <w:sz w:val="22"/>
                <w:szCs w:val="22"/>
                <w:lang w:eastAsia="zh-CN"/>
              </w:rPr>
              <w:t>。</w:t>
            </w:r>
          </w:p>
          <w:p w14:paraId="72715166">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①</w:t>
            </w:r>
            <w:r>
              <w:rPr>
                <w:rFonts w:hint="eastAsia" w:ascii="宋体" w:hAnsi="宋体" w:eastAsia="宋体" w:cs="宋体"/>
                <w:sz w:val="22"/>
                <w:szCs w:val="22"/>
              </w:rPr>
              <w:t>针对单号情形，无论是“粤Z”内地号牌还是港澳区域号牌，抓拍内容</w:t>
            </w:r>
            <w:r>
              <w:rPr>
                <w:rFonts w:hint="eastAsia" w:ascii="宋体" w:hAnsi="宋体" w:eastAsia="宋体" w:cs="宋体"/>
                <w:sz w:val="22"/>
                <w:szCs w:val="22"/>
                <w:lang w:val="en-US" w:eastAsia="zh-CN"/>
              </w:rPr>
              <w:t>需</w:t>
            </w:r>
            <w:r>
              <w:rPr>
                <w:rFonts w:hint="eastAsia" w:ascii="宋体" w:hAnsi="宋体" w:eastAsia="宋体" w:cs="宋体"/>
                <w:sz w:val="22"/>
                <w:szCs w:val="22"/>
              </w:rPr>
              <w:t>逐级上报市、省两级视图库。</w:t>
            </w:r>
          </w:p>
          <w:p w14:paraId="1E30716D">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②</w:t>
            </w:r>
            <w:r>
              <w:rPr>
                <w:rFonts w:hint="eastAsia" w:ascii="宋体" w:hAnsi="宋体" w:eastAsia="宋体" w:cs="宋体"/>
                <w:sz w:val="22"/>
                <w:szCs w:val="22"/>
              </w:rPr>
              <w:t>针对一车双号情形，“粤Z”内地号牌和港澳区域号牌，需拆分成两条抓拍数据，上传至市、省视图库。两条抓拍数据（除48位抓拍编码Motor VehicleID）分别需与对应的车辆卡口18位编号、抓拍时间等信息一致，且上传信息需可区分以免重复，避免因两条数据抓拍编码一致导致视图库丢失。</w:t>
            </w:r>
          </w:p>
          <w:p w14:paraId="074F08FE">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lang w:val="en-US" w:eastAsia="zh-CN"/>
              </w:rPr>
            </w:pPr>
            <w:r>
              <w:rPr>
                <w:rFonts w:hint="eastAsia" w:ascii="宋体" w:hAnsi="宋体" w:eastAsia="宋体" w:cs="宋体"/>
                <w:b/>
                <w:bCs/>
                <w:sz w:val="22"/>
                <w:szCs w:val="22"/>
                <w:lang w:eastAsia="zh-CN"/>
              </w:rPr>
              <w:t>（</w:t>
            </w:r>
            <w:r>
              <w:rPr>
                <w:rFonts w:hint="eastAsia" w:ascii="宋体" w:hAnsi="宋体" w:eastAsia="宋体" w:cs="宋体"/>
                <w:b/>
                <w:bCs/>
                <w:sz w:val="22"/>
                <w:szCs w:val="22"/>
                <w:lang w:val="en-US" w:eastAsia="zh-CN"/>
              </w:rPr>
              <w:t>4</w:t>
            </w:r>
            <w:r>
              <w:rPr>
                <w:rFonts w:hint="eastAsia" w:ascii="宋体" w:hAnsi="宋体" w:eastAsia="宋体" w:cs="宋体"/>
                <w:b/>
                <w:bCs/>
                <w:sz w:val="22"/>
                <w:szCs w:val="22"/>
                <w:lang w:eastAsia="zh-CN"/>
              </w:rPr>
              <w:t>）</w:t>
            </w:r>
            <w:r>
              <w:rPr>
                <w:rFonts w:hint="eastAsia" w:ascii="宋体" w:hAnsi="宋体" w:eastAsia="宋体" w:cs="宋体"/>
                <w:b/>
                <w:bCs/>
                <w:sz w:val="22"/>
                <w:szCs w:val="22"/>
              </w:rPr>
              <w:t>系统应具备号牌颜色</w:t>
            </w:r>
            <w:r>
              <w:rPr>
                <w:rFonts w:hint="eastAsia" w:ascii="宋体" w:hAnsi="宋体" w:eastAsia="宋体" w:cs="宋体"/>
                <w:b/>
                <w:bCs/>
                <w:sz w:val="22"/>
                <w:szCs w:val="22"/>
                <w:lang w:val="en-US" w:eastAsia="zh-CN"/>
              </w:rPr>
              <w:t>自动</w:t>
            </w:r>
            <w:r>
              <w:rPr>
                <w:rFonts w:hint="eastAsia" w:ascii="宋体" w:hAnsi="宋体" w:eastAsia="宋体" w:cs="宋体"/>
                <w:b/>
                <w:bCs/>
                <w:sz w:val="22"/>
                <w:szCs w:val="22"/>
              </w:rPr>
              <w:t>识别</w:t>
            </w:r>
            <w:r>
              <w:rPr>
                <w:rFonts w:hint="eastAsia" w:ascii="宋体" w:hAnsi="宋体" w:eastAsia="宋体" w:cs="宋体"/>
                <w:b/>
                <w:bCs/>
                <w:sz w:val="22"/>
                <w:szCs w:val="22"/>
                <w:lang w:val="en-US" w:eastAsia="zh-CN"/>
              </w:rPr>
              <w:t>功能</w:t>
            </w:r>
          </w:p>
          <w:p w14:paraId="0E669B60">
            <w:pPr>
              <w:pStyle w:val="24"/>
              <w:pageBreakBefore w:val="0"/>
              <w:widowControl w:val="0"/>
              <w:numPr>
                <w:ilvl w:val="0"/>
                <w:numId w:val="0"/>
              </w:numPr>
              <w:kinsoku/>
              <w:wordWrap/>
              <w:overflowPunct/>
              <w:topLinePunct w:val="0"/>
              <w:autoSpaceDE/>
              <w:autoSpaceDN/>
              <w:bidi w:val="0"/>
              <w:adjustRightInd/>
              <w:snapToGrid/>
              <w:spacing w:line="360" w:lineRule="auto"/>
              <w:ind w:left="920" w:leftChars="0" w:hanging="440" w:firstLineChars="0"/>
              <w:textAlignment w:val="auto"/>
              <w:rPr>
                <w:rFonts w:hint="eastAsia" w:ascii="宋体" w:hAnsi="宋体" w:eastAsia="宋体" w:cs="宋体"/>
                <w:sz w:val="22"/>
                <w:szCs w:val="22"/>
              </w:rPr>
            </w:pPr>
            <w:r>
              <w:rPr>
                <w:rFonts w:hint="eastAsia" w:ascii="宋体" w:hAnsi="宋体" w:eastAsia="宋体" w:cs="宋体"/>
                <w:sz w:val="22"/>
                <w:szCs w:val="22"/>
              </w:rPr>
              <w:t>系统应能</w:t>
            </w:r>
            <w:r>
              <w:rPr>
                <w:rFonts w:hint="eastAsia" w:ascii="宋体" w:hAnsi="宋体" w:eastAsia="宋体" w:cs="宋体"/>
                <w:sz w:val="22"/>
                <w:szCs w:val="22"/>
                <w:lang w:val="en-US" w:eastAsia="zh-CN"/>
              </w:rPr>
              <w:t>自动</w:t>
            </w:r>
            <w:r>
              <w:rPr>
                <w:rFonts w:hint="eastAsia" w:ascii="宋体" w:hAnsi="宋体" w:eastAsia="宋体" w:cs="宋体"/>
                <w:sz w:val="22"/>
                <w:szCs w:val="22"/>
              </w:rPr>
              <w:t>识别GA36规定的号牌颜色、军队和武警号牌颜色。</w:t>
            </w:r>
          </w:p>
          <w:p w14:paraId="05E673E6">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lang w:eastAsia="zh-CN"/>
              </w:rPr>
              <w:t>（</w:t>
            </w:r>
            <w:r>
              <w:rPr>
                <w:rFonts w:hint="eastAsia" w:ascii="宋体" w:hAnsi="宋体" w:eastAsia="宋体" w:cs="宋体"/>
                <w:b/>
                <w:bCs/>
                <w:sz w:val="22"/>
                <w:szCs w:val="22"/>
                <w:lang w:val="en-US" w:eastAsia="zh-CN"/>
              </w:rPr>
              <w:t>5</w:t>
            </w:r>
            <w:r>
              <w:rPr>
                <w:rFonts w:hint="eastAsia" w:ascii="宋体" w:hAnsi="宋体" w:eastAsia="宋体" w:cs="宋体"/>
                <w:b/>
                <w:bCs/>
                <w:sz w:val="22"/>
                <w:szCs w:val="22"/>
                <w:lang w:eastAsia="zh-CN"/>
              </w:rPr>
              <w:t>）</w:t>
            </w:r>
            <w:r>
              <w:rPr>
                <w:rFonts w:hint="eastAsia" w:ascii="宋体" w:hAnsi="宋体" w:eastAsia="宋体" w:cs="宋体"/>
                <w:b/>
                <w:bCs/>
                <w:sz w:val="22"/>
                <w:szCs w:val="22"/>
              </w:rPr>
              <w:t>车辆号牌自动识别要求</w:t>
            </w:r>
          </w:p>
          <w:p w14:paraId="698301C6">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①</w:t>
            </w:r>
            <w:r>
              <w:rPr>
                <w:rFonts w:hint="eastAsia" w:ascii="宋体" w:hAnsi="宋体" w:eastAsia="宋体" w:cs="宋体"/>
                <w:sz w:val="22"/>
                <w:szCs w:val="22"/>
              </w:rPr>
              <w:t>白天车辆号牌识别准确率应不小于95%（除摩托车号牌、低速车号牌、临时号牌、拖拉机号牌外）</w:t>
            </w:r>
            <w:r>
              <w:rPr>
                <w:rFonts w:hint="eastAsia" w:ascii="宋体" w:hAnsi="宋体" w:eastAsia="宋体" w:cs="宋体"/>
                <w:sz w:val="22"/>
                <w:szCs w:val="22"/>
                <w:lang w:eastAsia="zh-CN"/>
              </w:rPr>
              <w:t>。</w:t>
            </w:r>
          </w:p>
          <w:p w14:paraId="32AE0A7E">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②</w:t>
            </w:r>
            <w:r>
              <w:rPr>
                <w:rFonts w:hint="eastAsia" w:ascii="宋体" w:hAnsi="宋体" w:eastAsia="宋体" w:cs="宋体"/>
                <w:sz w:val="22"/>
                <w:szCs w:val="22"/>
              </w:rPr>
              <w:t>夜间车辆号牌识别准确率应不小于92%（除摩托车号牌、低速车号牌、临时号牌、拖拉机号牌外）。</w:t>
            </w:r>
          </w:p>
          <w:p w14:paraId="005C526F">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lang w:eastAsia="zh-CN"/>
              </w:rPr>
              <w:t>（</w:t>
            </w:r>
            <w:r>
              <w:rPr>
                <w:rFonts w:hint="eastAsia" w:ascii="宋体" w:hAnsi="宋体" w:eastAsia="宋体" w:cs="宋体"/>
                <w:b/>
                <w:bCs/>
                <w:sz w:val="22"/>
                <w:szCs w:val="22"/>
                <w:lang w:val="en-US" w:eastAsia="zh-CN"/>
              </w:rPr>
              <w:t>6</w:t>
            </w:r>
            <w:r>
              <w:rPr>
                <w:rFonts w:hint="eastAsia" w:ascii="宋体" w:hAnsi="宋体" w:eastAsia="宋体" w:cs="宋体"/>
                <w:b/>
                <w:bCs/>
                <w:sz w:val="22"/>
                <w:szCs w:val="22"/>
                <w:lang w:eastAsia="zh-CN"/>
              </w:rPr>
              <w:t>）</w:t>
            </w:r>
            <w:r>
              <w:rPr>
                <w:rFonts w:hint="eastAsia" w:ascii="宋体" w:hAnsi="宋体" w:eastAsia="宋体" w:cs="宋体"/>
                <w:b/>
                <w:bCs/>
                <w:sz w:val="22"/>
                <w:szCs w:val="22"/>
              </w:rPr>
              <w:t>车型识别</w:t>
            </w:r>
          </w:p>
          <w:p w14:paraId="1272BF6E">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系统应具备自动识别车型功能，识别准确率应符合GA/T 833的规定。</w:t>
            </w:r>
          </w:p>
          <w:p w14:paraId="34D436BB">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lang w:eastAsia="zh-CN"/>
              </w:rPr>
              <w:t>（</w:t>
            </w:r>
            <w:r>
              <w:rPr>
                <w:rFonts w:hint="eastAsia" w:ascii="宋体" w:hAnsi="宋体" w:eastAsia="宋体" w:cs="宋体"/>
                <w:b/>
                <w:bCs/>
                <w:sz w:val="22"/>
                <w:szCs w:val="22"/>
                <w:lang w:val="en-US" w:eastAsia="zh-CN"/>
              </w:rPr>
              <w:t>7</w:t>
            </w:r>
            <w:r>
              <w:rPr>
                <w:rFonts w:hint="eastAsia" w:ascii="宋体" w:hAnsi="宋体" w:eastAsia="宋体" w:cs="宋体"/>
                <w:b/>
                <w:bCs/>
                <w:sz w:val="22"/>
                <w:szCs w:val="22"/>
                <w:lang w:eastAsia="zh-CN"/>
              </w:rPr>
              <w:t>）</w:t>
            </w:r>
            <w:r>
              <w:rPr>
                <w:rFonts w:hint="eastAsia" w:ascii="宋体" w:hAnsi="宋体" w:eastAsia="宋体" w:cs="宋体"/>
                <w:b/>
                <w:bCs/>
                <w:sz w:val="22"/>
                <w:szCs w:val="22"/>
              </w:rPr>
              <w:t>车辆品牌标志识别</w:t>
            </w:r>
          </w:p>
          <w:p w14:paraId="7564C1D6">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w:t>
            </w:r>
            <w:r>
              <w:rPr>
                <w:rFonts w:hint="eastAsia" w:ascii="宋体" w:hAnsi="宋体" w:eastAsia="宋体" w:cs="宋体"/>
                <w:sz w:val="22"/>
                <w:szCs w:val="22"/>
                <w:lang w:val="en-US" w:eastAsia="zh-CN"/>
              </w:rPr>
              <w:t>应</w:t>
            </w:r>
            <w:r>
              <w:rPr>
                <w:rFonts w:hint="eastAsia" w:ascii="宋体" w:hAnsi="宋体" w:eastAsia="宋体" w:cs="宋体"/>
                <w:sz w:val="22"/>
                <w:szCs w:val="22"/>
              </w:rPr>
              <w:t>具备常见车辆品牌标志自动识别功能，识别准确率应符合GA/T 833的规定。</w:t>
            </w:r>
          </w:p>
          <w:p w14:paraId="2E845ABC">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lang w:eastAsia="zh-CN"/>
              </w:rPr>
              <w:t>（</w:t>
            </w:r>
            <w:r>
              <w:rPr>
                <w:rFonts w:hint="eastAsia" w:ascii="宋体" w:hAnsi="宋体" w:eastAsia="宋体" w:cs="宋体"/>
                <w:b/>
                <w:bCs/>
                <w:sz w:val="22"/>
                <w:szCs w:val="22"/>
                <w:lang w:val="en-US" w:eastAsia="zh-CN"/>
              </w:rPr>
              <w:t>8</w:t>
            </w:r>
            <w:r>
              <w:rPr>
                <w:rFonts w:hint="eastAsia" w:ascii="宋体" w:hAnsi="宋体" w:eastAsia="宋体" w:cs="宋体"/>
                <w:b/>
                <w:bCs/>
                <w:sz w:val="22"/>
                <w:szCs w:val="22"/>
                <w:lang w:eastAsia="zh-CN"/>
              </w:rPr>
              <w:t>）</w:t>
            </w:r>
            <w:r>
              <w:rPr>
                <w:rFonts w:hint="eastAsia" w:ascii="宋体" w:hAnsi="宋体" w:eastAsia="宋体" w:cs="宋体"/>
                <w:b/>
                <w:bCs/>
                <w:sz w:val="22"/>
                <w:szCs w:val="22"/>
              </w:rPr>
              <w:t>车身颜色识别</w:t>
            </w:r>
          </w:p>
          <w:p w14:paraId="26397346">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系统宜具备车身颜色自动识别功能，识别准确率应符合 GA/T 833的规定。</w:t>
            </w:r>
          </w:p>
          <w:p w14:paraId="196CBBBB">
            <w:pPr>
              <w:pStyle w:val="8"/>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3.1.3</w:t>
            </w:r>
            <w:r>
              <w:rPr>
                <w:rFonts w:hint="eastAsia" w:ascii="宋体" w:hAnsi="宋体" w:eastAsia="宋体" w:cs="宋体"/>
                <w:b/>
                <w:bCs/>
                <w:sz w:val="22"/>
                <w:szCs w:val="22"/>
              </w:rPr>
              <w:t>交通违法行为记录功能</w:t>
            </w:r>
          </w:p>
          <w:p w14:paraId="233EBE53">
            <w:pPr>
              <w:spacing w:line="360" w:lineRule="auto"/>
              <w:ind w:firstLine="480"/>
              <w:rPr>
                <w:rFonts w:hint="eastAsia" w:ascii="宋体" w:hAnsi="宋体" w:eastAsia="宋体" w:cs="宋体"/>
                <w:sz w:val="22"/>
                <w:szCs w:val="22"/>
              </w:rPr>
            </w:pPr>
            <w:r>
              <w:rPr>
                <w:rFonts w:hint="eastAsia" w:ascii="宋体" w:hAnsi="宋体" w:eastAsia="宋体" w:cs="宋体"/>
                <w:sz w:val="22"/>
                <w:szCs w:val="22"/>
              </w:rPr>
              <w:t>系统应能对行驶通过监测区域内的车辆进行检测，对车辆通过监测区域过程进行分析，自动抓拍交通违法行为，并自动记录机动车交通违法信息。</w:t>
            </w:r>
          </w:p>
          <w:p w14:paraId="36C51E05">
            <w:pPr>
              <w:spacing w:line="360" w:lineRule="auto"/>
              <w:ind w:firstLine="480"/>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（1）应</w:t>
            </w:r>
            <w:r>
              <w:rPr>
                <w:rFonts w:hint="eastAsia" w:ascii="宋体" w:hAnsi="宋体" w:eastAsia="宋体" w:cs="宋体"/>
                <w:kern w:val="2"/>
                <w:sz w:val="22"/>
                <w:szCs w:val="22"/>
                <w:lang w:val="en-US" w:eastAsia="zh-CN" w:bidi="ar-SA"/>
              </w:rPr>
              <w:t>符合以下要求：</w:t>
            </w:r>
          </w:p>
          <w:p w14:paraId="657E929F">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①</w:t>
            </w:r>
            <w:r>
              <w:rPr>
                <w:rFonts w:hint="eastAsia" w:ascii="宋体" w:hAnsi="宋体" w:eastAsia="宋体" w:cs="宋体"/>
                <w:sz w:val="22"/>
                <w:szCs w:val="22"/>
              </w:rPr>
              <w:t>系统应根据交通违法行为类型记录违法车辆全景图像</w:t>
            </w:r>
            <w:r>
              <w:rPr>
                <w:rFonts w:hint="eastAsia" w:ascii="宋体" w:hAnsi="宋体" w:eastAsia="宋体" w:cs="宋体"/>
                <w:sz w:val="22"/>
                <w:szCs w:val="22"/>
                <w:lang w:eastAsia="zh-CN"/>
              </w:rPr>
              <w:t>。</w:t>
            </w:r>
            <w:r>
              <w:rPr>
                <w:rFonts w:hint="eastAsia" w:ascii="宋体" w:hAnsi="宋体" w:eastAsia="宋体" w:cs="宋体"/>
                <w:sz w:val="22"/>
                <w:szCs w:val="22"/>
              </w:rPr>
              <w:t xml:space="preserve"> </w:t>
            </w:r>
          </w:p>
          <w:p w14:paraId="5FD2150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②</w:t>
            </w:r>
            <w:r>
              <w:rPr>
                <w:rFonts w:hint="eastAsia" w:ascii="宋体" w:hAnsi="宋体" w:eastAsia="宋体" w:cs="宋体"/>
                <w:sz w:val="22"/>
                <w:szCs w:val="22"/>
              </w:rPr>
              <w:t>系统记录的机动车交通违法信息除包含图像信息外，还应包括文本信息，</w:t>
            </w:r>
            <w:r>
              <w:rPr>
                <w:rFonts w:hint="eastAsia" w:ascii="宋体" w:hAnsi="宋体" w:eastAsia="宋体" w:cs="宋体"/>
                <w:sz w:val="22"/>
                <w:szCs w:val="22"/>
                <w:lang w:val="en-US" w:eastAsia="zh-CN"/>
              </w:rPr>
              <w:t>包括但不限于</w:t>
            </w:r>
            <w:r>
              <w:rPr>
                <w:rFonts w:hint="eastAsia" w:ascii="宋体" w:hAnsi="宋体" w:eastAsia="宋体" w:cs="宋体"/>
                <w:sz w:val="22"/>
                <w:szCs w:val="22"/>
              </w:rPr>
              <w:t>交通违法日期、时间、地点、方向、车道号、交通违法代码、图像取证设备编号、号牌号码、号牌颜色、车型、防伪等信息。</w:t>
            </w:r>
          </w:p>
          <w:p w14:paraId="3E98647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③</w:t>
            </w:r>
            <w:r>
              <w:rPr>
                <w:rFonts w:hint="eastAsia" w:ascii="宋体" w:hAnsi="宋体" w:eastAsia="宋体" w:cs="宋体"/>
                <w:sz w:val="22"/>
                <w:szCs w:val="22"/>
              </w:rPr>
              <w:t>交通违法信息应写入关联数据库，并应将相关文本信息叠加到图片上。</w:t>
            </w:r>
          </w:p>
          <w:p w14:paraId="3E0A82C5">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④</w:t>
            </w:r>
            <w:r>
              <w:rPr>
                <w:rFonts w:hint="eastAsia" w:ascii="宋体" w:hAnsi="宋体" w:eastAsia="宋体" w:cs="宋体"/>
                <w:sz w:val="22"/>
                <w:szCs w:val="22"/>
              </w:rPr>
              <w:t>系统记录车辆图像时</w:t>
            </w:r>
            <w:r>
              <w:rPr>
                <w:rFonts w:hint="eastAsia" w:ascii="宋体" w:hAnsi="宋体" w:eastAsia="宋体" w:cs="宋体"/>
                <w:sz w:val="22"/>
                <w:szCs w:val="22"/>
                <w:lang w:val="en-US" w:eastAsia="zh-CN"/>
              </w:rPr>
              <w:t>应</w:t>
            </w:r>
            <w:r>
              <w:rPr>
                <w:rFonts w:hint="eastAsia" w:ascii="宋体" w:hAnsi="宋体" w:eastAsia="宋体" w:cs="宋体"/>
                <w:sz w:val="22"/>
                <w:szCs w:val="22"/>
              </w:rPr>
              <w:t>不受雨、雪、雾等天气</w:t>
            </w:r>
            <w:r>
              <w:rPr>
                <w:rFonts w:hint="eastAsia" w:ascii="宋体" w:hAnsi="宋体" w:eastAsia="宋体" w:cs="宋体"/>
                <w:sz w:val="22"/>
                <w:szCs w:val="22"/>
                <w:lang w:val="en-US" w:eastAsia="zh-CN"/>
              </w:rPr>
              <w:t>条件</w:t>
            </w:r>
            <w:r>
              <w:rPr>
                <w:rFonts w:hint="eastAsia" w:ascii="宋体" w:hAnsi="宋体" w:eastAsia="宋体" w:cs="宋体"/>
                <w:sz w:val="22"/>
                <w:szCs w:val="22"/>
              </w:rPr>
              <w:t>、环境光</w:t>
            </w:r>
            <w:r>
              <w:rPr>
                <w:rFonts w:hint="eastAsia" w:ascii="宋体" w:hAnsi="宋体" w:eastAsia="宋体" w:cs="宋体"/>
                <w:sz w:val="22"/>
                <w:szCs w:val="22"/>
                <w:lang w:val="en-US" w:eastAsia="zh-CN"/>
              </w:rPr>
              <w:t>线</w:t>
            </w:r>
            <w:r>
              <w:rPr>
                <w:rFonts w:hint="eastAsia" w:ascii="宋体" w:hAnsi="宋体" w:eastAsia="宋体" w:cs="宋体"/>
                <w:sz w:val="22"/>
                <w:szCs w:val="22"/>
              </w:rPr>
              <w:t>和</w:t>
            </w:r>
            <w:r>
              <w:rPr>
                <w:rFonts w:hint="eastAsia" w:ascii="宋体" w:hAnsi="宋体" w:eastAsia="宋体" w:cs="宋体"/>
                <w:sz w:val="22"/>
                <w:szCs w:val="22"/>
                <w:lang w:eastAsia="zh-CN"/>
              </w:rPr>
              <w:t>相邻</w:t>
            </w:r>
            <w:r>
              <w:rPr>
                <w:rFonts w:hint="eastAsia" w:ascii="宋体" w:hAnsi="宋体" w:eastAsia="宋体" w:cs="宋体"/>
                <w:sz w:val="22"/>
                <w:szCs w:val="22"/>
              </w:rPr>
              <w:t>车道通行车辆的影响</w:t>
            </w: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避免</w:t>
            </w:r>
            <w:r>
              <w:rPr>
                <w:rFonts w:hint="eastAsia" w:ascii="宋体" w:hAnsi="宋体" w:eastAsia="宋体" w:cs="宋体"/>
                <w:sz w:val="22"/>
                <w:szCs w:val="22"/>
              </w:rPr>
              <w:t>出现误记录。</w:t>
            </w:r>
          </w:p>
          <w:p w14:paraId="1A6685DB">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⑤</w:t>
            </w:r>
            <w:r>
              <w:rPr>
                <w:rFonts w:hint="eastAsia" w:ascii="宋体" w:hAnsi="宋体" w:eastAsia="宋体" w:cs="宋体"/>
                <w:sz w:val="22"/>
                <w:szCs w:val="22"/>
              </w:rPr>
              <w:t>记录的图片应能清晰看清车辆后部所有特征，还应能看清车辆类型、颜色等。</w:t>
            </w:r>
          </w:p>
          <w:p w14:paraId="13AD6DBF">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⑥</w:t>
            </w:r>
            <w:r>
              <w:rPr>
                <w:rFonts w:hint="eastAsia" w:ascii="宋体" w:hAnsi="宋体" w:eastAsia="宋体" w:cs="宋体"/>
                <w:sz w:val="22"/>
                <w:szCs w:val="22"/>
              </w:rPr>
              <w:t>车辆违法数据（不经筛选或删除）</w:t>
            </w:r>
            <w:r>
              <w:rPr>
                <w:rFonts w:hint="eastAsia" w:ascii="宋体" w:hAnsi="宋体" w:eastAsia="宋体" w:cs="宋体"/>
                <w:sz w:val="22"/>
                <w:szCs w:val="22"/>
                <w:lang w:val="en-US" w:eastAsia="zh-CN"/>
              </w:rPr>
              <w:t>应</w:t>
            </w:r>
            <w:r>
              <w:rPr>
                <w:rFonts w:hint="eastAsia" w:ascii="宋体" w:hAnsi="宋体" w:eastAsia="宋体" w:cs="宋体"/>
                <w:sz w:val="22"/>
                <w:szCs w:val="22"/>
              </w:rPr>
              <w:t>直接实时上传至中山市交通指挥控制集成平台。</w:t>
            </w:r>
          </w:p>
          <w:p w14:paraId="73DFCB7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⑦</w:t>
            </w:r>
            <w:r>
              <w:rPr>
                <w:rFonts w:hint="eastAsia" w:ascii="宋体" w:hAnsi="宋体" w:eastAsia="宋体" w:cs="宋体"/>
                <w:sz w:val="22"/>
                <w:szCs w:val="22"/>
              </w:rPr>
              <w:t>系统应具有布控缉查车辆自动报警功能，自动报警响应时间应不大于0.5秒。其数据库格式应符合 GA/T 497 规定的格式要求。当系统识别出来的车辆号牌结果符合条件时，能现场报警和远程报警。</w:t>
            </w:r>
          </w:p>
          <w:p w14:paraId="67CF6864">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（2）</w:t>
            </w:r>
            <w:r>
              <w:rPr>
                <w:rFonts w:hint="eastAsia" w:ascii="宋体" w:hAnsi="宋体" w:eastAsia="宋体" w:cs="宋体"/>
                <w:b/>
                <w:bCs/>
                <w:sz w:val="22"/>
                <w:szCs w:val="22"/>
              </w:rPr>
              <w:t>机动车闯红灯行为记录功能</w:t>
            </w:r>
          </w:p>
          <w:p w14:paraId="6E6103C5">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系统应能至少记录以下3张反映闯红灯行为过程的图片：</w:t>
            </w:r>
          </w:p>
          <w:p w14:paraId="31E4AB81">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①</w:t>
            </w:r>
            <w:r>
              <w:rPr>
                <w:rFonts w:hint="eastAsia" w:ascii="宋体" w:hAnsi="宋体" w:eastAsia="宋体" w:cs="宋体"/>
                <w:sz w:val="22"/>
                <w:szCs w:val="22"/>
              </w:rPr>
              <w:t>能反映机动车未到达停止线的图片，并能清晰辨别车辆类型、交通信号灯红灯、停止线</w:t>
            </w:r>
            <w:r>
              <w:rPr>
                <w:rFonts w:hint="eastAsia" w:ascii="宋体" w:hAnsi="宋体" w:eastAsia="宋体" w:cs="宋体"/>
                <w:sz w:val="22"/>
                <w:szCs w:val="22"/>
                <w:lang w:eastAsia="zh-CN"/>
              </w:rPr>
              <w:t>。</w:t>
            </w:r>
          </w:p>
          <w:p w14:paraId="0C919B93">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②</w:t>
            </w:r>
            <w:r>
              <w:rPr>
                <w:rFonts w:hint="eastAsia" w:ascii="宋体" w:hAnsi="宋体" w:eastAsia="宋体" w:cs="宋体"/>
                <w:sz w:val="22"/>
                <w:szCs w:val="22"/>
              </w:rPr>
              <w:t>能反映机动车已越过停止线的图片，并能清晰辨别车辆类型、号牌号码、交通信号灯红灯、停止线</w:t>
            </w:r>
            <w:r>
              <w:rPr>
                <w:rFonts w:hint="eastAsia" w:ascii="宋体" w:hAnsi="宋体" w:eastAsia="宋体" w:cs="宋体"/>
                <w:sz w:val="22"/>
                <w:szCs w:val="22"/>
                <w:lang w:eastAsia="zh-CN"/>
              </w:rPr>
              <w:t>。</w:t>
            </w:r>
          </w:p>
          <w:p w14:paraId="51074AAE">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③</w:t>
            </w:r>
            <w:r>
              <w:rPr>
                <w:rFonts w:hint="eastAsia" w:ascii="宋体" w:hAnsi="宋体" w:eastAsia="宋体" w:cs="宋体"/>
                <w:sz w:val="22"/>
                <w:szCs w:val="22"/>
              </w:rPr>
              <w:t>能反映机动车与已越过停止线的图片中机动车向前位移的图片，并能清晰辨别车辆类型、交通信号灯红灯、停止线。</w:t>
            </w:r>
          </w:p>
          <w:p w14:paraId="2961FB19">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④</w:t>
            </w:r>
            <w:r>
              <w:rPr>
                <w:rFonts w:hint="eastAsia" w:ascii="宋体" w:hAnsi="宋体" w:eastAsia="宋体" w:cs="宋体"/>
                <w:sz w:val="22"/>
                <w:szCs w:val="22"/>
              </w:rPr>
              <w:t>闯红灯捕获率应不小于90%，记录有效率应不小于80%。</w:t>
            </w:r>
          </w:p>
          <w:p w14:paraId="58A6DA5F">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（3</w:t>
            </w:r>
            <w:r>
              <w:rPr>
                <w:rFonts w:hint="eastAsia" w:ascii="宋体" w:hAnsi="宋体" w:eastAsia="宋体" w:cs="宋体"/>
                <w:b/>
                <w:bCs/>
                <w:sz w:val="22"/>
                <w:szCs w:val="22"/>
              </w:rPr>
              <w:t>）机动车不按规定驶入导向车道行为记录功能</w:t>
            </w:r>
          </w:p>
          <w:p w14:paraId="3A6CAF1E">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①</w:t>
            </w:r>
            <w:r>
              <w:rPr>
                <w:rFonts w:hint="eastAsia" w:ascii="宋体" w:hAnsi="宋体" w:eastAsia="宋体" w:cs="宋体"/>
                <w:sz w:val="22"/>
                <w:szCs w:val="22"/>
              </w:rPr>
              <w:t>系统应能够记录机动车通过灯控路口不按所需行进方向驶入导向车道违法行为的图片，图片应符合 GA/T 832的要求，捕获率应不小于80%，记录有效率应不小于80%。</w:t>
            </w:r>
          </w:p>
          <w:p w14:paraId="75BD4FC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②</w:t>
            </w:r>
            <w:r>
              <w:rPr>
                <w:rFonts w:hint="eastAsia" w:ascii="宋体" w:hAnsi="宋体" w:eastAsia="宋体" w:cs="宋体"/>
                <w:sz w:val="22"/>
                <w:szCs w:val="22"/>
              </w:rPr>
              <w:t>系统应能记录机动车通过灯控路口不按所需行进方向驶入导向车道行为过程中三个不同位置的信息以反映机动车违法过程。</w:t>
            </w:r>
          </w:p>
          <w:p w14:paraId="560636F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第一个位置的信息：应能清晰辨别机动车到达灯控路口时间、车辆类型、对应行驶车道的信号灯状态、机动车车身未越过停止线的情况。</w:t>
            </w:r>
          </w:p>
          <w:p w14:paraId="358AEE0D">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第二个位置的信息：应能清晰辨别机动车通过灯控路口时间、车辆类型、信号灯状态和整个机动车车身已经越过停止线并且在相应相位继续行驶的情况。</w:t>
            </w:r>
          </w:p>
          <w:p w14:paraId="6074C69A">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3)</w:t>
            </w:r>
            <w:r>
              <w:rPr>
                <w:rFonts w:hint="eastAsia" w:ascii="宋体" w:hAnsi="宋体" w:eastAsia="宋体" w:cs="宋体"/>
                <w:sz w:val="22"/>
                <w:szCs w:val="22"/>
              </w:rPr>
              <w:t>第三个位置的信息：应能清晰辨别机动车通过灯控路口时间、车辆类型、信号灯状态和机动车继续行驶方向与信号灯状态不符的情况。</w:t>
            </w:r>
          </w:p>
          <w:p w14:paraId="67BC7195">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③</w:t>
            </w:r>
            <w:r>
              <w:rPr>
                <w:rFonts w:hint="eastAsia" w:ascii="宋体" w:hAnsi="宋体" w:eastAsia="宋体" w:cs="宋体"/>
                <w:sz w:val="22"/>
                <w:szCs w:val="22"/>
              </w:rPr>
              <w:t>至少应有一个位置的信息能够清晰辨别号牌号码。</w:t>
            </w:r>
          </w:p>
          <w:p w14:paraId="57AB642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④</w:t>
            </w:r>
            <w:r>
              <w:rPr>
                <w:rFonts w:hint="eastAsia" w:ascii="宋体" w:hAnsi="宋体" w:eastAsia="宋体" w:cs="宋体"/>
                <w:sz w:val="22"/>
                <w:szCs w:val="22"/>
              </w:rPr>
              <w:t>各个位置间应能够保持适宜的距离以反映机动车违法过程，不</w:t>
            </w:r>
            <w:r>
              <w:rPr>
                <w:rFonts w:hint="eastAsia" w:ascii="宋体" w:hAnsi="宋体" w:eastAsia="宋体" w:cs="宋体"/>
                <w:sz w:val="22"/>
                <w:szCs w:val="22"/>
                <w:lang w:val="en-US" w:eastAsia="zh-CN"/>
              </w:rPr>
              <w:t>得</w:t>
            </w:r>
            <w:r>
              <w:rPr>
                <w:rFonts w:hint="eastAsia" w:ascii="宋体" w:hAnsi="宋体" w:eastAsia="宋体" w:cs="宋体"/>
                <w:sz w:val="22"/>
                <w:szCs w:val="22"/>
              </w:rPr>
              <w:t>出现因间距太大</w:t>
            </w:r>
            <w:r>
              <w:rPr>
                <w:rFonts w:hint="eastAsia" w:ascii="宋体" w:hAnsi="宋体" w:eastAsia="宋体" w:cs="宋体"/>
                <w:sz w:val="22"/>
                <w:szCs w:val="22"/>
                <w:lang w:val="en-US" w:eastAsia="zh-CN"/>
              </w:rPr>
              <w:t>而</w:t>
            </w:r>
            <w:r>
              <w:rPr>
                <w:rFonts w:hint="eastAsia" w:ascii="宋体" w:hAnsi="宋体" w:eastAsia="宋体" w:cs="宋体"/>
                <w:sz w:val="22"/>
                <w:szCs w:val="22"/>
              </w:rPr>
              <w:t>影响对机动车违法</w:t>
            </w:r>
            <w:r>
              <w:rPr>
                <w:rFonts w:hint="eastAsia" w:ascii="宋体" w:hAnsi="宋体" w:eastAsia="宋体" w:cs="宋体"/>
                <w:sz w:val="22"/>
                <w:szCs w:val="22"/>
                <w:lang w:val="en-US" w:eastAsia="zh-CN"/>
              </w:rPr>
              <w:t>行为</w:t>
            </w:r>
            <w:r>
              <w:rPr>
                <w:rFonts w:hint="eastAsia" w:ascii="宋体" w:hAnsi="宋体" w:eastAsia="宋体" w:cs="宋体"/>
                <w:sz w:val="22"/>
                <w:szCs w:val="22"/>
              </w:rPr>
              <w:t>认定的情形。</w:t>
            </w:r>
          </w:p>
          <w:p w14:paraId="3C4837EF">
            <w:pPr>
              <w:pageBreakBefore w:val="0"/>
              <w:widowControl w:val="0"/>
              <w:kinsoku/>
              <w:wordWrap/>
              <w:overflowPunct/>
              <w:topLinePunct w:val="0"/>
              <w:autoSpaceDE/>
              <w:autoSpaceDN/>
              <w:bidi w:val="0"/>
              <w:adjustRightInd/>
              <w:snapToGrid/>
              <w:spacing w:line="360" w:lineRule="auto"/>
              <w:ind w:left="480" w:firstLine="0" w:firstLineChars="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（4</w:t>
            </w:r>
            <w:r>
              <w:rPr>
                <w:rFonts w:hint="eastAsia" w:ascii="宋体" w:hAnsi="宋体" w:eastAsia="宋体" w:cs="宋体"/>
                <w:b/>
                <w:bCs/>
                <w:sz w:val="22"/>
                <w:szCs w:val="22"/>
              </w:rPr>
              <w:t>）机动车逆向行驶行为记录功能</w:t>
            </w:r>
          </w:p>
          <w:p w14:paraId="72C856FF">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①</w:t>
            </w:r>
            <w:r>
              <w:rPr>
                <w:rFonts w:hint="eastAsia" w:ascii="宋体" w:hAnsi="宋体" w:eastAsia="宋体" w:cs="宋体"/>
                <w:sz w:val="22"/>
                <w:szCs w:val="22"/>
              </w:rPr>
              <w:t>系统应能够记录机动车逆向行驶违法行为的图片，图片应符合 GA/T832的要求，捕获率应不小于80%，记录有效率应不小于80%。</w:t>
            </w:r>
          </w:p>
          <w:p w14:paraId="13253AD4">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②</w:t>
            </w:r>
            <w:r>
              <w:rPr>
                <w:rFonts w:hint="eastAsia" w:ascii="宋体" w:hAnsi="宋体" w:eastAsia="宋体" w:cs="宋体"/>
                <w:sz w:val="22"/>
                <w:szCs w:val="22"/>
              </w:rPr>
              <w:t>系统应能记录机动车逆向行驶行为过程中至少两个不同位置的信息以反映机动车违法过程。</w:t>
            </w:r>
          </w:p>
          <w:p w14:paraId="05AC1745">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③</w:t>
            </w:r>
            <w:r>
              <w:rPr>
                <w:rFonts w:hint="eastAsia" w:ascii="宋体" w:hAnsi="宋体" w:eastAsia="宋体" w:cs="宋体"/>
                <w:sz w:val="22"/>
                <w:szCs w:val="22"/>
              </w:rPr>
              <w:t>至少应有一个位置的信息能够清晰辨别号牌号码。</w:t>
            </w:r>
          </w:p>
          <w:p w14:paraId="0AC34F3C">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④</w:t>
            </w:r>
            <w:r>
              <w:rPr>
                <w:rFonts w:hint="eastAsia" w:ascii="宋体" w:hAnsi="宋体" w:eastAsia="宋体" w:cs="宋体"/>
                <w:sz w:val="22"/>
                <w:szCs w:val="22"/>
              </w:rPr>
              <w:t>连续两幅</w:t>
            </w:r>
            <w:r>
              <w:rPr>
                <w:rFonts w:hint="eastAsia" w:ascii="宋体" w:hAnsi="宋体" w:eastAsia="宋体" w:cs="宋体"/>
                <w:sz w:val="22"/>
                <w:szCs w:val="22"/>
                <w:lang w:eastAsia="zh-CN"/>
              </w:rPr>
              <w:t>反映</w:t>
            </w:r>
            <w:r>
              <w:rPr>
                <w:rFonts w:hint="eastAsia" w:ascii="宋体" w:hAnsi="宋体" w:eastAsia="宋体" w:cs="宋体"/>
                <w:sz w:val="22"/>
                <w:szCs w:val="22"/>
              </w:rPr>
              <w:t>机动车逆向行驶违法过程的特征图片的间隔时间应为机动车在两幅图片上的对应行驶位移&gt;1.0m所需的时间，各个位置间应能够保持适宜的距离以反映机动车违法过程,不</w:t>
            </w:r>
            <w:r>
              <w:rPr>
                <w:rFonts w:hint="eastAsia" w:ascii="宋体" w:hAnsi="宋体" w:eastAsia="宋体" w:cs="宋体"/>
                <w:sz w:val="22"/>
                <w:szCs w:val="22"/>
                <w:lang w:val="en-US" w:eastAsia="zh-CN"/>
              </w:rPr>
              <w:t>得</w:t>
            </w:r>
            <w:r>
              <w:rPr>
                <w:rFonts w:hint="eastAsia" w:ascii="宋体" w:hAnsi="宋体" w:eastAsia="宋体" w:cs="宋体"/>
                <w:sz w:val="22"/>
                <w:szCs w:val="22"/>
              </w:rPr>
              <w:t>出现因间距太大</w:t>
            </w:r>
            <w:r>
              <w:rPr>
                <w:rFonts w:hint="eastAsia" w:ascii="宋体" w:hAnsi="宋体" w:eastAsia="宋体" w:cs="宋体"/>
                <w:sz w:val="22"/>
                <w:szCs w:val="22"/>
                <w:lang w:val="en-US" w:eastAsia="zh-CN"/>
              </w:rPr>
              <w:t>而</w:t>
            </w:r>
            <w:r>
              <w:rPr>
                <w:rFonts w:hint="eastAsia" w:ascii="宋体" w:hAnsi="宋体" w:eastAsia="宋体" w:cs="宋体"/>
                <w:sz w:val="22"/>
                <w:szCs w:val="22"/>
              </w:rPr>
              <w:t>影响对机动车违法</w:t>
            </w:r>
            <w:r>
              <w:rPr>
                <w:rFonts w:hint="eastAsia" w:ascii="宋体" w:hAnsi="宋体" w:eastAsia="宋体" w:cs="宋体"/>
                <w:sz w:val="22"/>
                <w:szCs w:val="22"/>
                <w:lang w:val="en-US" w:eastAsia="zh-CN"/>
              </w:rPr>
              <w:t>行为</w:t>
            </w:r>
            <w:r>
              <w:rPr>
                <w:rFonts w:hint="eastAsia" w:ascii="宋体" w:hAnsi="宋体" w:eastAsia="宋体" w:cs="宋体"/>
                <w:sz w:val="22"/>
                <w:szCs w:val="22"/>
              </w:rPr>
              <w:t>认定的情形。</w:t>
            </w:r>
          </w:p>
          <w:p w14:paraId="7AD6F780">
            <w:pPr>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（5</w:t>
            </w:r>
            <w:r>
              <w:rPr>
                <w:rFonts w:hint="eastAsia" w:ascii="宋体" w:hAnsi="宋体" w:eastAsia="宋体" w:cs="宋体"/>
                <w:b/>
                <w:bCs/>
                <w:sz w:val="22"/>
                <w:szCs w:val="22"/>
              </w:rPr>
              <w:t>）机动车跨越禁止跨越对向或同向车行道分界线行为记录功能</w:t>
            </w:r>
          </w:p>
          <w:p w14:paraId="4CDBC354">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①</w:t>
            </w:r>
            <w:r>
              <w:rPr>
                <w:rFonts w:hint="eastAsia" w:ascii="宋体" w:hAnsi="宋体" w:eastAsia="宋体" w:cs="宋体"/>
                <w:sz w:val="22"/>
                <w:szCs w:val="22"/>
              </w:rPr>
              <w:t>系统应能够</w:t>
            </w:r>
            <w:r>
              <w:rPr>
                <w:rFonts w:hint="eastAsia" w:ascii="宋体" w:hAnsi="宋体" w:eastAsia="宋体" w:cs="宋体"/>
                <w:sz w:val="22"/>
                <w:szCs w:val="22"/>
                <w:lang w:val="en-US" w:eastAsia="zh-CN"/>
              </w:rPr>
              <w:t>自动</w:t>
            </w:r>
            <w:r>
              <w:rPr>
                <w:rFonts w:hint="eastAsia" w:ascii="宋体" w:hAnsi="宋体" w:eastAsia="宋体" w:cs="宋体"/>
                <w:sz w:val="22"/>
                <w:szCs w:val="22"/>
              </w:rPr>
              <w:t>记录机动车跨越禁止跨越对向或同向车行道分界线违法行为的图片，图片应符合GA/T 832的要求，捕获率应不小于80%，记录有效率应不小于80%。</w:t>
            </w:r>
          </w:p>
          <w:p w14:paraId="22B289F5">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②</w:t>
            </w:r>
            <w:r>
              <w:rPr>
                <w:rFonts w:hint="eastAsia" w:ascii="宋体" w:hAnsi="宋体" w:eastAsia="宋体" w:cs="宋体"/>
                <w:sz w:val="22"/>
                <w:szCs w:val="22"/>
              </w:rPr>
              <w:t>系统应能够</w:t>
            </w:r>
            <w:r>
              <w:rPr>
                <w:rFonts w:hint="eastAsia" w:ascii="宋体" w:hAnsi="宋体" w:eastAsia="宋体" w:cs="宋体"/>
                <w:sz w:val="22"/>
                <w:szCs w:val="22"/>
                <w:lang w:val="en-US" w:eastAsia="zh-CN"/>
              </w:rPr>
              <w:t>自动</w:t>
            </w:r>
            <w:r>
              <w:rPr>
                <w:rFonts w:hint="eastAsia" w:ascii="宋体" w:hAnsi="宋体" w:eastAsia="宋体" w:cs="宋体"/>
                <w:sz w:val="22"/>
                <w:szCs w:val="22"/>
              </w:rPr>
              <w:t>记录机动车跨越禁止跨越对向或同向车行道分界线行为过程中至少两个不同位置的信息以反映机动车违法过程。</w:t>
            </w:r>
          </w:p>
          <w:p w14:paraId="6C5B7B10">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第一个位置信息：应能够</w:t>
            </w:r>
            <w:r>
              <w:rPr>
                <w:rFonts w:hint="eastAsia" w:ascii="宋体" w:hAnsi="宋体" w:eastAsia="宋体" w:cs="宋体"/>
                <w:sz w:val="22"/>
                <w:szCs w:val="22"/>
                <w:lang w:eastAsia="zh-CN"/>
              </w:rPr>
              <w:t>反映</w:t>
            </w:r>
            <w:r>
              <w:rPr>
                <w:rFonts w:hint="eastAsia" w:ascii="宋体" w:hAnsi="宋体" w:eastAsia="宋体" w:cs="宋体"/>
                <w:sz w:val="22"/>
                <w:szCs w:val="22"/>
              </w:rPr>
              <w:t>机动车未跨越或骑压禁止跨越对向或同向车行道分界线的机动车后部高清监控特征图片。</w:t>
            </w:r>
          </w:p>
          <w:p w14:paraId="7AE45C2B">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第二个位置信息：应为机动车继续骑压或越过禁止跨越对向或同向车行道分界线时的机动车后部高清监控特征图片。</w:t>
            </w:r>
          </w:p>
          <w:p w14:paraId="42D6B332">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3)</w:t>
            </w:r>
            <w:r>
              <w:rPr>
                <w:rFonts w:hint="eastAsia" w:ascii="宋体" w:hAnsi="宋体" w:eastAsia="宋体" w:cs="宋体"/>
                <w:sz w:val="22"/>
                <w:szCs w:val="22"/>
              </w:rPr>
              <w:t>并且至少应有一个位置的信息能够清晰辨别号牌号码。</w:t>
            </w:r>
          </w:p>
          <w:p w14:paraId="424A92F5">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③连</w:t>
            </w:r>
            <w:r>
              <w:rPr>
                <w:rFonts w:hint="eastAsia" w:ascii="宋体" w:hAnsi="宋体" w:eastAsia="宋体" w:cs="宋体"/>
                <w:sz w:val="22"/>
                <w:szCs w:val="22"/>
              </w:rPr>
              <w:t>续两幅</w:t>
            </w:r>
            <w:r>
              <w:rPr>
                <w:rFonts w:hint="eastAsia" w:ascii="宋体" w:hAnsi="宋体" w:eastAsia="宋体" w:cs="宋体"/>
                <w:sz w:val="22"/>
                <w:szCs w:val="22"/>
                <w:lang w:eastAsia="zh-CN"/>
              </w:rPr>
              <w:t>反映</w:t>
            </w:r>
            <w:r>
              <w:rPr>
                <w:rFonts w:hint="eastAsia" w:ascii="宋体" w:hAnsi="宋体" w:eastAsia="宋体" w:cs="宋体"/>
                <w:sz w:val="22"/>
                <w:szCs w:val="22"/>
              </w:rPr>
              <w:t>跨越禁止跨越对向或同向车行道分界线违法过程的特征图片的间隔时间应为机动车在两幅图片上的对应行驶位移&gt;1.0m所需的时间，各个位置间应能够保持适宜的距离以反映机动车违法过程，不</w:t>
            </w:r>
            <w:r>
              <w:rPr>
                <w:rFonts w:hint="eastAsia" w:ascii="宋体" w:hAnsi="宋体" w:eastAsia="宋体" w:cs="宋体"/>
                <w:sz w:val="22"/>
                <w:szCs w:val="22"/>
                <w:lang w:val="en-US" w:eastAsia="zh-CN"/>
              </w:rPr>
              <w:t>得</w:t>
            </w:r>
            <w:r>
              <w:rPr>
                <w:rFonts w:hint="eastAsia" w:ascii="宋体" w:hAnsi="宋体" w:eastAsia="宋体" w:cs="宋体"/>
                <w:sz w:val="22"/>
                <w:szCs w:val="22"/>
              </w:rPr>
              <w:t>出现因间距太大</w:t>
            </w:r>
            <w:r>
              <w:rPr>
                <w:rFonts w:hint="eastAsia" w:ascii="宋体" w:hAnsi="宋体" w:eastAsia="宋体" w:cs="宋体"/>
                <w:sz w:val="22"/>
                <w:szCs w:val="22"/>
                <w:lang w:val="en-US" w:eastAsia="zh-CN"/>
              </w:rPr>
              <w:t>而</w:t>
            </w:r>
            <w:r>
              <w:rPr>
                <w:rFonts w:hint="eastAsia" w:ascii="宋体" w:hAnsi="宋体" w:eastAsia="宋体" w:cs="宋体"/>
                <w:sz w:val="22"/>
                <w:szCs w:val="22"/>
              </w:rPr>
              <w:t>影响对机动车违法</w:t>
            </w:r>
            <w:r>
              <w:rPr>
                <w:rFonts w:hint="eastAsia" w:ascii="宋体" w:hAnsi="宋体" w:eastAsia="宋体" w:cs="宋体"/>
                <w:sz w:val="22"/>
                <w:szCs w:val="22"/>
                <w:lang w:val="en-US" w:eastAsia="zh-CN"/>
              </w:rPr>
              <w:t>行为</w:t>
            </w:r>
            <w:r>
              <w:rPr>
                <w:rFonts w:hint="eastAsia" w:ascii="宋体" w:hAnsi="宋体" w:eastAsia="宋体" w:cs="宋体"/>
                <w:sz w:val="22"/>
                <w:szCs w:val="22"/>
              </w:rPr>
              <w:t>认定的情形。</w:t>
            </w:r>
          </w:p>
          <w:p w14:paraId="7F73F41F">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61" w:leftChars="153" w:hanging="2240" w:hangingChars="1014"/>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3.1.4</w:t>
            </w:r>
            <w:r>
              <w:rPr>
                <w:rFonts w:hint="eastAsia" w:ascii="宋体" w:hAnsi="宋体" w:eastAsia="宋体" w:cs="宋体"/>
                <w:b/>
                <w:bCs/>
                <w:sz w:val="22"/>
                <w:szCs w:val="22"/>
              </w:rPr>
              <w:t>图片记录</w:t>
            </w:r>
          </w:p>
          <w:p w14:paraId="764F4CF1">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系统记录的图片应符合以下要求：</w:t>
            </w:r>
          </w:p>
          <w:p w14:paraId="3FAF4704">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图片格式应采用JPEG格式，JPEG图片编码应符合ISO/IEC 15444:2000的要求</w:t>
            </w:r>
            <w:r>
              <w:rPr>
                <w:rFonts w:hint="eastAsia" w:ascii="宋体" w:hAnsi="宋体" w:eastAsia="宋体" w:cs="宋体"/>
                <w:sz w:val="22"/>
                <w:szCs w:val="22"/>
                <w:lang w:eastAsia="zh-CN"/>
              </w:rPr>
              <w:t>。</w:t>
            </w:r>
          </w:p>
          <w:p w14:paraId="388D95DE">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图片应具有防篡改功能</w:t>
            </w:r>
            <w:r>
              <w:rPr>
                <w:rFonts w:hint="eastAsia" w:ascii="宋体" w:hAnsi="宋体" w:eastAsia="宋体" w:cs="宋体"/>
                <w:sz w:val="22"/>
                <w:szCs w:val="22"/>
                <w:lang w:eastAsia="zh-CN"/>
              </w:rPr>
              <w:t>。</w:t>
            </w:r>
          </w:p>
          <w:p w14:paraId="7BBB528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(3)</w:t>
            </w:r>
            <w:r>
              <w:rPr>
                <w:rFonts w:hint="eastAsia" w:ascii="宋体" w:hAnsi="宋体" w:eastAsia="宋体" w:cs="宋体"/>
                <w:sz w:val="22"/>
                <w:szCs w:val="22"/>
              </w:rPr>
              <w:t>记录的每张图片应包含时间信息，至少精确到0.1</w:t>
            </w:r>
            <w:r>
              <w:rPr>
                <w:rFonts w:hint="eastAsia" w:ascii="宋体" w:hAnsi="宋体" w:eastAsia="宋体" w:cs="宋体"/>
                <w:sz w:val="22"/>
                <w:szCs w:val="22"/>
                <w:lang w:val="en-US" w:eastAsia="zh-CN"/>
              </w:rPr>
              <w:t>秒</w:t>
            </w:r>
            <w:r>
              <w:rPr>
                <w:rFonts w:hint="eastAsia" w:ascii="宋体" w:hAnsi="宋体" w:eastAsia="宋体" w:cs="宋体"/>
                <w:sz w:val="22"/>
                <w:szCs w:val="22"/>
                <w:lang w:eastAsia="zh-CN"/>
              </w:rPr>
              <w:t>。</w:t>
            </w:r>
          </w:p>
          <w:p w14:paraId="63BDC194">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(4)</w:t>
            </w:r>
            <w:r>
              <w:rPr>
                <w:rFonts w:hint="eastAsia" w:ascii="宋体" w:hAnsi="宋体" w:eastAsia="宋体" w:cs="宋体"/>
                <w:sz w:val="22"/>
                <w:szCs w:val="22"/>
              </w:rPr>
              <w:t>图片记录要求应符合GA/T 832的要求</w:t>
            </w:r>
            <w:r>
              <w:rPr>
                <w:rFonts w:hint="eastAsia" w:ascii="宋体" w:hAnsi="宋体" w:eastAsia="宋体" w:cs="宋体"/>
                <w:sz w:val="22"/>
                <w:szCs w:val="22"/>
                <w:lang w:eastAsia="zh-CN"/>
              </w:rPr>
              <w:t>。</w:t>
            </w:r>
          </w:p>
          <w:p w14:paraId="08B5A8B7">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(5)</w:t>
            </w:r>
            <w:r>
              <w:rPr>
                <w:rFonts w:hint="eastAsia" w:ascii="宋体" w:hAnsi="宋体" w:eastAsia="宋体" w:cs="宋体"/>
                <w:sz w:val="22"/>
                <w:szCs w:val="22"/>
              </w:rPr>
              <w:t>记录的最终图片应合成为一个图片文件，且至少应包含：时间、地点、方向、车道和设备编号等信息，设备编号规则应符合GA/T 1043的要求</w:t>
            </w:r>
            <w:r>
              <w:rPr>
                <w:rFonts w:hint="eastAsia" w:ascii="宋体" w:hAnsi="宋体" w:eastAsia="宋体" w:cs="宋体"/>
                <w:sz w:val="22"/>
                <w:szCs w:val="22"/>
                <w:lang w:eastAsia="zh-CN"/>
              </w:rPr>
              <w:t>。</w:t>
            </w:r>
          </w:p>
          <w:p w14:paraId="08F02ED7">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(6)</w:t>
            </w:r>
            <w:r>
              <w:rPr>
                <w:rFonts w:hint="eastAsia" w:ascii="宋体" w:hAnsi="宋体" w:eastAsia="宋体" w:cs="宋体"/>
                <w:sz w:val="22"/>
                <w:szCs w:val="22"/>
              </w:rPr>
              <w:t>合成的图片清晰度应能满足人工对车辆号牌号码认定的要求，图片不</w:t>
            </w:r>
            <w:r>
              <w:rPr>
                <w:rFonts w:hint="eastAsia" w:ascii="宋体" w:hAnsi="宋体" w:eastAsia="宋体" w:cs="宋体"/>
                <w:sz w:val="22"/>
                <w:szCs w:val="22"/>
                <w:lang w:val="en-US" w:eastAsia="zh-CN"/>
              </w:rPr>
              <w:t>得</w:t>
            </w:r>
            <w:r>
              <w:rPr>
                <w:rFonts w:hint="eastAsia" w:ascii="宋体" w:hAnsi="宋体" w:eastAsia="宋体" w:cs="宋体"/>
                <w:sz w:val="22"/>
                <w:szCs w:val="22"/>
              </w:rPr>
              <w:t>出现红灯信号泛白、光晕等颜色失真现象</w:t>
            </w:r>
            <w:r>
              <w:rPr>
                <w:rFonts w:hint="eastAsia" w:ascii="宋体" w:hAnsi="宋体" w:eastAsia="宋体" w:cs="宋体"/>
                <w:sz w:val="22"/>
                <w:szCs w:val="22"/>
                <w:lang w:eastAsia="zh-CN"/>
              </w:rPr>
              <w:t>；</w:t>
            </w:r>
            <w:r>
              <w:rPr>
                <w:rFonts w:hint="eastAsia" w:ascii="宋体" w:hAnsi="宋体" w:eastAsia="宋体" w:cs="宋体"/>
                <w:sz w:val="22"/>
                <w:szCs w:val="22"/>
              </w:rPr>
              <w:t>图片合成时，不得出现原始图片遗漏、错位等情形。</w:t>
            </w:r>
          </w:p>
          <w:p w14:paraId="003CA997">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3.1.5</w:t>
            </w:r>
            <w:r>
              <w:rPr>
                <w:rFonts w:hint="eastAsia" w:ascii="宋体" w:hAnsi="宋体" w:eastAsia="宋体" w:cs="宋体"/>
                <w:b/>
                <w:bCs/>
                <w:sz w:val="22"/>
                <w:szCs w:val="22"/>
              </w:rPr>
              <w:t>信息记录</w:t>
            </w:r>
          </w:p>
          <w:p w14:paraId="018E9C25">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闯红灯自动记录系统记录的机动车闯红灯信息应符合GA/16.31、GA 329.3、GA 648 的要求。</w:t>
            </w:r>
          </w:p>
          <w:p w14:paraId="2031DEBF">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3.1.6</w:t>
            </w:r>
            <w:r>
              <w:rPr>
                <w:rFonts w:hint="eastAsia" w:ascii="宋体" w:hAnsi="宋体" w:eastAsia="宋体" w:cs="宋体"/>
                <w:b/>
                <w:bCs/>
                <w:sz w:val="22"/>
                <w:szCs w:val="22"/>
              </w:rPr>
              <w:t>闯红灯捕获率</w:t>
            </w:r>
          </w:p>
          <w:p w14:paraId="55C89D94">
            <w:pPr>
              <w:pStyle w:val="24"/>
              <w:pageBreakBefore w:val="0"/>
              <w:widowControl w:val="0"/>
              <w:numPr>
                <w:ilvl w:val="0"/>
                <w:numId w:val="0"/>
              </w:numPr>
              <w:kinsoku/>
              <w:wordWrap/>
              <w:overflowPunct/>
              <w:topLinePunct w:val="0"/>
              <w:autoSpaceDE/>
              <w:autoSpaceDN/>
              <w:bidi w:val="0"/>
              <w:adjustRightInd/>
              <w:snapToGrid/>
              <w:spacing w:line="360" w:lineRule="auto"/>
              <w:ind w:left="920" w:leftChars="0" w:hanging="440" w:firstLineChars="0"/>
              <w:textAlignment w:val="auto"/>
              <w:rPr>
                <w:rFonts w:hint="eastAsia" w:ascii="宋体" w:hAnsi="宋体" w:eastAsia="宋体" w:cs="宋体"/>
                <w:sz w:val="22"/>
                <w:szCs w:val="22"/>
              </w:rPr>
            </w:pPr>
            <w:r>
              <w:rPr>
                <w:rFonts w:hint="eastAsia" w:ascii="宋体" w:hAnsi="宋体" w:eastAsia="宋体" w:cs="宋体"/>
                <w:sz w:val="22"/>
                <w:szCs w:val="22"/>
              </w:rPr>
              <w:t>在标注的适用条件下，闯红灯</w:t>
            </w:r>
            <w:r>
              <w:rPr>
                <w:rFonts w:hint="eastAsia" w:ascii="宋体" w:hAnsi="宋体" w:eastAsia="宋体" w:cs="宋体"/>
                <w:sz w:val="22"/>
                <w:szCs w:val="22"/>
                <w:lang w:val="en-US" w:eastAsia="zh-CN"/>
              </w:rPr>
              <w:t>行为</w:t>
            </w:r>
            <w:r>
              <w:rPr>
                <w:rFonts w:hint="eastAsia" w:ascii="宋体" w:hAnsi="宋体" w:eastAsia="宋体" w:cs="宋体"/>
                <w:sz w:val="22"/>
                <w:szCs w:val="22"/>
              </w:rPr>
              <w:t>捕获率应不小于90%。</w:t>
            </w:r>
          </w:p>
          <w:p w14:paraId="26870371">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3.1.7</w:t>
            </w:r>
            <w:r>
              <w:rPr>
                <w:rFonts w:hint="eastAsia" w:ascii="宋体" w:hAnsi="宋体" w:eastAsia="宋体" w:cs="宋体"/>
                <w:b/>
                <w:bCs/>
                <w:sz w:val="22"/>
                <w:szCs w:val="22"/>
              </w:rPr>
              <w:t>记录有效率</w:t>
            </w:r>
          </w:p>
          <w:p w14:paraId="73596767">
            <w:pPr>
              <w:pStyle w:val="24"/>
              <w:pageBreakBefore w:val="0"/>
              <w:widowControl w:val="0"/>
              <w:numPr>
                <w:ilvl w:val="0"/>
                <w:numId w:val="0"/>
              </w:numPr>
              <w:kinsoku/>
              <w:wordWrap/>
              <w:overflowPunct/>
              <w:topLinePunct w:val="0"/>
              <w:autoSpaceDE/>
              <w:autoSpaceDN/>
              <w:bidi w:val="0"/>
              <w:adjustRightInd/>
              <w:snapToGrid/>
              <w:spacing w:line="360" w:lineRule="auto"/>
              <w:ind w:left="920" w:leftChars="0" w:hanging="440" w:firstLineChars="0"/>
              <w:textAlignment w:val="auto"/>
              <w:rPr>
                <w:rFonts w:hint="eastAsia" w:ascii="宋体" w:hAnsi="宋体" w:eastAsia="宋体" w:cs="宋体"/>
                <w:sz w:val="22"/>
                <w:szCs w:val="22"/>
              </w:rPr>
            </w:pPr>
            <w:r>
              <w:rPr>
                <w:rFonts w:hint="eastAsia" w:ascii="宋体" w:hAnsi="宋体" w:eastAsia="宋体" w:cs="宋体"/>
                <w:sz w:val="22"/>
                <w:szCs w:val="22"/>
              </w:rPr>
              <w:t>在标注的适用条件下，记录有效率应不小于80%。</w:t>
            </w:r>
          </w:p>
          <w:p w14:paraId="356C7DF3">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3.1.8</w:t>
            </w:r>
            <w:r>
              <w:rPr>
                <w:rFonts w:hint="eastAsia" w:ascii="宋体" w:hAnsi="宋体" w:eastAsia="宋体" w:cs="宋体"/>
                <w:b/>
                <w:bCs/>
                <w:sz w:val="22"/>
                <w:szCs w:val="22"/>
              </w:rPr>
              <w:t>计时误差</w:t>
            </w:r>
          </w:p>
          <w:p w14:paraId="0DD57FF6">
            <w:pPr>
              <w:pStyle w:val="24"/>
              <w:pageBreakBefore w:val="0"/>
              <w:widowControl w:val="0"/>
              <w:numPr>
                <w:ilvl w:val="0"/>
                <w:numId w:val="0"/>
              </w:numPr>
              <w:kinsoku/>
              <w:wordWrap/>
              <w:overflowPunct/>
              <w:topLinePunct w:val="0"/>
              <w:autoSpaceDE/>
              <w:autoSpaceDN/>
              <w:bidi w:val="0"/>
              <w:adjustRightInd/>
              <w:snapToGrid/>
              <w:spacing w:line="360" w:lineRule="auto"/>
              <w:ind w:left="920" w:leftChars="0" w:hanging="440" w:firstLineChars="0"/>
              <w:textAlignment w:val="auto"/>
              <w:rPr>
                <w:rFonts w:hint="eastAsia" w:ascii="宋体" w:hAnsi="宋体" w:eastAsia="宋体" w:cs="宋体"/>
                <w:sz w:val="22"/>
                <w:szCs w:val="22"/>
              </w:rPr>
            </w:pPr>
            <w:r>
              <w:rPr>
                <w:rFonts w:hint="eastAsia" w:ascii="宋体" w:hAnsi="宋体" w:eastAsia="宋体" w:cs="宋体"/>
                <w:sz w:val="22"/>
                <w:szCs w:val="22"/>
              </w:rPr>
              <w:t>闯红灯自动记录系统24</w:t>
            </w:r>
            <w:r>
              <w:rPr>
                <w:rFonts w:hint="eastAsia" w:ascii="宋体" w:hAnsi="宋体" w:eastAsia="宋体" w:cs="宋体"/>
                <w:sz w:val="22"/>
                <w:szCs w:val="22"/>
                <w:lang w:val="en-US" w:eastAsia="zh-CN"/>
              </w:rPr>
              <w:t>小时</w:t>
            </w:r>
            <w:r>
              <w:rPr>
                <w:rFonts w:hint="eastAsia" w:ascii="宋体" w:hAnsi="宋体" w:eastAsia="宋体" w:cs="宋体"/>
                <w:sz w:val="22"/>
                <w:szCs w:val="22"/>
              </w:rPr>
              <w:t>计时误差应不超过1</w:t>
            </w:r>
            <w:r>
              <w:rPr>
                <w:rFonts w:hint="eastAsia" w:ascii="宋体" w:hAnsi="宋体" w:eastAsia="宋体" w:cs="宋体"/>
                <w:sz w:val="22"/>
                <w:szCs w:val="22"/>
                <w:lang w:val="en-US" w:eastAsia="zh-CN"/>
              </w:rPr>
              <w:t>秒</w:t>
            </w:r>
            <w:r>
              <w:rPr>
                <w:rFonts w:hint="eastAsia" w:ascii="宋体" w:hAnsi="宋体" w:eastAsia="宋体" w:cs="宋体"/>
                <w:sz w:val="22"/>
                <w:szCs w:val="22"/>
              </w:rPr>
              <w:t>。</w:t>
            </w:r>
          </w:p>
          <w:p w14:paraId="38BE7D6A">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3.1.9</w:t>
            </w:r>
            <w:r>
              <w:rPr>
                <w:rFonts w:hint="eastAsia" w:ascii="宋体" w:hAnsi="宋体" w:eastAsia="宋体" w:cs="宋体"/>
                <w:b/>
                <w:bCs/>
                <w:sz w:val="22"/>
                <w:szCs w:val="22"/>
              </w:rPr>
              <w:t>数据传输</w:t>
            </w:r>
          </w:p>
          <w:p w14:paraId="4979D527">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rPr>
              <w:t>（1）数据传输要求</w:t>
            </w:r>
          </w:p>
          <w:p w14:paraId="09E14345">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闯红灯自动记录系统应具备联网数据传输或现场数据下载功能。</w:t>
            </w:r>
          </w:p>
          <w:p w14:paraId="05E39181">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rPr>
              <w:t>（2）联网数据传输</w:t>
            </w:r>
          </w:p>
          <w:p w14:paraId="694934DA">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通过网络将机动车闯红灯信息自动传输到指定数据中心，且信息传输应具有防丢失、防篡改等功能。视频数据传输应符合GB/T 28181的要求。</w:t>
            </w:r>
          </w:p>
          <w:p w14:paraId="6EB67172">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rPr>
              <w:t>（3）现场数据下载</w:t>
            </w:r>
          </w:p>
          <w:p w14:paraId="45AB1868">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现场将机动车闯红灯信息人工或自动下载到存储介质中后带回数据中心，下载过程不得删改原始信息，且应自动生成下载日志信息，包括下载人</w:t>
            </w:r>
            <w:r>
              <w:rPr>
                <w:rFonts w:hint="eastAsia" w:ascii="宋体" w:hAnsi="宋体" w:eastAsia="宋体" w:cs="宋体"/>
                <w:sz w:val="22"/>
                <w:szCs w:val="22"/>
                <w:lang w:val="en-US" w:eastAsia="zh-CN"/>
              </w:rPr>
              <w:t>员</w:t>
            </w:r>
            <w:r>
              <w:rPr>
                <w:rFonts w:hint="eastAsia" w:ascii="宋体" w:hAnsi="宋体" w:eastAsia="宋体" w:cs="宋体"/>
                <w:sz w:val="22"/>
                <w:szCs w:val="22"/>
              </w:rPr>
              <w:t>、下载时间等信息。</w:t>
            </w:r>
          </w:p>
          <w:p w14:paraId="12EED604">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3.1.10</w:t>
            </w:r>
            <w:r>
              <w:rPr>
                <w:rFonts w:hint="eastAsia" w:ascii="宋体" w:hAnsi="宋体" w:eastAsia="宋体" w:cs="宋体"/>
                <w:b/>
                <w:bCs/>
                <w:sz w:val="22"/>
                <w:szCs w:val="22"/>
              </w:rPr>
              <w:t>录像</w:t>
            </w:r>
          </w:p>
          <w:p w14:paraId="6C2855F7">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系统应具备录像功能，采用 H.265、MPEG4 或 MJPEG 编码标准，视频质量不低于1080P及25fps，并能确保前端存储连续录像时间不小于7天；录像支持OSD信息叠加，叠加的信息</w:t>
            </w:r>
            <w:r>
              <w:rPr>
                <w:rFonts w:hint="eastAsia" w:ascii="宋体" w:hAnsi="宋体" w:eastAsia="宋体" w:cs="宋体"/>
                <w:sz w:val="22"/>
                <w:szCs w:val="22"/>
                <w:lang w:val="en-US" w:eastAsia="zh-CN"/>
              </w:rPr>
              <w:t>应</w:t>
            </w:r>
            <w:r>
              <w:rPr>
                <w:rFonts w:hint="eastAsia" w:ascii="宋体" w:hAnsi="宋体" w:eastAsia="宋体" w:cs="宋体"/>
                <w:sz w:val="22"/>
                <w:szCs w:val="22"/>
              </w:rPr>
              <w:t>包括</w:t>
            </w:r>
            <w:r>
              <w:rPr>
                <w:rFonts w:hint="eastAsia" w:ascii="宋体" w:hAnsi="宋体" w:eastAsia="宋体" w:cs="宋体"/>
                <w:sz w:val="22"/>
                <w:szCs w:val="22"/>
                <w:lang w:val="en-US" w:eastAsia="zh-CN"/>
              </w:rPr>
              <w:t>但不限于</w:t>
            </w:r>
            <w:r>
              <w:rPr>
                <w:rFonts w:hint="eastAsia" w:ascii="宋体" w:hAnsi="宋体" w:eastAsia="宋体" w:cs="宋体"/>
                <w:sz w:val="22"/>
                <w:szCs w:val="22"/>
              </w:rPr>
              <w:t>日期、时间（精确到秒）、监控点名称、设备编号等信息。</w:t>
            </w:r>
          </w:p>
          <w:p w14:paraId="6FC06527">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3.1.11</w:t>
            </w:r>
            <w:r>
              <w:rPr>
                <w:rFonts w:hint="eastAsia" w:ascii="宋体" w:hAnsi="宋体" w:eastAsia="宋体" w:cs="宋体"/>
                <w:b/>
                <w:bCs/>
                <w:sz w:val="22"/>
                <w:szCs w:val="22"/>
              </w:rPr>
              <w:t>通行车辆检测</w:t>
            </w:r>
          </w:p>
          <w:p w14:paraId="60A72A2C">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应</w:t>
            </w:r>
            <w:r>
              <w:rPr>
                <w:rFonts w:hint="eastAsia" w:ascii="宋体" w:hAnsi="宋体" w:eastAsia="宋体" w:cs="宋体"/>
                <w:sz w:val="22"/>
                <w:szCs w:val="22"/>
              </w:rPr>
              <w:t>采用两种及以上车辆检测技术，当其中某种车辆检测技术或多种车辆检测技术出现故障时，应能上报车辆检测技术故障信息，上报时间应小于60</w:t>
            </w:r>
            <w:r>
              <w:rPr>
                <w:rFonts w:hint="eastAsia" w:ascii="宋体" w:hAnsi="宋体" w:eastAsia="宋体" w:cs="宋体"/>
                <w:sz w:val="22"/>
                <w:szCs w:val="22"/>
                <w:lang w:val="en-US" w:eastAsia="zh-CN"/>
              </w:rPr>
              <w:t>秒</w:t>
            </w:r>
            <w:r>
              <w:rPr>
                <w:rFonts w:hint="eastAsia" w:ascii="宋体" w:hAnsi="宋体" w:eastAsia="宋体" w:cs="宋体"/>
                <w:sz w:val="22"/>
                <w:szCs w:val="22"/>
              </w:rPr>
              <w:t>。</w:t>
            </w:r>
          </w:p>
          <w:p w14:paraId="6F4AA793">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3.1.12</w:t>
            </w:r>
            <w:r>
              <w:rPr>
                <w:rFonts w:hint="eastAsia" w:ascii="宋体" w:hAnsi="宋体" w:eastAsia="宋体" w:cs="宋体"/>
                <w:b/>
                <w:bCs/>
                <w:sz w:val="22"/>
                <w:szCs w:val="22"/>
              </w:rPr>
              <w:t>车辆图像记录</w:t>
            </w:r>
          </w:p>
          <w:p w14:paraId="4A483E4A">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（1）系统应能记录通行车辆经过监测点时的全景图像和特征图像。</w:t>
            </w:r>
          </w:p>
          <w:p w14:paraId="1C83A20D">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（2）全景图像中应标明车辆经过监测点的时间、地点、行驶方向等通行数据。</w:t>
            </w:r>
          </w:p>
          <w:p w14:paraId="64F4DA8D">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（3）通过监测点的车辆图像捕获率应不小于99%。</w:t>
            </w:r>
          </w:p>
          <w:p w14:paraId="42837D0F">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（4）当监测点为同向</w:t>
            </w:r>
            <w:r>
              <w:rPr>
                <w:rFonts w:hint="eastAsia" w:ascii="宋体" w:hAnsi="宋体" w:eastAsia="宋体" w:cs="宋体"/>
                <w:sz w:val="22"/>
                <w:szCs w:val="22"/>
                <w:lang w:eastAsia="zh-CN"/>
              </w:rPr>
              <w:t>相邻</w:t>
            </w:r>
            <w:r>
              <w:rPr>
                <w:rFonts w:hint="eastAsia" w:ascii="宋体" w:hAnsi="宋体" w:eastAsia="宋体" w:cs="宋体"/>
                <w:sz w:val="22"/>
                <w:szCs w:val="22"/>
              </w:rPr>
              <w:t>的2个及以上车道时，车辆图像捕获应能记录通行车辆骑、压车道线行驶的情况。</w:t>
            </w:r>
          </w:p>
          <w:p w14:paraId="2344EE64">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（5）车辆图像捕获时应不受雨、雪、雾等天气</w:t>
            </w:r>
            <w:r>
              <w:rPr>
                <w:rFonts w:hint="eastAsia" w:ascii="宋体" w:hAnsi="宋体" w:eastAsia="宋体" w:cs="宋体"/>
                <w:sz w:val="22"/>
                <w:szCs w:val="22"/>
                <w:lang w:val="en-US" w:eastAsia="zh-CN"/>
              </w:rPr>
              <w:t>条件</w:t>
            </w:r>
            <w:r>
              <w:rPr>
                <w:rFonts w:hint="eastAsia" w:ascii="宋体" w:hAnsi="宋体" w:eastAsia="宋体" w:cs="宋体"/>
                <w:sz w:val="22"/>
                <w:szCs w:val="22"/>
              </w:rPr>
              <w:t>、环境光</w:t>
            </w:r>
            <w:r>
              <w:rPr>
                <w:rFonts w:hint="eastAsia" w:ascii="宋体" w:hAnsi="宋体" w:eastAsia="宋体" w:cs="宋体"/>
                <w:sz w:val="22"/>
                <w:szCs w:val="22"/>
                <w:lang w:val="en-US" w:eastAsia="zh-CN"/>
              </w:rPr>
              <w:t>线</w:t>
            </w:r>
            <w:r>
              <w:rPr>
                <w:rFonts w:hint="eastAsia" w:ascii="宋体" w:hAnsi="宋体" w:eastAsia="宋体" w:cs="宋体"/>
                <w:sz w:val="22"/>
                <w:szCs w:val="22"/>
              </w:rPr>
              <w:t>和</w:t>
            </w:r>
            <w:r>
              <w:rPr>
                <w:rFonts w:hint="eastAsia" w:ascii="宋体" w:hAnsi="宋体" w:eastAsia="宋体" w:cs="宋体"/>
                <w:sz w:val="22"/>
                <w:szCs w:val="22"/>
                <w:lang w:eastAsia="zh-CN"/>
              </w:rPr>
              <w:t>相邻</w:t>
            </w:r>
            <w:r>
              <w:rPr>
                <w:rFonts w:hint="eastAsia" w:ascii="宋体" w:hAnsi="宋体" w:eastAsia="宋体" w:cs="宋体"/>
                <w:sz w:val="22"/>
                <w:szCs w:val="22"/>
              </w:rPr>
              <w:t>车道通行车辆的影响，空拍和重拍的图像记录应小于3%。</w:t>
            </w:r>
          </w:p>
          <w:p w14:paraId="19EB1D9D">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（6）当车辆图像用于道路交通安全违法行为证据时，应符合GA/T 832的要求。</w:t>
            </w:r>
          </w:p>
          <w:p w14:paraId="708E784E">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3.1.13</w:t>
            </w:r>
            <w:r>
              <w:rPr>
                <w:rFonts w:hint="eastAsia" w:ascii="宋体" w:hAnsi="宋体" w:eastAsia="宋体" w:cs="宋体"/>
                <w:b/>
                <w:bCs/>
                <w:sz w:val="22"/>
                <w:szCs w:val="22"/>
              </w:rPr>
              <w:t>图像取证设备</w:t>
            </w:r>
          </w:p>
          <w:p w14:paraId="058AFD6B">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图像取证设备应能清晰记录道路交通安全违法行为的证据图片。</w:t>
            </w:r>
          </w:p>
          <w:p w14:paraId="01E43EF2">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3.1.14</w:t>
            </w:r>
            <w:r>
              <w:rPr>
                <w:rFonts w:hint="eastAsia" w:ascii="宋体" w:hAnsi="宋体" w:eastAsia="宋体" w:cs="宋体"/>
                <w:b/>
                <w:bCs/>
                <w:sz w:val="22"/>
                <w:szCs w:val="22"/>
              </w:rPr>
              <w:t>计时误差</w:t>
            </w:r>
          </w:p>
          <w:p w14:paraId="2BABA940">
            <w:pPr>
              <w:pStyle w:val="24"/>
              <w:pageBreakBefore w:val="0"/>
              <w:widowControl w:val="0"/>
              <w:numPr>
                <w:ilvl w:val="0"/>
                <w:numId w:val="0"/>
              </w:numPr>
              <w:kinsoku/>
              <w:wordWrap/>
              <w:overflowPunct/>
              <w:topLinePunct w:val="0"/>
              <w:autoSpaceDE/>
              <w:autoSpaceDN/>
              <w:bidi w:val="0"/>
              <w:adjustRightInd/>
              <w:snapToGrid/>
              <w:spacing w:line="360" w:lineRule="auto"/>
              <w:ind w:left="920" w:leftChars="0" w:hanging="440" w:firstLineChars="0"/>
              <w:textAlignment w:val="auto"/>
              <w:rPr>
                <w:rFonts w:hint="eastAsia" w:ascii="宋体" w:hAnsi="宋体" w:eastAsia="宋体" w:cs="宋体"/>
                <w:sz w:val="22"/>
                <w:szCs w:val="22"/>
              </w:rPr>
            </w:pPr>
            <w:r>
              <w:rPr>
                <w:rFonts w:hint="eastAsia" w:ascii="宋体" w:hAnsi="宋体" w:eastAsia="宋体" w:cs="宋体"/>
                <w:sz w:val="22"/>
                <w:szCs w:val="22"/>
              </w:rPr>
              <w:t>图像取证设备时钟与北京时间的误差</w:t>
            </w:r>
            <w:r>
              <w:rPr>
                <w:rFonts w:hint="eastAsia" w:ascii="宋体" w:hAnsi="宋体" w:eastAsia="宋体" w:cs="宋体"/>
                <w:sz w:val="22"/>
                <w:szCs w:val="22"/>
                <w:lang w:val="en-US" w:eastAsia="zh-CN"/>
              </w:rPr>
              <w:t>应</w:t>
            </w:r>
            <w:r>
              <w:rPr>
                <w:rFonts w:hint="eastAsia" w:ascii="宋体" w:hAnsi="宋体" w:eastAsia="宋体" w:cs="宋体"/>
                <w:sz w:val="22"/>
                <w:szCs w:val="22"/>
              </w:rPr>
              <w:t>不超过1.0</w:t>
            </w:r>
            <w:r>
              <w:rPr>
                <w:rFonts w:hint="eastAsia" w:ascii="宋体" w:hAnsi="宋体" w:eastAsia="宋体" w:cs="宋体"/>
                <w:sz w:val="22"/>
                <w:szCs w:val="22"/>
                <w:lang w:val="en-US" w:eastAsia="zh-CN"/>
              </w:rPr>
              <w:t>秒</w:t>
            </w:r>
            <w:r>
              <w:rPr>
                <w:rFonts w:hint="eastAsia" w:ascii="宋体" w:hAnsi="宋体" w:eastAsia="宋体" w:cs="宋体"/>
                <w:sz w:val="22"/>
                <w:szCs w:val="22"/>
              </w:rPr>
              <w:t>。</w:t>
            </w:r>
          </w:p>
          <w:p w14:paraId="3E7836A8">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3.1.15</w:t>
            </w:r>
            <w:r>
              <w:rPr>
                <w:rFonts w:hint="eastAsia" w:ascii="宋体" w:hAnsi="宋体" w:eastAsia="宋体" w:cs="宋体"/>
                <w:b/>
                <w:bCs/>
                <w:sz w:val="22"/>
                <w:szCs w:val="22"/>
              </w:rPr>
              <w:t>图片数量</w:t>
            </w:r>
          </w:p>
          <w:p w14:paraId="70765590">
            <w:pPr>
              <w:pStyle w:val="24"/>
              <w:pageBreakBefore w:val="0"/>
              <w:widowControl w:val="0"/>
              <w:numPr>
                <w:ilvl w:val="0"/>
                <w:numId w:val="0"/>
              </w:numPr>
              <w:kinsoku/>
              <w:wordWrap/>
              <w:overflowPunct/>
              <w:topLinePunct w:val="0"/>
              <w:autoSpaceDE/>
              <w:autoSpaceDN/>
              <w:bidi w:val="0"/>
              <w:adjustRightInd/>
              <w:snapToGrid/>
              <w:spacing w:line="360" w:lineRule="auto"/>
              <w:ind w:left="920" w:leftChars="0" w:hanging="440" w:firstLineChars="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不少于2幅不同时间拍摄的机动车全景特征图片。</w:t>
            </w:r>
          </w:p>
          <w:p w14:paraId="4288DC5C">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采用图片加视频方式取证的，应采集至少1幅机动车全景特征图片。</w:t>
            </w:r>
          </w:p>
          <w:p w14:paraId="149EE83B">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3.1.16</w:t>
            </w:r>
            <w:r>
              <w:rPr>
                <w:rFonts w:hint="eastAsia" w:ascii="宋体" w:hAnsi="宋体" w:eastAsia="宋体" w:cs="宋体"/>
                <w:b/>
                <w:bCs/>
                <w:sz w:val="22"/>
                <w:szCs w:val="22"/>
              </w:rPr>
              <w:t>图片质量</w:t>
            </w:r>
          </w:p>
          <w:p w14:paraId="44A420CD">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记录的图片质量应符合如下要求：</w:t>
            </w:r>
          </w:p>
          <w:p w14:paraId="7D428E39">
            <w:pPr>
              <w:pStyle w:val="24"/>
              <w:pageBreakBefore w:val="0"/>
              <w:widowControl w:val="0"/>
              <w:numPr>
                <w:ilvl w:val="0"/>
                <w:numId w:val="0"/>
              </w:numPr>
              <w:kinsoku/>
              <w:wordWrap/>
              <w:overflowPunct/>
              <w:topLinePunct w:val="0"/>
              <w:autoSpaceDE/>
              <w:autoSpaceDN/>
              <w:bidi w:val="0"/>
              <w:adjustRightInd/>
              <w:snapToGrid/>
              <w:spacing w:line="360" w:lineRule="auto"/>
              <w:ind w:left="420" w:leftChars="199" w:hanging="2" w:hangingChars="1"/>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记录的图片应为24位真彩图像</w:t>
            </w:r>
            <w:r>
              <w:rPr>
                <w:rFonts w:hint="eastAsia" w:ascii="宋体" w:hAnsi="宋体" w:eastAsia="宋体" w:cs="宋体"/>
                <w:sz w:val="22"/>
                <w:szCs w:val="22"/>
                <w:lang w:eastAsia="zh-CN"/>
              </w:rPr>
              <w:t>。</w:t>
            </w:r>
          </w:p>
          <w:p w14:paraId="5CA707CD">
            <w:pPr>
              <w:pStyle w:val="24"/>
              <w:pageBreakBefore w:val="0"/>
              <w:widowControl w:val="0"/>
              <w:numPr>
                <w:ilvl w:val="0"/>
                <w:numId w:val="0"/>
              </w:numPr>
              <w:kinsoku/>
              <w:wordWrap/>
              <w:overflowPunct/>
              <w:topLinePunct w:val="0"/>
              <w:autoSpaceDE/>
              <w:autoSpaceDN/>
              <w:bidi w:val="0"/>
              <w:adjustRightInd/>
              <w:snapToGrid/>
              <w:spacing w:line="360" w:lineRule="auto"/>
              <w:ind w:left="420" w:leftChars="199" w:hanging="2" w:hangingChars="1"/>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基于模拟视频的图片分辨率应不小</w:t>
            </w:r>
            <w:r>
              <w:rPr>
                <w:rFonts w:hint="eastAsia" w:ascii="宋体" w:hAnsi="宋体" w:eastAsia="宋体" w:cs="宋体"/>
                <w:sz w:val="22"/>
                <w:szCs w:val="22"/>
                <w:lang w:val="en-US" w:eastAsia="zh-CN"/>
              </w:rPr>
              <w:t>于</w:t>
            </w:r>
            <w:r>
              <w:rPr>
                <w:rFonts w:hint="eastAsia" w:ascii="宋体" w:hAnsi="宋体" w:eastAsia="宋体" w:cs="宋体"/>
                <w:sz w:val="22"/>
                <w:szCs w:val="22"/>
              </w:rPr>
              <w:t>1920×1080像素点</w:t>
            </w:r>
            <w:r>
              <w:rPr>
                <w:rFonts w:hint="eastAsia" w:ascii="宋体" w:hAnsi="宋体" w:eastAsia="宋体" w:cs="宋体"/>
                <w:sz w:val="22"/>
                <w:szCs w:val="22"/>
                <w:lang w:eastAsia="zh-CN"/>
              </w:rPr>
              <w:t>。</w:t>
            </w:r>
          </w:p>
          <w:p w14:paraId="06C742D0">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(3)</w:t>
            </w:r>
            <w:r>
              <w:rPr>
                <w:rFonts w:hint="eastAsia" w:ascii="宋体" w:hAnsi="宋体" w:eastAsia="宋体" w:cs="宋体"/>
                <w:sz w:val="22"/>
                <w:szCs w:val="22"/>
              </w:rPr>
              <w:t>基于数字成像设备的图片分辨率应不小于1920×1080像素点。</w:t>
            </w:r>
          </w:p>
          <w:p w14:paraId="0F4A2790">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3.1.17</w:t>
            </w:r>
            <w:r>
              <w:rPr>
                <w:rFonts w:hint="eastAsia" w:ascii="宋体" w:hAnsi="宋体" w:eastAsia="宋体" w:cs="宋体"/>
                <w:b/>
                <w:bCs/>
                <w:sz w:val="22"/>
                <w:szCs w:val="22"/>
              </w:rPr>
              <w:t>间隔时间</w:t>
            </w:r>
          </w:p>
          <w:p w14:paraId="68975D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机动车全景特征图片的间隔时间要求如下：</w:t>
            </w:r>
          </w:p>
          <w:p w14:paraId="60527C2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机动车行驶状态下发生的道路交通安全违法行为，间隔时间应确保机动车全景特征图片中机动车有明显的位移</w:t>
            </w:r>
            <w:r>
              <w:rPr>
                <w:rFonts w:hint="eastAsia" w:ascii="宋体" w:hAnsi="宋体" w:eastAsia="宋体" w:cs="宋体"/>
                <w:sz w:val="22"/>
                <w:szCs w:val="22"/>
                <w:lang w:eastAsia="zh-CN"/>
              </w:rPr>
              <w:t>。</w:t>
            </w:r>
          </w:p>
          <w:p w14:paraId="10186952">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机动车静止状态下发生的道路交通安全违法行为，间隔时间应不小于10</w:t>
            </w:r>
            <w:r>
              <w:rPr>
                <w:rFonts w:hint="eastAsia" w:ascii="宋体" w:hAnsi="宋体" w:eastAsia="宋体" w:cs="宋体"/>
                <w:sz w:val="22"/>
                <w:szCs w:val="22"/>
                <w:lang w:val="en-US" w:eastAsia="zh-CN"/>
              </w:rPr>
              <w:t>秒</w:t>
            </w:r>
            <w:r>
              <w:rPr>
                <w:rFonts w:hint="eastAsia" w:ascii="宋体" w:hAnsi="宋体" w:eastAsia="宋体" w:cs="宋体"/>
                <w:sz w:val="22"/>
                <w:szCs w:val="22"/>
              </w:rPr>
              <w:t>。</w:t>
            </w:r>
          </w:p>
          <w:p w14:paraId="12CABC55">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3.1.18</w:t>
            </w:r>
            <w:r>
              <w:rPr>
                <w:rFonts w:hint="eastAsia" w:ascii="宋体" w:hAnsi="宋体" w:eastAsia="宋体" w:cs="宋体"/>
                <w:b/>
                <w:bCs/>
                <w:sz w:val="22"/>
                <w:szCs w:val="22"/>
              </w:rPr>
              <w:t>叠加信息</w:t>
            </w:r>
          </w:p>
          <w:p w14:paraId="60A30D30">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基本信息：叠加在每幅图片上的信息应包括</w:t>
            </w:r>
            <w:r>
              <w:rPr>
                <w:rFonts w:hint="eastAsia" w:ascii="宋体" w:hAnsi="宋体" w:eastAsia="宋体" w:cs="宋体"/>
                <w:sz w:val="22"/>
                <w:szCs w:val="22"/>
                <w:lang w:val="en-US" w:eastAsia="zh-CN"/>
              </w:rPr>
              <w:t>但不限于</w:t>
            </w:r>
            <w:r>
              <w:rPr>
                <w:rFonts w:hint="eastAsia" w:ascii="宋体" w:hAnsi="宋体" w:eastAsia="宋体" w:cs="宋体"/>
                <w:sz w:val="22"/>
                <w:szCs w:val="22"/>
              </w:rPr>
              <w:t>违法时间、违法地点、违法代码、违法行为、图像取证设备编号、防伪信息等内容。</w:t>
            </w:r>
          </w:p>
          <w:p w14:paraId="19DAB278">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3.1.19</w:t>
            </w:r>
            <w:r>
              <w:rPr>
                <w:rFonts w:hint="eastAsia" w:ascii="宋体" w:hAnsi="宋体" w:eastAsia="宋体" w:cs="宋体"/>
                <w:b/>
                <w:bCs/>
                <w:sz w:val="22"/>
                <w:szCs w:val="22"/>
              </w:rPr>
              <w:t>时间信息</w:t>
            </w:r>
          </w:p>
          <w:p w14:paraId="2DA25E31">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图片上叠加的时间信息应符合如下要求：</w:t>
            </w:r>
          </w:p>
          <w:p w14:paraId="7E352EEF">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对于机动车行驶过程中发生的道路交通安全违法行为，叠加在图片上的违法时间应精确到0.01</w:t>
            </w:r>
            <w:r>
              <w:rPr>
                <w:rFonts w:hint="eastAsia" w:ascii="宋体" w:hAnsi="宋体" w:eastAsia="宋体" w:cs="宋体"/>
                <w:sz w:val="22"/>
                <w:szCs w:val="22"/>
                <w:lang w:val="en-US" w:eastAsia="zh-CN"/>
              </w:rPr>
              <w:t>秒</w:t>
            </w:r>
            <w:r>
              <w:rPr>
                <w:rFonts w:hint="eastAsia" w:ascii="宋体" w:hAnsi="宋体" w:eastAsia="宋体" w:cs="宋体"/>
                <w:sz w:val="22"/>
                <w:szCs w:val="22"/>
              </w:rPr>
              <w:t>；</w:t>
            </w:r>
          </w:p>
          <w:p w14:paraId="11BD71D8">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对于机动车静止状况下发生的道路交通安全违法行为，叠加在图片上的违法时间应精确到1.0</w:t>
            </w:r>
            <w:r>
              <w:rPr>
                <w:rFonts w:hint="eastAsia" w:ascii="宋体" w:hAnsi="宋体" w:eastAsia="宋体" w:cs="宋体"/>
                <w:sz w:val="22"/>
                <w:szCs w:val="22"/>
                <w:lang w:val="en-US" w:eastAsia="zh-CN"/>
              </w:rPr>
              <w:t>秒</w:t>
            </w:r>
            <w:r>
              <w:rPr>
                <w:rFonts w:hint="eastAsia" w:ascii="宋体" w:hAnsi="宋体" w:eastAsia="宋体" w:cs="宋体"/>
                <w:sz w:val="22"/>
                <w:szCs w:val="22"/>
              </w:rPr>
              <w:t>。</w:t>
            </w:r>
          </w:p>
          <w:p w14:paraId="736C1E8E">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3.1.20</w:t>
            </w:r>
            <w:r>
              <w:rPr>
                <w:rFonts w:hint="eastAsia" w:ascii="宋体" w:hAnsi="宋体" w:eastAsia="宋体" w:cs="宋体"/>
                <w:b/>
                <w:bCs/>
                <w:sz w:val="22"/>
                <w:szCs w:val="22"/>
              </w:rPr>
              <w:t>叠加位置</w:t>
            </w:r>
          </w:p>
          <w:p w14:paraId="27C550A3">
            <w:pPr>
              <w:pStyle w:val="24"/>
              <w:pageBreakBefore w:val="0"/>
              <w:widowControl w:val="0"/>
              <w:numPr>
                <w:ilvl w:val="0"/>
                <w:numId w:val="0"/>
              </w:numPr>
              <w:kinsoku/>
              <w:wordWrap/>
              <w:overflowPunct/>
              <w:topLinePunct w:val="0"/>
              <w:autoSpaceDE/>
              <w:autoSpaceDN/>
              <w:bidi w:val="0"/>
              <w:adjustRightInd/>
              <w:snapToGrid/>
              <w:spacing w:line="360" w:lineRule="auto"/>
              <w:ind w:left="920" w:leftChars="0" w:hanging="440" w:firstLineChars="0"/>
              <w:textAlignment w:val="auto"/>
              <w:rPr>
                <w:rFonts w:hint="eastAsia" w:ascii="宋体" w:hAnsi="宋体" w:eastAsia="宋体" w:cs="宋体"/>
                <w:sz w:val="22"/>
                <w:szCs w:val="22"/>
              </w:rPr>
            </w:pPr>
            <w:r>
              <w:rPr>
                <w:rFonts w:hint="eastAsia" w:ascii="宋体" w:hAnsi="宋体" w:eastAsia="宋体" w:cs="宋体"/>
                <w:sz w:val="22"/>
                <w:szCs w:val="22"/>
              </w:rPr>
              <w:t>图片上叠加的信息不应影响道路交通安全违法行为</w:t>
            </w:r>
            <w:r>
              <w:rPr>
                <w:rFonts w:hint="eastAsia" w:ascii="宋体" w:hAnsi="宋体" w:eastAsia="宋体" w:cs="宋体"/>
                <w:sz w:val="22"/>
                <w:szCs w:val="22"/>
                <w:lang w:val="en-US" w:eastAsia="zh-CN"/>
              </w:rPr>
              <w:t>的</w:t>
            </w:r>
            <w:r>
              <w:rPr>
                <w:rFonts w:hint="eastAsia" w:ascii="宋体" w:hAnsi="宋体" w:eastAsia="宋体" w:cs="宋体"/>
                <w:sz w:val="22"/>
                <w:szCs w:val="22"/>
              </w:rPr>
              <w:t>认定。</w:t>
            </w:r>
          </w:p>
          <w:p w14:paraId="7446E85A">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3.1.21</w:t>
            </w:r>
            <w:r>
              <w:rPr>
                <w:rFonts w:hint="eastAsia" w:ascii="宋体" w:hAnsi="宋体" w:eastAsia="宋体" w:cs="宋体"/>
                <w:b/>
                <w:bCs/>
                <w:sz w:val="22"/>
                <w:szCs w:val="22"/>
              </w:rPr>
              <w:t>证据图片</w:t>
            </w:r>
          </w:p>
          <w:p w14:paraId="4B1448ED">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原始图片应集合为图片证据，图片证据集合过程中不得改变每幅图片的尺寸、像素值、色彩等原始成像内容。</w:t>
            </w:r>
          </w:p>
          <w:p w14:paraId="19BDE33C">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3.1.22存储格式</w:t>
            </w:r>
          </w:p>
          <w:p w14:paraId="2B981399">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图片采用JPEG编码，以JFIF或JPEG文件格式</w:t>
            </w:r>
            <w:r>
              <w:rPr>
                <w:rFonts w:hint="eastAsia" w:ascii="宋体" w:hAnsi="宋体" w:eastAsia="宋体" w:cs="宋体"/>
                <w:sz w:val="22"/>
                <w:szCs w:val="22"/>
                <w:lang w:val="en-US" w:eastAsia="zh-CN"/>
              </w:rPr>
              <w:t>存储</w:t>
            </w:r>
            <w:r>
              <w:rPr>
                <w:rFonts w:hint="eastAsia" w:ascii="宋体" w:hAnsi="宋体" w:eastAsia="宋体" w:cs="宋体"/>
                <w:sz w:val="22"/>
                <w:szCs w:val="22"/>
              </w:rPr>
              <w:t>，压缩因子</w:t>
            </w:r>
            <w:r>
              <w:rPr>
                <w:rFonts w:hint="eastAsia" w:ascii="宋体" w:hAnsi="宋体" w:eastAsia="宋体" w:cs="宋体"/>
                <w:sz w:val="22"/>
                <w:szCs w:val="22"/>
                <w:lang w:val="en-US" w:eastAsia="zh-CN"/>
              </w:rPr>
              <w:t>应</w:t>
            </w:r>
            <w:r>
              <w:rPr>
                <w:rFonts w:hint="eastAsia" w:ascii="宋体" w:hAnsi="宋体" w:eastAsia="宋体" w:cs="宋体"/>
                <w:sz w:val="22"/>
                <w:szCs w:val="22"/>
              </w:rPr>
              <w:t>低于70。</w:t>
            </w:r>
          </w:p>
          <w:p w14:paraId="165027C8">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3.1.23</w:t>
            </w:r>
            <w:r>
              <w:rPr>
                <w:rFonts w:hint="eastAsia" w:ascii="宋体" w:hAnsi="宋体" w:eastAsia="宋体" w:cs="宋体"/>
                <w:b/>
                <w:bCs/>
                <w:sz w:val="22"/>
                <w:szCs w:val="22"/>
              </w:rPr>
              <w:t>防伪要求</w:t>
            </w:r>
          </w:p>
          <w:p w14:paraId="6A9A6083">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每幅交通违法行为图片应包含原始防伪信息，防止原始图片在传输、</w:t>
            </w:r>
            <w:r>
              <w:rPr>
                <w:rFonts w:hint="eastAsia" w:ascii="宋体" w:hAnsi="宋体" w:eastAsia="宋体" w:cs="宋体"/>
                <w:sz w:val="22"/>
                <w:szCs w:val="22"/>
                <w:lang w:eastAsia="zh-CN"/>
              </w:rPr>
              <w:t>存储</w:t>
            </w:r>
            <w:r>
              <w:rPr>
                <w:rFonts w:hint="eastAsia" w:ascii="宋体" w:hAnsi="宋体" w:eastAsia="宋体" w:cs="宋体"/>
                <w:sz w:val="22"/>
                <w:szCs w:val="22"/>
              </w:rPr>
              <w:t>和校对过程中被人为篡改。</w:t>
            </w:r>
          </w:p>
          <w:p w14:paraId="183FA71E">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3.1.24</w:t>
            </w:r>
            <w:r>
              <w:rPr>
                <w:rFonts w:hint="eastAsia" w:ascii="宋体" w:hAnsi="宋体" w:eastAsia="宋体" w:cs="宋体"/>
                <w:b/>
                <w:bCs/>
                <w:sz w:val="22"/>
                <w:szCs w:val="22"/>
              </w:rPr>
              <w:t>车流量记录</w:t>
            </w:r>
          </w:p>
          <w:p w14:paraId="158DBCB3">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应能准确记录车流量，</w:t>
            </w:r>
            <w:r>
              <w:rPr>
                <w:rFonts w:hint="eastAsia" w:ascii="宋体" w:hAnsi="宋体" w:eastAsia="宋体" w:cs="宋体"/>
                <w:sz w:val="22"/>
                <w:szCs w:val="22"/>
                <w:lang w:val="en-US" w:eastAsia="zh-CN"/>
              </w:rPr>
              <w:t>相关</w:t>
            </w:r>
            <w:r>
              <w:rPr>
                <w:rFonts w:hint="eastAsia" w:ascii="宋体" w:hAnsi="宋体" w:eastAsia="宋体" w:cs="宋体"/>
                <w:sz w:val="22"/>
                <w:szCs w:val="22"/>
              </w:rPr>
              <w:t>信息应符合GA/T 920的要求，检测精度应不小于90%。</w:t>
            </w:r>
          </w:p>
          <w:p w14:paraId="108A3C67">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3.1.25</w:t>
            </w:r>
            <w:r>
              <w:rPr>
                <w:rFonts w:hint="eastAsia" w:ascii="宋体" w:hAnsi="宋体" w:eastAsia="宋体" w:cs="宋体"/>
                <w:b/>
                <w:bCs/>
                <w:sz w:val="22"/>
                <w:szCs w:val="22"/>
              </w:rPr>
              <w:t>自动报警</w:t>
            </w:r>
          </w:p>
          <w:p w14:paraId="51901A8A">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应具备布控缉查车辆自动报警功能，当系统识别出来的车辆号牌结果属于布控车辆时，应能</w:t>
            </w:r>
            <w:r>
              <w:rPr>
                <w:rFonts w:hint="eastAsia" w:ascii="宋体" w:hAnsi="宋体" w:eastAsia="宋体" w:cs="宋体"/>
                <w:sz w:val="22"/>
                <w:szCs w:val="22"/>
                <w:lang w:val="en-US" w:eastAsia="zh-CN"/>
              </w:rPr>
              <w:t>自动</w:t>
            </w:r>
            <w:r>
              <w:rPr>
                <w:rFonts w:hint="eastAsia" w:ascii="宋体" w:hAnsi="宋体" w:eastAsia="宋体" w:cs="宋体"/>
                <w:sz w:val="22"/>
                <w:szCs w:val="22"/>
              </w:rPr>
              <w:t>生成报警信息，并支持现场报警和远程报警。</w:t>
            </w:r>
          </w:p>
          <w:p w14:paraId="7ED0B362">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3.1.26</w:t>
            </w:r>
            <w:r>
              <w:rPr>
                <w:rFonts w:hint="eastAsia" w:ascii="宋体" w:hAnsi="宋体" w:eastAsia="宋体" w:cs="宋体"/>
                <w:b/>
                <w:bCs/>
                <w:sz w:val="22"/>
                <w:szCs w:val="22"/>
              </w:rPr>
              <w:t>图像要求</w:t>
            </w:r>
          </w:p>
          <w:p w14:paraId="5AFC7E09">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rPr>
              <w:t>（1）分辨率</w:t>
            </w:r>
          </w:p>
          <w:p w14:paraId="4605CD48">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 xml:space="preserve">应确保车辆号牌在图像中的水平分辨率不小于100个像素点，并包含车牌的完整信息。 </w:t>
            </w:r>
          </w:p>
          <w:p w14:paraId="0DE64167">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rPr>
              <w:t>（2）清晰度</w:t>
            </w:r>
          </w:p>
          <w:p w14:paraId="33B5CDE7">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 xml:space="preserve">应能满足人工对车辆类型、颜色和轮廓及装载情况认定的要求。 </w:t>
            </w:r>
          </w:p>
          <w:p w14:paraId="28FC67F6">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rPr>
              <w:t>（3）编码</w:t>
            </w:r>
          </w:p>
          <w:p w14:paraId="770EAB17">
            <w:pPr>
              <w:pStyle w:val="24"/>
              <w:pageBreakBefore w:val="0"/>
              <w:widowControl w:val="0"/>
              <w:numPr>
                <w:ilvl w:val="0"/>
                <w:numId w:val="0"/>
              </w:numPr>
              <w:kinsoku/>
              <w:wordWrap/>
              <w:overflowPunct/>
              <w:topLinePunct w:val="0"/>
              <w:autoSpaceDE/>
              <w:autoSpaceDN/>
              <w:bidi w:val="0"/>
              <w:adjustRightInd/>
              <w:snapToGrid/>
              <w:spacing w:line="360" w:lineRule="auto"/>
              <w:ind w:left="920" w:leftChars="0" w:hanging="440" w:firstLineChars="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存储</w:t>
            </w:r>
            <w:r>
              <w:rPr>
                <w:rFonts w:hint="eastAsia" w:ascii="宋体" w:hAnsi="宋体" w:eastAsia="宋体" w:cs="宋体"/>
                <w:sz w:val="22"/>
                <w:szCs w:val="22"/>
              </w:rPr>
              <w:t xml:space="preserve">的车辆图像编码应符合 ISO/IEC 15444:1994的要求。 </w:t>
            </w:r>
          </w:p>
          <w:p w14:paraId="7BD05870">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rPr>
              <w:t>（4）防篡改</w:t>
            </w:r>
          </w:p>
          <w:p w14:paraId="24A43FBA">
            <w:pPr>
              <w:pStyle w:val="24"/>
              <w:pageBreakBefore w:val="0"/>
              <w:widowControl w:val="0"/>
              <w:numPr>
                <w:ilvl w:val="0"/>
                <w:numId w:val="0"/>
              </w:numPr>
              <w:kinsoku/>
              <w:wordWrap/>
              <w:overflowPunct/>
              <w:topLinePunct w:val="0"/>
              <w:autoSpaceDE/>
              <w:autoSpaceDN/>
              <w:bidi w:val="0"/>
              <w:adjustRightInd/>
              <w:snapToGrid/>
              <w:spacing w:line="360" w:lineRule="auto"/>
              <w:ind w:left="920" w:leftChars="0" w:hanging="440" w:firstLineChars="0"/>
              <w:textAlignment w:val="auto"/>
              <w:rPr>
                <w:rFonts w:hint="eastAsia" w:ascii="宋体" w:hAnsi="宋体" w:eastAsia="宋体" w:cs="宋体"/>
                <w:sz w:val="22"/>
                <w:szCs w:val="22"/>
              </w:rPr>
            </w:pPr>
            <w:r>
              <w:rPr>
                <w:rFonts w:hint="eastAsia" w:ascii="宋体" w:hAnsi="宋体" w:eastAsia="宋体" w:cs="宋体"/>
                <w:sz w:val="22"/>
                <w:szCs w:val="22"/>
              </w:rPr>
              <w:t>应对车辆图像文件进行防篡改保护。</w:t>
            </w:r>
          </w:p>
          <w:p w14:paraId="793D2D7F">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3.1.27</w:t>
            </w:r>
            <w:r>
              <w:rPr>
                <w:rFonts w:hint="eastAsia" w:ascii="宋体" w:hAnsi="宋体" w:eastAsia="宋体" w:cs="宋体"/>
                <w:sz w:val="22"/>
                <w:szCs w:val="22"/>
                <w:lang w:eastAsia="zh-CN"/>
              </w:rPr>
              <w:t>存储</w:t>
            </w:r>
            <w:r>
              <w:rPr>
                <w:rFonts w:hint="eastAsia" w:ascii="宋体" w:hAnsi="宋体" w:eastAsia="宋体" w:cs="宋体"/>
                <w:b/>
                <w:bCs/>
                <w:sz w:val="22"/>
                <w:szCs w:val="22"/>
              </w:rPr>
              <w:t>要求</w:t>
            </w:r>
          </w:p>
          <w:p w14:paraId="03BE8632">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rPr>
              <w:t>（1）格式</w:t>
            </w:r>
          </w:p>
          <w:p w14:paraId="4ECBDD54">
            <w:pPr>
              <w:pStyle w:val="24"/>
              <w:pageBreakBefore w:val="0"/>
              <w:widowControl w:val="0"/>
              <w:numPr>
                <w:ilvl w:val="0"/>
                <w:numId w:val="0"/>
              </w:numPr>
              <w:kinsoku/>
              <w:wordWrap/>
              <w:overflowPunct/>
              <w:topLinePunct w:val="0"/>
              <w:autoSpaceDE/>
              <w:autoSpaceDN/>
              <w:bidi w:val="0"/>
              <w:adjustRightInd/>
              <w:snapToGrid/>
              <w:spacing w:line="360" w:lineRule="auto"/>
              <w:ind w:left="920" w:leftChars="0" w:hanging="440" w:firstLineChars="0"/>
              <w:textAlignment w:val="auto"/>
              <w:rPr>
                <w:rFonts w:hint="eastAsia" w:ascii="宋体" w:hAnsi="宋体" w:eastAsia="宋体" w:cs="宋体"/>
                <w:sz w:val="22"/>
                <w:szCs w:val="22"/>
              </w:rPr>
            </w:pPr>
            <w:r>
              <w:rPr>
                <w:rFonts w:hint="eastAsia" w:ascii="宋体" w:hAnsi="宋体" w:eastAsia="宋体" w:cs="宋体"/>
                <w:sz w:val="22"/>
                <w:szCs w:val="22"/>
              </w:rPr>
              <w:t xml:space="preserve">图像文件应采用JPG格式记录车辆通行数据。 </w:t>
            </w:r>
          </w:p>
          <w:p w14:paraId="6D36C099">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rPr>
              <w:t>（2）数量</w:t>
            </w:r>
          </w:p>
          <w:p w14:paraId="5DAE4E11">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应</w:t>
            </w:r>
            <w:r>
              <w:rPr>
                <w:rFonts w:hint="eastAsia" w:ascii="宋体" w:hAnsi="宋体" w:eastAsia="宋体" w:cs="宋体"/>
                <w:sz w:val="22"/>
                <w:szCs w:val="22"/>
                <w:lang w:eastAsia="zh-CN"/>
              </w:rPr>
              <w:t>存储</w:t>
            </w:r>
            <w:r>
              <w:rPr>
                <w:rFonts w:hint="eastAsia" w:ascii="宋体" w:hAnsi="宋体" w:eastAsia="宋体" w:cs="宋体"/>
                <w:sz w:val="22"/>
                <w:szCs w:val="22"/>
              </w:rPr>
              <w:t>通行车辆的全景图像、特征图像、号牌图像各1张。当全景图像满足特征图像要求时，可</w:t>
            </w:r>
            <w:r>
              <w:rPr>
                <w:rFonts w:hint="eastAsia" w:ascii="宋体" w:hAnsi="宋体" w:eastAsia="宋体" w:cs="宋体"/>
                <w:sz w:val="22"/>
                <w:szCs w:val="22"/>
                <w:lang w:eastAsia="zh-CN"/>
              </w:rPr>
              <w:t>存储</w:t>
            </w:r>
            <w:r>
              <w:rPr>
                <w:rFonts w:hint="eastAsia" w:ascii="宋体" w:hAnsi="宋体" w:eastAsia="宋体" w:cs="宋体"/>
                <w:sz w:val="22"/>
                <w:szCs w:val="22"/>
              </w:rPr>
              <w:t>全景图像和号牌图像各1张。</w:t>
            </w:r>
          </w:p>
          <w:p w14:paraId="02C74490">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rPr>
              <w:t>（3）容量</w:t>
            </w:r>
          </w:p>
          <w:p w14:paraId="481E1A22">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应确保前端存</w:t>
            </w:r>
            <w:r>
              <w:rPr>
                <w:rFonts w:hint="eastAsia" w:ascii="宋体" w:hAnsi="宋体" w:eastAsia="宋体" w:cs="宋体"/>
                <w:sz w:val="22"/>
                <w:szCs w:val="22"/>
                <w:lang w:eastAsia="zh-CN"/>
              </w:rPr>
              <w:t>储</w:t>
            </w:r>
            <w:r>
              <w:rPr>
                <w:rFonts w:hint="eastAsia" w:ascii="宋体" w:hAnsi="宋体" w:eastAsia="宋体" w:cs="宋体"/>
                <w:sz w:val="22"/>
                <w:szCs w:val="22"/>
              </w:rPr>
              <w:t>通行车辆记录数不小于30万辆，当超出最大</w:t>
            </w:r>
            <w:r>
              <w:rPr>
                <w:rFonts w:hint="eastAsia" w:ascii="宋体" w:hAnsi="宋体" w:eastAsia="宋体" w:cs="宋体"/>
                <w:sz w:val="22"/>
                <w:szCs w:val="22"/>
                <w:lang w:eastAsia="zh-CN"/>
              </w:rPr>
              <w:t>存储容量</w:t>
            </w:r>
            <w:r>
              <w:rPr>
                <w:rFonts w:hint="eastAsia" w:ascii="宋体" w:hAnsi="宋体" w:eastAsia="宋体" w:cs="宋体"/>
                <w:sz w:val="22"/>
                <w:szCs w:val="22"/>
              </w:rPr>
              <w:t>时，自动对车辆信息和图片进行循环覆盖。</w:t>
            </w:r>
          </w:p>
          <w:p w14:paraId="2681A55B">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3.1.28</w:t>
            </w:r>
            <w:r>
              <w:rPr>
                <w:rFonts w:hint="eastAsia" w:ascii="宋体" w:hAnsi="宋体" w:eastAsia="宋体" w:cs="宋体"/>
                <w:b/>
                <w:bCs/>
                <w:sz w:val="22"/>
                <w:szCs w:val="22"/>
              </w:rPr>
              <w:t>数据传输</w:t>
            </w:r>
          </w:p>
          <w:p w14:paraId="6654B8A2">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通过网络</w:t>
            </w:r>
            <w:r>
              <w:rPr>
                <w:rFonts w:hint="eastAsia" w:ascii="宋体" w:hAnsi="宋体" w:eastAsia="宋体" w:cs="宋体"/>
                <w:sz w:val="22"/>
                <w:szCs w:val="22"/>
                <w:lang w:val="en-US" w:eastAsia="zh-CN"/>
              </w:rPr>
              <w:t>自动</w:t>
            </w:r>
            <w:r>
              <w:rPr>
                <w:rFonts w:hint="eastAsia" w:ascii="宋体" w:hAnsi="宋体" w:eastAsia="宋体" w:cs="宋体"/>
                <w:sz w:val="22"/>
                <w:szCs w:val="22"/>
              </w:rPr>
              <w:t>将车辆信息上传到</w:t>
            </w:r>
            <w:r>
              <w:rPr>
                <w:rFonts w:hint="eastAsia" w:ascii="宋体" w:hAnsi="宋体" w:eastAsia="宋体" w:cs="宋体"/>
                <w:sz w:val="22"/>
                <w:szCs w:val="22"/>
                <w:lang w:val="en-US" w:eastAsia="zh-CN"/>
              </w:rPr>
              <w:t>中山市公安</w:t>
            </w:r>
            <w:r>
              <w:rPr>
                <w:rFonts w:hint="eastAsia" w:ascii="宋体" w:hAnsi="宋体" w:eastAsia="宋体" w:cs="宋体"/>
                <w:sz w:val="22"/>
                <w:szCs w:val="22"/>
              </w:rPr>
              <w:t>局视频云。当网络或传输故障恢复时，系统应能自动上传未上传或上传错误的信息，且优先上传最新采集的信息。</w:t>
            </w:r>
          </w:p>
          <w:p w14:paraId="3B7F1581">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3.1.29</w:t>
            </w:r>
            <w:r>
              <w:rPr>
                <w:rFonts w:hint="eastAsia" w:ascii="宋体" w:hAnsi="宋体" w:eastAsia="宋体" w:cs="宋体"/>
                <w:b/>
                <w:bCs/>
                <w:sz w:val="22"/>
                <w:szCs w:val="22"/>
              </w:rPr>
              <w:t>运行状态管理</w:t>
            </w:r>
          </w:p>
          <w:p w14:paraId="50743A2E">
            <w:pPr>
              <w:pStyle w:val="24"/>
              <w:pageBreakBefore w:val="0"/>
              <w:widowControl w:val="0"/>
              <w:numPr>
                <w:ilvl w:val="0"/>
                <w:numId w:val="0"/>
              </w:numPr>
              <w:kinsoku/>
              <w:wordWrap/>
              <w:overflowPunct/>
              <w:topLinePunct w:val="0"/>
              <w:autoSpaceDE/>
              <w:autoSpaceDN/>
              <w:bidi w:val="0"/>
              <w:adjustRightInd/>
              <w:snapToGrid/>
              <w:spacing w:line="360" w:lineRule="auto"/>
              <w:ind w:left="920" w:leftChars="0" w:hanging="440" w:firstLineChars="0"/>
              <w:textAlignment w:val="auto"/>
              <w:rPr>
                <w:rFonts w:hint="eastAsia" w:ascii="宋体" w:hAnsi="宋体" w:eastAsia="宋体" w:cs="宋体"/>
                <w:sz w:val="22"/>
                <w:szCs w:val="22"/>
              </w:rPr>
            </w:pPr>
            <w:r>
              <w:rPr>
                <w:rFonts w:hint="eastAsia" w:ascii="宋体" w:hAnsi="宋体" w:eastAsia="宋体" w:cs="宋体"/>
                <w:sz w:val="22"/>
                <w:szCs w:val="22"/>
              </w:rPr>
              <w:t>系统应支持远程调取设备运行状态信息。</w:t>
            </w:r>
          </w:p>
          <w:p w14:paraId="0B910688">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3.1.30</w:t>
            </w:r>
            <w:r>
              <w:rPr>
                <w:rFonts w:hint="eastAsia" w:ascii="宋体" w:hAnsi="宋体" w:eastAsia="宋体" w:cs="宋体"/>
                <w:b/>
                <w:bCs/>
                <w:sz w:val="22"/>
                <w:szCs w:val="22"/>
              </w:rPr>
              <w:t>数据检索</w:t>
            </w:r>
          </w:p>
          <w:p w14:paraId="60CF1151">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系统应具备按车辆信息检索的功能，按不同权限对数据库进行操作，并提供模糊查询、数据备份和数据打印输出功能。</w:t>
            </w:r>
          </w:p>
          <w:p w14:paraId="3488DB67">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3.1.31</w:t>
            </w:r>
            <w:r>
              <w:rPr>
                <w:rFonts w:hint="eastAsia" w:ascii="宋体" w:hAnsi="宋体" w:eastAsia="宋体" w:cs="宋体"/>
                <w:b/>
                <w:bCs/>
                <w:sz w:val="22"/>
                <w:szCs w:val="22"/>
              </w:rPr>
              <w:t>流量统计</w:t>
            </w:r>
          </w:p>
          <w:p w14:paraId="1AFF5D5A">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系统应能够按车道和时段进行车辆流量、平均速度、车辆类型、 占有率、平均车头时距、平均排队长度、饱和度等数据</w:t>
            </w:r>
            <w:r>
              <w:rPr>
                <w:rFonts w:hint="eastAsia" w:ascii="宋体" w:hAnsi="宋体" w:eastAsia="宋体" w:cs="宋体"/>
                <w:sz w:val="22"/>
                <w:szCs w:val="22"/>
                <w:lang w:val="en-US" w:eastAsia="zh-CN"/>
              </w:rPr>
              <w:t>进行</w:t>
            </w:r>
            <w:r>
              <w:rPr>
                <w:rFonts w:hint="eastAsia" w:ascii="宋体" w:hAnsi="宋体" w:eastAsia="宋体" w:cs="宋体"/>
                <w:sz w:val="22"/>
                <w:szCs w:val="22"/>
              </w:rPr>
              <w:t>统计</w:t>
            </w:r>
            <w:r>
              <w:rPr>
                <w:rFonts w:hint="eastAsia" w:ascii="宋体" w:hAnsi="宋体" w:eastAsia="宋体" w:cs="宋体"/>
                <w:sz w:val="22"/>
                <w:szCs w:val="22"/>
                <w:lang w:eastAsia="zh-CN"/>
              </w:rPr>
              <w:t>，</w:t>
            </w:r>
            <w:r>
              <w:rPr>
                <w:rFonts w:hint="eastAsia" w:ascii="宋体" w:hAnsi="宋体" w:eastAsia="宋体" w:cs="宋体"/>
                <w:sz w:val="22"/>
                <w:szCs w:val="22"/>
              </w:rPr>
              <w:t>所有统计数据应支持以报表形式输出。</w:t>
            </w:r>
          </w:p>
          <w:p w14:paraId="2A93FDDC">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3.1.32</w:t>
            </w:r>
            <w:r>
              <w:rPr>
                <w:rFonts w:hint="eastAsia" w:ascii="宋体" w:hAnsi="宋体" w:eastAsia="宋体" w:cs="宋体"/>
                <w:b/>
                <w:bCs/>
                <w:sz w:val="22"/>
                <w:szCs w:val="22"/>
              </w:rPr>
              <w:t>同步补光</w:t>
            </w:r>
          </w:p>
          <w:p w14:paraId="3A5FABBA">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系统采用的补光灯应符合 GA/T 1202-2022《交通技术监控成像补光装置通用技术条件》规定。</w:t>
            </w:r>
          </w:p>
          <w:p w14:paraId="1C36036F">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3.1.33</w:t>
            </w:r>
            <w:r>
              <w:rPr>
                <w:rFonts w:hint="eastAsia" w:ascii="宋体" w:hAnsi="宋体" w:eastAsia="宋体" w:cs="宋体"/>
                <w:b/>
                <w:bCs/>
                <w:sz w:val="22"/>
                <w:szCs w:val="22"/>
              </w:rPr>
              <w:t>时钟同步与计时误差</w:t>
            </w:r>
          </w:p>
          <w:p w14:paraId="40A5EBCA">
            <w:pPr>
              <w:pStyle w:val="24"/>
              <w:pageBreakBefore w:val="0"/>
              <w:widowControl w:val="0"/>
              <w:numPr>
                <w:ilvl w:val="0"/>
                <w:numId w:val="0"/>
              </w:numPr>
              <w:kinsoku/>
              <w:wordWrap/>
              <w:overflowPunct/>
              <w:topLinePunct w:val="0"/>
              <w:autoSpaceDE/>
              <w:autoSpaceDN/>
              <w:bidi w:val="0"/>
              <w:adjustRightInd/>
              <w:snapToGrid/>
              <w:spacing w:line="360" w:lineRule="auto"/>
              <w:ind w:left="920" w:leftChars="0" w:hanging="440" w:firstLineChars="0"/>
              <w:textAlignment w:val="auto"/>
              <w:rPr>
                <w:rFonts w:hint="eastAsia" w:ascii="宋体" w:hAnsi="宋体" w:eastAsia="宋体" w:cs="宋体"/>
                <w:sz w:val="22"/>
                <w:szCs w:val="22"/>
              </w:rPr>
            </w:pPr>
            <w:r>
              <w:rPr>
                <w:rFonts w:hint="eastAsia" w:ascii="宋体" w:hAnsi="宋体" w:eastAsia="宋体" w:cs="宋体"/>
                <w:sz w:val="22"/>
                <w:szCs w:val="22"/>
              </w:rPr>
              <w:t>系统时间应与北京时间同步，24</w:t>
            </w:r>
            <w:r>
              <w:rPr>
                <w:rFonts w:hint="eastAsia" w:ascii="宋体" w:hAnsi="宋体" w:eastAsia="宋体" w:cs="宋体"/>
                <w:sz w:val="22"/>
                <w:szCs w:val="22"/>
                <w:lang w:val="en-US" w:eastAsia="zh-CN"/>
              </w:rPr>
              <w:t>小时</w:t>
            </w:r>
            <w:r>
              <w:rPr>
                <w:rFonts w:hint="eastAsia" w:ascii="宋体" w:hAnsi="宋体" w:eastAsia="宋体" w:cs="宋体"/>
                <w:sz w:val="22"/>
                <w:szCs w:val="22"/>
              </w:rPr>
              <w:t>误差应小于1</w:t>
            </w:r>
            <w:r>
              <w:rPr>
                <w:rFonts w:hint="eastAsia" w:ascii="宋体" w:hAnsi="宋体" w:eastAsia="宋体" w:cs="宋体"/>
                <w:sz w:val="22"/>
                <w:szCs w:val="22"/>
                <w:lang w:val="en-US" w:eastAsia="zh-CN"/>
              </w:rPr>
              <w:t>秒</w:t>
            </w:r>
            <w:r>
              <w:rPr>
                <w:rFonts w:hint="eastAsia" w:ascii="宋体" w:hAnsi="宋体" w:eastAsia="宋体" w:cs="宋体"/>
                <w:sz w:val="22"/>
                <w:szCs w:val="22"/>
              </w:rPr>
              <w:t>。</w:t>
            </w:r>
          </w:p>
          <w:p w14:paraId="782F8FFE">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3.1.34</w:t>
            </w:r>
            <w:r>
              <w:rPr>
                <w:rFonts w:hint="eastAsia" w:ascii="宋体" w:hAnsi="宋体" w:eastAsia="宋体" w:cs="宋体"/>
                <w:b/>
                <w:bCs/>
                <w:sz w:val="22"/>
                <w:szCs w:val="22"/>
              </w:rPr>
              <w:t>机动车电子标识读取与比对</w:t>
            </w:r>
          </w:p>
          <w:p w14:paraId="3F75CCAB">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对具备机动车电子标识识读功能的系统，应能自动比对图像中与电子标识中的号牌信息。</w:t>
            </w:r>
          </w:p>
          <w:p w14:paraId="4EF802A4">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lang w:val="en-US" w:eastAsia="zh-CN"/>
              </w:rPr>
            </w:pPr>
            <w:r>
              <w:rPr>
                <w:rFonts w:hint="eastAsia" w:ascii="宋体" w:hAnsi="宋体" w:eastAsia="宋体" w:cs="宋体"/>
                <w:b/>
                <w:bCs/>
                <w:kern w:val="2"/>
                <w:sz w:val="22"/>
                <w:szCs w:val="22"/>
                <w:lang w:val="en-US" w:eastAsia="zh-CN" w:bidi="ar-SA"/>
              </w:rPr>
              <w:t>3.1.35</w:t>
            </w:r>
            <w:r>
              <w:rPr>
                <w:rFonts w:hint="eastAsia" w:ascii="宋体" w:hAnsi="宋体" w:eastAsia="宋体" w:cs="宋体"/>
                <w:b/>
                <w:bCs/>
                <w:sz w:val="22"/>
                <w:szCs w:val="22"/>
              </w:rPr>
              <w:t>水平分辨率</w:t>
            </w:r>
            <w:r>
              <w:rPr>
                <w:rFonts w:hint="eastAsia" w:ascii="宋体" w:hAnsi="宋体" w:eastAsia="宋体" w:cs="宋体"/>
                <w:b/>
                <w:bCs/>
                <w:sz w:val="22"/>
                <w:szCs w:val="22"/>
                <w:lang w:val="en-US" w:eastAsia="zh-CN"/>
              </w:rPr>
              <w:t>要求</w:t>
            </w:r>
          </w:p>
          <w:p w14:paraId="2438E513">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成像装置水平分辨率</w:t>
            </w:r>
            <w:r>
              <w:rPr>
                <w:rFonts w:hint="eastAsia" w:ascii="宋体" w:hAnsi="宋体" w:eastAsia="宋体" w:cs="宋体"/>
                <w:sz w:val="22"/>
                <w:szCs w:val="22"/>
                <w:lang w:val="en-US" w:eastAsia="zh-CN"/>
              </w:rPr>
              <w:t>要求</w:t>
            </w:r>
            <w:r>
              <w:rPr>
                <w:rFonts w:hint="eastAsia" w:ascii="宋体" w:hAnsi="宋体" w:eastAsia="宋体" w:cs="宋体"/>
                <w:sz w:val="22"/>
                <w:szCs w:val="22"/>
              </w:rPr>
              <w:t>如下：</w:t>
            </w:r>
          </w:p>
          <w:p w14:paraId="66E533E1">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水平分辨率大于等于1600且小于2400个像素点，监控范围不超过同向2车道</w:t>
            </w:r>
            <w:r>
              <w:rPr>
                <w:rFonts w:hint="eastAsia" w:ascii="宋体" w:hAnsi="宋体" w:eastAsia="宋体" w:cs="宋体"/>
                <w:sz w:val="22"/>
                <w:szCs w:val="22"/>
                <w:lang w:eastAsia="zh-CN"/>
              </w:rPr>
              <w:t>。</w:t>
            </w:r>
          </w:p>
          <w:p w14:paraId="4BAC15B9">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水平分辨率大于等于2400且小于3200个像素点，监控范围不超过同向3车道</w:t>
            </w:r>
            <w:r>
              <w:rPr>
                <w:rFonts w:hint="eastAsia" w:ascii="宋体" w:hAnsi="宋体" w:eastAsia="宋体" w:cs="宋体"/>
                <w:sz w:val="22"/>
                <w:szCs w:val="22"/>
                <w:lang w:eastAsia="zh-CN"/>
              </w:rPr>
              <w:t>。</w:t>
            </w:r>
          </w:p>
          <w:p w14:paraId="2824E128">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(3)</w:t>
            </w:r>
            <w:r>
              <w:rPr>
                <w:rFonts w:hint="eastAsia" w:ascii="宋体" w:hAnsi="宋体" w:eastAsia="宋体" w:cs="宋体"/>
                <w:sz w:val="22"/>
                <w:szCs w:val="22"/>
              </w:rPr>
              <w:t>水平分辨率大于等于3200且小于4000个像素点，监控范围不超过同向4车道</w:t>
            </w:r>
            <w:r>
              <w:rPr>
                <w:rFonts w:hint="eastAsia" w:ascii="宋体" w:hAnsi="宋体" w:eastAsia="宋体" w:cs="宋体"/>
                <w:sz w:val="22"/>
                <w:szCs w:val="22"/>
                <w:lang w:eastAsia="zh-CN"/>
              </w:rPr>
              <w:t>。</w:t>
            </w:r>
          </w:p>
          <w:p w14:paraId="10FAB396">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(4)</w:t>
            </w:r>
            <w:r>
              <w:rPr>
                <w:rFonts w:hint="eastAsia" w:ascii="宋体" w:hAnsi="宋体" w:eastAsia="宋体" w:cs="宋体"/>
                <w:sz w:val="22"/>
                <w:szCs w:val="22"/>
              </w:rPr>
              <w:t>水平分辨率大于等于4000个像素点，监控范围可超过同向4车道。</w:t>
            </w:r>
          </w:p>
          <w:p w14:paraId="1D3568B9">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3.1.36</w:t>
            </w:r>
            <w:r>
              <w:rPr>
                <w:rFonts w:hint="eastAsia" w:ascii="宋体" w:hAnsi="宋体" w:eastAsia="宋体" w:cs="宋体"/>
                <w:b/>
                <w:bCs/>
                <w:sz w:val="22"/>
                <w:szCs w:val="22"/>
              </w:rPr>
              <w:t>水平扫描线</w:t>
            </w:r>
          </w:p>
          <w:p w14:paraId="6B1A2DA1">
            <w:pPr>
              <w:pStyle w:val="24"/>
              <w:pageBreakBefore w:val="0"/>
              <w:widowControl w:val="0"/>
              <w:numPr>
                <w:ilvl w:val="0"/>
                <w:numId w:val="0"/>
              </w:numPr>
              <w:kinsoku/>
              <w:wordWrap/>
              <w:overflowPunct/>
              <w:topLinePunct w:val="0"/>
              <w:autoSpaceDE/>
              <w:autoSpaceDN/>
              <w:bidi w:val="0"/>
              <w:adjustRightInd/>
              <w:snapToGrid/>
              <w:spacing w:line="360" w:lineRule="auto"/>
              <w:ind w:left="920" w:leftChars="0" w:hanging="440" w:firstLineChars="0"/>
              <w:textAlignment w:val="auto"/>
              <w:rPr>
                <w:rFonts w:hint="eastAsia" w:ascii="宋体" w:hAnsi="宋体" w:eastAsia="宋体" w:cs="宋体"/>
                <w:sz w:val="22"/>
                <w:szCs w:val="22"/>
              </w:rPr>
            </w:pPr>
            <w:r>
              <w:rPr>
                <w:rFonts w:hint="eastAsia" w:ascii="宋体" w:hAnsi="宋体" w:eastAsia="宋体" w:cs="宋体"/>
                <w:sz w:val="22"/>
                <w:szCs w:val="22"/>
              </w:rPr>
              <w:t>成像装置输出图像的视频中心水平扫描线应不小于800TVL。</w:t>
            </w:r>
          </w:p>
          <w:p w14:paraId="1C24E6FC">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3.1.37</w:t>
            </w:r>
            <w:r>
              <w:rPr>
                <w:rFonts w:hint="eastAsia" w:ascii="宋体" w:hAnsi="宋体" w:eastAsia="宋体" w:cs="宋体"/>
                <w:b/>
                <w:bCs/>
                <w:sz w:val="22"/>
                <w:szCs w:val="22"/>
              </w:rPr>
              <w:t>车身颜色还原性</w:t>
            </w:r>
          </w:p>
          <w:p w14:paraId="0D2B99F4">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成像装置的车身颜色还原性在6500k色温时平均色彩还原误差应不高于15，在其他色温时平均色彩还原误差应不高于20。</w:t>
            </w:r>
          </w:p>
          <w:p w14:paraId="0C774944">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3.1.38</w:t>
            </w:r>
            <w:r>
              <w:rPr>
                <w:rFonts w:hint="eastAsia" w:ascii="宋体" w:hAnsi="宋体" w:eastAsia="宋体" w:cs="宋体"/>
                <w:b/>
                <w:bCs/>
                <w:sz w:val="22"/>
                <w:szCs w:val="22"/>
              </w:rPr>
              <w:t>号牌最低照度</w:t>
            </w:r>
          </w:p>
          <w:p w14:paraId="3E7CE1DF">
            <w:pPr>
              <w:pStyle w:val="24"/>
              <w:pageBreakBefore w:val="0"/>
              <w:widowControl w:val="0"/>
              <w:numPr>
                <w:ilvl w:val="0"/>
                <w:numId w:val="0"/>
              </w:numPr>
              <w:kinsoku/>
              <w:wordWrap/>
              <w:overflowPunct/>
              <w:topLinePunct w:val="0"/>
              <w:autoSpaceDE/>
              <w:autoSpaceDN/>
              <w:bidi w:val="0"/>
              <w:adjustRightInd/>
              <w:snapToGrid/>
              <w:spacing w:line="360" w:lineRule="auto"/>
              <w:ind w:left="920" w:leftChars="0" w:hanging="440" w:firstLineChars="0"/>
              <w:textAlignment w:val="auto"/>
              <w:rPr>
                <w:rFonts w:hint="eastAsia" w:ascii="宋体" w:hAnsi="宋体" w:eastAsia="宋体" w:cs="宋体"/>
                <w:sz w:val="22"/>
                <w:szCs w:val="22"/>
              </w:rPr>
            </w:pPr>
            <w:r>
              <w:rPr>
                <w:rFonts w:hint="eastAsia" w:ascii="宋体" w:hAnsi="宋体" w:eastAsia="宋体" w:cs="宋体"/>
                <w:sz w:val="22"/>
                <w:szCs w:val="22"/>
              </w:rPr>
              <w:t>成像装置能分辨车辆号牌的最低照度应不高于0.5lux/F1.2。</w:t>
            </w:r>
          </w:p>
          <w:p w14:paraId="36A37F85">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3.1.39</w:t>
            </w:r>
            <w:r>
              <w:rPr>
                <w:rFonts w:hint="eastAsia" w:ascii="宋体" w:hAnsi="宋体" w:eastAsia="宋体" w:cs="宋体"/>
                <w:b/>
                <w:bCs/>
                <w:sz w:val="22"/>
                <w:szCs w:val="22"/>
              </w:rPr>
              <w:t>几何失真</w:t>
            </w:r>
          </w:p>
          <w:p w14:paraId="456A3293">
            <w:pPr>
              <w:pStyle w:val="24"/>
              <w:pageBreakBefore w:val="0"/>
              <w:widowControl w:val="0"/>
              <w:numPr>
                <w:ilvl w:val="0"/>
                <w:numId w:val="0"/>
              </w:numPr>
              <w:kinsoku/>
              <w:wordWrap/>
              <w:overflowPunct/>
              <w:topLinePunct w:val="0"/>
              <w:autoSpaceDE/>
              <w:autoSpaceDN/>
              <w:bidi w:val="0"/>
              <w:adjustRightInd/>
              <w:snapToGrid/>
              <w:spacing w:line="360" w:lineRule="auto"/>
              <w:ind w:left="920" w:leftChars="0" w:hanging="440" w:firstLineChars="0"/>
              <w:textAlignment w:val="auto"/>
              <w:rPr>
                <w:rFonts w:hint="eastAsia" w:ascii="宋体" w:hAnsi="宋体" w:eastAsia="宋体" w:cs="宋体"/>
                <w:sz w:val="22"/>
                <w:szCs w:val="22"/>
              </w:rPr>
            </w:pPr>
            <w:r>
              <w:rPr>
                <w:rFonts w:hint="eastAsia" w:ascii="宋体" w:hAnsi="宋体" w:eastAsia="宋体" w:cs="宋体"/>
                <w:sz w:val="22"/>
                <w:szCs w:val="22"/>
              </w:rPr>
              <w:t>成像装置的几何失真应小于等于5%。</w:t>
            </w:r>
          </w:p>
          <w:p w14:paraId="1D71AFA8">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3.1.40</w:t>
            </w:r>
            <w:r>
              <w:rPr>
                <w:rFonts w:hint="eastAsia" w:ascii="宋体" w:hAnsi="宋体" w:eastAsia="宋体" w:cs="宋体"/>
                <w:b/>
                <w:bCs/>
                <w:sz w:val="22"/>
                <w:szCs w:val="22"/>
              </w:rPr>
              <w:t>外部接口</w:t>
            </w:r>
          </w:p>
          <w:p w14:paraId="71525E0D">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成像装置应具备与外部设备连接的接口，包含RJ45接口、RS485/232接口、TTL电平或者IO输出接口，SD卡或者USB接口，其中RJ45网口不少于1个，RS485/232接口不少于1个，TTL电平或者IO输出接口不少于1个，SD卡或者USB接口不少于1个。</w:t>
            </w:r>
          </w:p>
          <w:p w14:paraId="15D8FF63">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3.1.41</w:t>
            </w:r>
            <w:r>
              <w:rPr>
                <w:rFonts w:hint="eastAsia" w:ascii="宋体" w:hAnsi="宋体" w:eastAsia="宋体" w:cs="宋体"/>
                <w:b/>
                <w:bCs/>
                <w:sz w:val="22"/>
                <w:szCs w:val="22"/>
              </w:rPr>
              <w:t>交通流信息采集功能</w:t>
            </w:r>
          </w:p>
          <w:p w14:paraId="0D05C6A4">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系统应能对监测区域内的每个行驶方向实现交通流信息采集，并自动记录交通流信息。采集的交通流信息数据必须满足交警支队的接入要求。</w:t>
            </w:r>
          </w:p>
          <w:p w14:paraId="44386D63">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交通流信息分为实时交通流信息和统计交通流信息。</w:t>
            </w:r>
          </w:p>
          <w:p w14:paraId="351434DB">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(3)</w:t>
            </w:r>
            <w:r>
              <w:rPr>
                <w:rFonts w:hint="eastAsia" w:ascii="宋体" w:hAnsi="宋体" w:eastAsia="宋体" w:cs="宋体"/>
                <w:sz w:val="22"/>
                <w:szCs w:val="22"/>
              </w:rPr>
              <w:t>实时交通流信息</w:t>
            </w:r>
            <w:r>
              <w:rPr>
                <w:rFonts w:hint="eastAsia" w:ascii="宋体" w:hAnsi="宋体" w:eastAsia="宋体" w:cs="宋体"/>
                <w:sz w:val="22"/>
                <w:szCs w:val="22"/>
                <w:lang w:val="en-US" w:eastAsia="zh-CN"/>
              </w:rPr>
              <w:t>应</w:t>
            </w:r>
            <w:r>
              <w:rPr>
                <w:rFonts w:hint="eastAsia" w:ascii="宋体" w:hAnsi="宋体" w:eastAsia="宋体" w:cs="宋体"/>
                <w:sz w:val="22"/>
                <w:szCs w:val="22"/>
              </w:rPr>
              <w:t>包括</w:t>
            </w:r>
            <w:r>
              <w:rPr>
                <w:rFonts w:hint="eastAsia" w:ascii="宋体" w:hAnsi="宋体" w:eastAsia="宋体" w:cs="宋体"/>
                <w:sz w:val="22"/>
                <w:szCs w:val="22"/>
                <w:lang w:val="en-US" w:eastAsia="zh-CN"/>
              </w:rPr>
              <w:t>但不限于</w:t>
            </w:r>
            <w:r>
              <w:rPr>
                <w:rFonts w:hint="eastAsia" w:ascii="宋体" w:hAnsi="宋体" w:eastAsia="宋体" w:cs="宋体"/>
                <w:sz w:val="22"/>
                <w:szCs w:val="22"/>
              </w:rPr>
              <w:t>车辆通行日期、时间、车速、车型等数据。</w:t>
            </w:r>
          </w:p>
          <w:p w14:paraId="3E64B605">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(4)</w:t>
            </w:r>
            <w:r>
              <w:rPr>
                <w:rFonts w:hint="eastAsia" w:ascii="宋体" w:hAnsi="宋体" w:eastAsia="宋体" w:cs="宋体"/>
                <w:sz w:val="22"/>
                <w:szCs w:val="22"/>
              </w:rPr>
              <w:t>统计交通流信息需要支持按轨迹和按车道两种统计方式。</w:t>
            </w:r>
          </w:p>
          <w:p w14:paraId="733F4A0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(5)</w:t>
            </w:r>
            <w:r>
              <w:rPr>
                <w:rFonts w:hint="eastAsia" w:ascii="宋体" w:hAnsi="宋体" w:eastAsia="宋体" w:cs="宋体"/>
                <w:sz w:val="22"/>
                <w:szCs w:val="22"/>
              </w:rPr>
              <w:t>按车道统计交通流信息如下：交通流量、饱和车速、加速时间、占有率、车型、车头时距、车辆穿越路口时间等交通流信息。</w:t>
            </w:r>
          </w:p>
          <w:p w14:paraId="7319423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(6)</w:t>
            </w:r>
            <w:r>
              <w:rPr>
                <w:rFonts w:hint="eastAsia" w:ascii="宋体" w:hAnsi="宋体" w:eastAsia="宋体" w:cs="宋体"/>
                <w:sz w:val="22"/>
                <w:szCs w:val="22"/>
              </w:rPr>
              <w:t>按轨迹统计交通信息如下：分别统计直行、左转、右转的交通流信息如交通流量、饱和车速、加速时间、占有率、车型、车头时距、车辆穿越路口时间等交通流信息。</w:t>
            </w:r>
          </w:p>
          <w:p w14:paraId="76F638B9">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(7)</w:t>
            </w:r>
            <w:r>
              <w:rPr>
                <w:rFonts w:hint="eastAsia" w:ascii="宋体" w:hAnsi="宋体" w:eastAsia="宋体" w:cs="宋体"/>
                <w:sz w:val="22"/>
                <w:szCs w:val="22"/>
              </w:rPr>
              <w:t>系统应能对采样的数据进行分析计算，交通流信息写入历史记录表，以供查询统计使用。采集周期可调控。</w:t>
            </w:r>
          </w:p>
          <w:p w14:paraId="5A6EF812">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(8)</w:t>
            </w:r>
            <w:r>
              <w:rPr>
                <w:rFonts w:hint="eastAsia" w:ascii="宋体" w:hAnsi="宋体" w:eastAsia="宋体" w:cs="宋体"/>
                <w:sz w:val="22"/>
                <w:szCs w:val="22"/>
              </w:rPr>
              <w:t>系统应至少能够区分摩托车、小型车、中型车、大型车等四种以上不同车辆类型。</w:t>
            </w:r>
          </w:p>
          <w:p w14:paraId="4E932052">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(9)</w:t>
            </w:r>
            <w:r>
              <w:rPr>
                <w:rFonts w:hint="eastAsia" w:ascii="宋体" w:hAnsi="宋体" w:eastAsia="宋体" w:cs="宋体"/>
                <w:sz w:val="22"/>
                <w:szCs w:val="22"/>
              </w:rPr>
              <w:t>车辆交通流信息数据经</w:t>
            </w:r>
            <w:r>
              <w:rPr>
                <w:rFonts w:hint="eastAsia" w:ascii="宋体" w:hAnsi="宋体" w:eastAsia="宋体" w:cs="宋体"/>
                <w:sz w:val="22"/>
                <w:szCs w:val="22"/>
                <w:lang w:val="en-US" w:eastAsia="zh-CN"/>
              </w:rPr>
              <w:t>翠亨新区</w:t>
            </w:r>
            <w:r>
              <w:rPr>
                <w:rFonts w:hint="eastAsia" w:ascii="宋体" w:hAnsi="宋体" w:eastAsia="宋体" w:cs="宋体"/>
                <w:sz w:val="22"/>
                <w:szCs w:val="22"/>
              </w:rPr>
              <w:t>交通技术监控系统平台实时上传中山市交通指挥控制集成平台。</w:t>
            </w:r>
          </w:p>
          <w:p w14:paraId="1D466DD1">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3.1.42</w:t>
            </w:r>
            <w:r>
              <w:rPr>
                <w:rFonts w:hint="eastAsia" w:ascii="宋体" w:hAnsi="宋体" w:eastAsia="宋体" w:cs="宋体"/>
                <w:b/>
                <w:bCs/>
                <w:sz w:val="22"/>
                <w:szCs w:val="22"/>
              </w:rPr>
              <w:t>自动校时功能</w:t>
            </w:r>
          </w:p>
          <w:p w14:paraId="3B655541">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系统应具有自动校时功能。一天24</w:t>
            </w:r>
            <w:r>
              <w:rPr>
                <w:rFonts w:hint="eastAsia" w:ascii="宋体" w:hAnsi="宋体" w:eastAsia="宋体" w:cs="宋体"/>
                <w:sz w:val="22"/>
                <w:szCs w:val="22"/>
                <w:lang w:val="en-US" w:eastAsia="zh-CN"/>
              </w:rPr>
              <w:t>小时</w:t>
            </w:r>
            <w:r>
              <w:rPr>
                <w:rFonts w:hint="eastAsia" w:ascii="宋体" w:hAnsi="宋体" w:eastAsia="宋体" w:cs="宋体"/>
                <w:sz w:val="22"/>
                <w:szCs w:val="22"/>
              </w:rPr>
              <w:t>内，系统设备的计时误差应不超过1.0</w:t>
            </w:r>
            <w:r>
              <w:rPr>
                <w:rFonts w:hint="eastAsia" w:ascii="宋体" w:hAnsi="宋体" w:eastAsia="宋体" w:cs="宋体"/>
                <w:sz w:val="22"/>
                <w:szCs w:val="22"/>
                <w:lang w:val="en-US" w:eastAsia="zh-CN"/>
              </w:rPr>
              <w:t>秒</w:t>
            </w:r>
            <w:r>
              <w:rPr>
                <w:rFonts w:hint="eastAsia" w:ascii="宋体" w:hAnsi="宋体" w:eastAsia="宋体" w:cs="宋体"/>
                <w:sz w:val="22"/>
                <w:szCs w:val="22"/>
              </w:rPr>
              <w:t>。系统能定时自动与系统中心管理平台的时间同步。每天应与系统中心管理平台进行至少一次设备时钟校准</w:t>
            </w:r>
            <w:r>
              <w:rPr>
                <w:rFonts w:hint="eastAsia" w:ascii="宋体" w:hAnsi="宋体" w:eastAsia="宋体" w:cs="宋体"/>
                <w:sz w:val="22"/>
                <w:szCs w:val="22"/>
                <w:lang w:eastAsia="zh-CN"/>
              </w:rPr>
              <w:t>，</w:t>
            </w:r>
            <w:r>
              <w:rPr>
                <w:rFonts w:hint="eastAsia" w:ascii="宋体" w:hAnsi="宋体" w:eastAsia="宋体" w:cs="宋体"/>
                <w:sz w:val="22"/>
                <w:szCs w:val="22"/>
              </w:rPr>
              <w:t>并应具有自动校时失败或异常时报警功能。</w:t>
            </w:r>
          </w:p>
          <w:p w14:paraId="34243390">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3.1.43</w:t>
            </w:r>
            <w:r>
              <w:rPr>
                <w:rFonts w:hint="eastAsia" w:ascii="宋体" w:hAnsi="宋体" w:eastAsia="宋体" w:cs="宋体"/>
                <w:b/>
                <w:bCs/>
                <w:sz w:val="22"/>
                <w:szCs w:val="22"/>
              </w:rPr>
              <w:t>数据存储功能</w:t>
            </w:r>
          </w:p>
          <w:p w14:paraId="2A50824A">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系统应能对所记录的交通违法信息、交通流信息、交通事件信息、运行状态信息、日志信息等进行存储，存储时间至少为7天。所存储的信息在保存7天后，</w:t>
            </w:r>
            <w:r>
              <w:rPr>
                <w:rFonts w:hint="eastAsia" w:ascii="宋体" w:hAnsi="宋体" w:eastAsia="宋体" w:cs="宋体"/>
                <w:sz w:val="22"/>
                <w:szCs w:val="22"/>
                <w:lang w:val="en-US" w:eastAsia="zh-CN"/>
              </w:rPr>
              <w:t>可</w:t>
            </w:r>
            <w:r>
              <w:rPr>
                <w:rFonts w:hint="eastAsia" w:ascii="宋体" w:hAnsi="宋体" w:eastAsia="宋体" w:cs="宋体"/>
                <w:sz w:val="22"/>
                <w:szCs w:val="22"/>
              </w:rPr>
              <w:t>自动被新的信息覆盖。</w:t>
            </w:r>
          </w:p>
          <w:p w14:paraId="57A6BE09">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3.1.44</w:t>
            </w:r>
            <w:r>
              <w:rPr>
                <w:rFonts w:hint="eastAsia" w:ascii="宋体" w:hAnsi="宋体" w:eastAsia="宋体" w:cs="宋体"/>
                <w:b/>
                <w:bCs/>
                <w:sz w:val="22"/>
                <w:szCs w:val="22"/>
              </w:rPr>
              <w:t>设备管理功能</w:t>
            </w:r>
          </w:p>
          <w:p w14:paraId="381D5E73">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rPr>
              <w:t>（1）系统应具有权限管理功能</w:t>
            </w:r>
          </w:p>
          <w:p w14:paraId="415A2F8B">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可</w:t>
            </w:r>
            <w:r>
              <w:rPr>
                <w:rFonts w:hint="eastAsia" w:ascii="宋体" w:hAnsi="宋体" w:eastAsia="宋体" w:cs="宋体"/>
                <w:sz w:val="22"/>
                <w:szCs w:val="22"/>
              </w:rPr>
              <w:t>针对不同对象分配不同类型的使用权限。支持分级用户管理和权限细分，支持不同级别用户访问权限限制。</w:t>
            </w:r>
          </w:p>
          <w:p w14:paraId="3A5FAFE3">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rPr>
              <w:t>（2）系统应具有远程参数设置功能</w:t>
            </w:r>
          </w:p>
          <w:p w14:paraId="39B6D92C">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可在系统中心管理平台对指定前端设备进行参数远程</w:t>
            </w:r>
            <w:r>
              <w:rPr>
                <w:rFonts w:hint="eastAsia" w:ascii="宋体" w:hAnsi="宋体" w:eastAsia="宋体" w:cs="宋体"/>
                <w:sz w:val="22"/>
                <w:szCs w:val="22"/>
                <w:lang w:val="en-US" w:eastAsia="zh-CN"/>
              </w:rPr>
              <w:t>设置，</w:t>
            </w:r>
            <w:r>
              <w:rPr>
                <w:rFonts w:hint="eastAsia" w:ascii="宋体" w:hAnsi="宋体" w:eastAsia="宋体" w:cs="宋体"/>
                <w:sz w:val="22"/>
                <w:szCs w:val="22"/>
              </w:rPr>
              <w:t>设置的参数</w:t>
            </w:r>
            <w:r>
              <w:rPr>
                <w:rFonts w:hint="eastAsia" w:ascii="宋体" w:hAnsi="宋体" w:eastAsia="宋体" w:cs="宋体"/>
                <w:sz w:val="22"/>
                <w:szCs w:val="22"/>
                <w:lang w:val="en-US" w:eastAsia="zh-CN"/>
              </w:rPr>
              <w:t>应</w:t>
            </w:r>
            <w:r>
              <w:rPr>
                <w:rFonts w:hint="eastAsia" w:ascii="宋体" w:hAnsi="宋体" w:eastAsia="宋体" w:cs="宋体"/>
                <w:sz w:val="22"/>
                <w:szCs w:val="22"/>
              </w:rPr>
              <w:t>有设备信息、设备参数、传输参数以及网络IP地址等。</w:t>
            </w:r>
          </w:p>
          <w:p w14:paraId="47D410DF">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rPr>
              <w:t>（3）系统应具有自动检测及报警功能</w:t>
            </w:r>
          </w:p>
          <w:p w14:paraId="5724C9D3">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可</w:t>
            </w:r>
            <w:r>
              <w:rPr>
                <w:rFonts w:hint="eastAsia" w:ascii="宋体" w:hAnsi="宋体" w:eastAsia="宋体" w:cs="宋体"/>
                <w:sz w:val="22"/>
                <w:szCs w:val="22"/>
              </w:rPr>
              <w:t>自动监测系统主要设备和运行软件的工作状态</w:t>
            </w:r>
            <w:r>
              <w:rPr>
                <w:rFonts w:hint="eastAsia" w:ascii="宋体" w:hAnsi="宋体" w:eastAsia="宋体" w:cs="宋体"/>
                <w:sz w:val="22"/>
                <w:szCs w:val="22"/>
                <w:lang w:eastAsia="zh-CN"/>
              </w:rPr>
              <w:t>，</w:t>
            </w:r>
            <w:r>
              <w:rPr>
                <w:rFonts w:hint="eastAsia" w:ascii="宋体" w:hAnsi="宋体" w:eastAsia="宋体" w:cs="宋体"/>
                <w:sz w:val="22"/>
                <w:szCs w:val="22"/>
              </w:rPr>
              <w:t>能通过软硬件自动检测系统设备故障并恢复正常工作，能自动侦错报错。具有断电自动重启动</w:t>
            </w:r>
            <w:r>
              <w:rPr>
                <w:rFonts w:hint="eastAsia" w:ascii="宋体" w:hAnsi="宋体" w:eastAsia="宋体" w:cs="宋体"/>
                <w:sz w:val="22"/>
                <w:szCs w:val="22"/>
                <w:lang w:val="en-US" w:eastAsia="zh-CN"/>
              </w:rPr>
              <w:t>功能</w:t>
            </w:r>
            <w:r>
              <w:rPr>
                <w:rFonts w:hint="eastAsia" w:ascii="宋体" w:hAnsi="宋体" w:eastAsia="宋体" w:cs="宋体"/>
                <w:sz w:val="22"/>
                <w:szCs w:val="22"/>
              </w:rPr>
              <w:t>。能自动向系统中心管理平台发送故障信息并报警。检测并上报的运行状况信息</w:t>
            </w:r>
            <w:r>
              <w:rPr>
                <w:rFonts w:hint="eastAsia" w:ascii="宋体" w:hAnsi="宋体" w:eastAsia="宋体" w:cs="宋体"/>
                <w:sz w:val="22"/>
                <w:szCs w:val="22"/>
                <w:lang w:val="en-US" w:eastAsia="zh-CN"/>
              </w:rPr>
              <w:t>应</w:t>
            </w:r>
            <w:r>
              <w:rPr>
                <w:rFonts w:hint="eastAsia" w:ascii="宋体" w:hAnsi="宋体" w:eastAsia="宋体" w:cs="宋体"/>
                <w:sz w:val="22"/>
                <w:szCs w:val="22"/>
              </w:rPr>
              <w:t>包括</w:t>
            </w:r>
            <w:r>
              <w:rPr>
                <w:rFonts w:hint="eastAsia" w:ascii="宋体" w:hAnsi="宋体" w:eastAsia="宋体" w:cs="宋体"/>
                <w:sz w:val="22"/>
                <w:szCs w:val="22"/>
                <w:lang w:val="en-US" w:eastAsia="zh-CN"/>
              </w:rPr>
              <w:t>但不限于</w:t>
            </w:r>
            <w:r>
              <w:rPr>
                <w:rFonts w:hint="eastAsia" w:ascii="宋体" w:hAnsi="宋体" w:eastAsia="宋体" w:cs="宋体"/>
                <w:sz w:val="22"/>
                <w:szCs w:val="22"/>
              </w:rPr>
              <w:t>：正常、建设中、维修中、网络不通、远程服务故障、摄像设备故障、检测设备故障、辅助照明设备异常等，且上报检测故障时间应</w:t>
            </w:r>
            <w:r>
              <w:rPr>
                <w:rFonts w:hint="eastAsia" w:ascii="宋体" w:hAnsi="宋体" w:eastAsia="宋体" w:cs="宋体"/>
                <w:sz w:val="22"/>
                <w:szCs w:val="22"/>
                <w:lang w:val="en-US" w:eastAsia="zh-CN"/>
              </w:rPr>
              <w:t>不</w:t>
            </w:r>
            <w:r>
              <w:rPr>
                <w:rFonts w:hint="eastAsia" w:ascii="宋体" w:hAnsi="宋体" w:eastAsia="宋体" w:cs="宋体"/>
                <w:sz w:val="22"/>
                <w:szCs w:val="22"/>
              </w:rPr>
              <w:t>大于60秒。</w:t>
            </w:r>
          </w:p>
          <w:p w14:paraId="0FD49D8D">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rPr>
              <w:t>（4）系统应具有日志记录功能</w:t>
            </w:r>
          </w:p>
          <w:p w14:paraId="76A8EF9A">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可</w:t>
            </w:r>
            <w:r>
              <w:rPr>
                <w:rFonts w:hint="eastAsia" w:ascii="宋体" w:hAnsi="宋体" w:eastAsia="宋体" w:cs="宋体"/>
                <w:sz w:val="22"/>
                <w:szCs w:val="22"/>
              </w:rPr>
              <w:t>自动记录用户操作日志、运行状况日志、网络状态日志等，还能记录因设备或者网络状态改变（重启、或者重新连接）、主要软件发生重启或故障等事件日志。</w:t>
            </w:r>
          </w:p>
          <w:p w14:paraId="1B16FAD9">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rPr>
              <w:t>（5）系统应具有远程重启设置功能</w:t>
            </w:r>
          </w:p>
          <w:p w14:paraId="49142630">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可在监控系统管理平台对指定前端设备进行远程重启设置。</w:t>
            </w:r>
          </w:p>
          <w:p w14:paraId="599EDA7B">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rPr>
              <w:t>（6）前端控制机具有防盗功能</w:t>
            </w:r>
          </w:p>
          <w:p w14:paraId="3CF5E557">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应采用防护等级IP66</w:t>
            </w:r>
            <w:r>
              <w:rPr>
                <w:rFonts w:hint="eastAsia" w:ascii="宋体" w:hAnsi="宋体" w:eastAsia="宋体" w:cs="宋体"/>
                <w:sz w:val="22"/>
                <w:szCs w:val="22"/>
                <w:lang w:val="en-US" w:eastAsia="zh-CN"/>
              </w:rPr>
              <w:t>及</w:t>
            </w:r>
            <w:r>
              <w:rPr>
                <w:rFonts w:hint="eastAsia" w:ascii="宋体" w:hAnsi="宋体" w:eastAsia="宋体" w:cs="宋体"/>
                <w:sz w:val="22"/>
                <w:szCs w:val="22"/>
              </w:rPr>
              <w:t>以上</w:t>
            </w:r>
            <w:r>
              <w:rPr>
                <w:rFonts w:hint="eastAsia" w:ascii="宋体" w:hAnsi="宋体" w:eastAsia="宋体" w:cs="宋体"/>
                <w:sz w:val="22"/>
                <w:szCs w:val="22"/>
                <w:lang w:val="en-US" w:eastAsia="zh-CN"/>
              </w:rPr>
              <w:t>的</w:t>
            </w:r>
            <w:r>
              <w:rPr>
                <w:rFonts w:hint="eastAsia" w:ascii="宋体" w:hAnsi="宋体" w:eastAsia="宋体" w:cs="宋体"/>
                <w:sz w:val="22"/>
                <w:szCs w:val="22"/>
              </w:rPr>
              <w:t>特制机箱，能有效防止暴力破坏。机箱应具有防盗报警功能，当机箱受到外力破坏时，前端监控球机</w:t>
            </w:r>
            <w:r>
              <w:rPr>
                <w:rFonts w:hint="eastAsia" w:ascii="宋体" w:hAnsi="宋体" w:eastAsia="宋体" w:cs="宋体"/>
                <w:sz w:val="22"/>
                <w:szCs w:val="22"/>
                <w:lang w:val="en-US" w:eastAsia="zh-CN"/>
              </w:rPr>
              <w:t>可</w:t>
            </w:r>
            <w:r>
              <w:rPr>
                <w:rFonts w:hint="eastAsia" w:ascii="宋体" w:hAnsi="宋体" w:eastAsia="宋体" w:cs="宋体"/>
                <w:sz w:val="22"/>
                <w:szCs w:val="22"/>
              </w:rPr>
              <w:t>进行视频录像。</w:t>
            </w:r>
          </w:p>
          <w:p w14:paraId="7EBB9588">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3.1.45</w:t>
            </w:r>
            <w:r>
              <w:rPr>
                <w:rFonts w:hint="eastAsia" w:ascii="宋体" w:hAnsi="宋体" w:eastAsia="宋体" w:cs="宋体"/>
                <w:b/>
                <w:bCs/>
                <w:sz w:val="22"/>
                <w:szCs w:val="22"/>
              </w:rPr>
              <w:t>实时视频监控功能</w:t>
            </w:r>
          </w:p>
          <w:p w14:paraId="6BB78F33">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系统</w:t>
            </w:r>
            <w:r>
              <w:rPr>
                <w:rFonts w:hint="eastAsia" w:ascii="宋体" w:hAnsi="宋体" w:eastAsia="宋体" w:cs="宋体"/>
                <w:sz w:val="22"/>
                <w:szCs w:val="22"/>
                <w:lang w:val="en-US" w:eastAsia="zh-CN"/>
              </w:rPr>
              <w:t>可</w:t>
            </w:r>
            <w:r>
              <w:rPr>
                <w:rFonts w:hint="eastAsia" w:ascii="宋体" w:hAnsi="宋体" w:eastAsia="宋体" w:cs="宋体"/>
                <w:sz w:val="22"/>
                <w:szCs w:val="22"/>
              </w:rPr>
              <w:t>对监测区域内的点位实现实时视频监控，并自动记录交通视频信息。</w:t>
            </w:r>
          </w:p>
          <w:p w14:paraId="3E77260A">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lang w:val="en-US" w:eastAsia="zh-CN"/>
              </w:rPr>
              <w:t>可</w:t>
            </w:r>
            <w:r>
              <w:rPr>
                <w:rFonts w:hint="eastAsia" w:ascii="宋体" w:hAnsi="宋体" w:eastAsia="宋体" w:cs="宋体"/>
                <w:sz w:val="22"/>
                <w:szCs w:val="22"/>
              </w:rPr>
              <w:t>对交通视频信息实现实时预览、录像、回放等功能。</w:t>
            </w:r>
          </w:p>
          <w:p w14:paraId="14233589">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(3)</w:t>
            </w:r>
            <w:r>
              <w:rPr>
                <w:rFonts w:hint="eastAsia" w:ascii="宋体" w:hAnsi="宋体" w:eastAsia="宋体" w:cs="宋体"/>
                <w:sz w:val="22"/>
                <w:szCs w:val="22"/>
              </w:rPr>
              <w:t>可实现手动录像、连续录像、定时录像、动态录像、事件录像、联动报警录像等多种录像方式</w:t>
            </w:r>
            <w:r>
              <w:rPr>
                <w:rFonts w:hint="eastAsia" w:ascii="宋体" w:hAnsi="宋体" w:eastAsia="宋体" w:cs="宋体"/>
                <w:sz w:val="22"/>
                <w:szCs w:val="22"/>
                <w:lang w:eastAsia="zh-CN"/>
              </w:rPr>
              <w:t>。</w:t>
            </w:r>
          </w:p>
          <w:p w14:paraId="40FD7EAF">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(4)</w:t>
            </w:r>
            <w:r>
              <w:rPr>
                <w:rFonts w:hint="eastAsia" w:ascii="宋体" w:hAnsi="宋体" w:eastAsia="宋体" w:cs="宋体"/>
                <w:sz w:val="22"/>
                <w:szCs w:val="22"/>
              </w:rPr>
              <w:t>可实现逐帧回放，快速播放，慢速播放，常规播放。</w:t>
            </w:r>
          </w:p>
          <w:p w14:paraId="79B8C69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(5)</w:t>
            </w:r>
            <w:r>
              <w:rPr>
                <w:rFonts w:hint="eastAsia" w:ascii="宋体" w:hAnsi="宋体" w:eastAsia="宋体" w:cs="宋体"/>
                <w:sz w:val="22"/>
                <w:szCs w:val="22"/>
              </w:rPr>
              <w:t>支持录像回放抓拍功能：录像回放时发现交通违法行为可进行图片抓拍，导出交通违法信息。</w:t>
            </w:r>
          </w:p>
          <w:p w14:paraId="19FCD8E8">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(6)</w:t>
            </w:r>
            <w:r>
              <w:rPr>
                <w:rFonts w:hint="eastAsia" w:ascii="宋体" w:hAnsi="宋体" w:eastAsia="宋体" w:cs="宋体"/>
                <w:sz w:val="22"/>
                <w:szCs w:val="22"/>
              </w:rPr>
              <w:t>视频图像质量要求达到DB11/T384.5评价方法所规定</w:t>
            </w:r>
            <w:r>
              <w:rPr>
                <w:rFonts w:hint="eastAsia" w:ascii="宋体" w:hAnsi="宋体" w:eastAsia="宋体" w:cs="宋体"/>
                <w:sz w:val="22"/>
                <w:szCs w:val="22"/>
                <w:lang w:val="en-US" w:eastAsia="zh-CN"/>
              </w:rPr>
              <w:t>的</w:t>
            </w:r>
            <w:r>
              <w:rPr>
                <w:rFonts w:hint="eastAsia" w:ascii="宋体" w:hAnsi="宋体" w:eastAsia="宋体" w:cs="宋体"/>
                <w:sz w:val="22"/>
                <w:szCs w:val="22"/>
              </w:rPr>
              <w:t>“优”等水平。</w:t>
            </w:r>
          </w:p>
          <w:p w14:paraId="41D89BBF">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(7)</w:t>
            </w:r>
            <w:r>
              <w:rPr>
                <w:rFonts w:hint="eastAsia" w:ascii="宋体" w:hAnsi="宋体" w:eastAsia="宋体" w:cs="宋体"/>
                <w:sz w:val="22"/>
                <w:szCs w:val="22"/>
              </w:rPr>
              <w:t>视频信号格式与编码按照DB11/T384.2采用H.265或MEPG4的图像编码格式。</w:t>
            </w:r>
          </w:p>
          <w:p w14:paraId="5300CDB7">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kern w:val="2"/>
                <w:sz w:val="22"/>
                <w:szCs w:val="22"/>
                <w:lang w:val="en-US" w:eastAsia="zh-CN" w:bidi="ar-SA"/>
              </w:rPr>
              <w:t>(8)</w:t>
            </w:r>
            <w:r>
              <w:rPr>
                <w:rFonts w:hint="eastAsia" w:ascii="宋体" w:hAnsi="宋体" w:eastAsia="宋体" w:cs="宋体"/>
                <w:sz w:val="22"/>
                <w:szCs w:val="22"/>
              </w:rPr>
              <w:t>视频图像输出分辨率不</w:t>
            </w:r>
            <w:r>
              <w:rPr>
                <w:rFonts w:hint="eastAsia" w:ascii="宋体" w:hAnsi="宋体" w:eastAsia="宋体" w:cs="宋体"/>
                <w:sz w:val="22"/>
                <w:szCs w:val="22"/>
                <w:lang w:val="en-US" w:eastAsia="zh-CN"/>
              </w:rPr>
              <w:t>小</w:t>
            </w:r>
            <w:r>
              <w:rPr>
                <w:rFonts w:hint="eastAsia" w:ascii="宋体" w:hAnsi="宋体" w:eastAsia="宋体" w:cs="宋体"/>
                <w:sz w:val="22"/>
                <w:szCs w:val="22"/>
              </w:rPr>
              <w:t>于1920×1080像素点，帧率不低于25fps。</w:t>
            </w:r>
          </w:p>
        </w:tc>
        <w:tc>
          <w:tcPr>
            <w:tcW w:w="1208" w:type="dxa"/>
          </w:tcPr>
          <w:p w14:paraId="6CAC1556">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6BB1A5FB">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4355863F">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16E1D6D0">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40EADAC8">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3CF358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0" w:type="dxa"/>
            <w:vAlign w:val="center"/>
          </w:tcPr>
          <w:p w14:paraId="36DD9414">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val="0"/>
                <w:bCs w:val="0"/>
                <w:color w:val="auto"/>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660" w:type="dxa"/>
          </w:tcPr>
          <w:p w14:paraId="19254D4E">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3C80B5A7">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30D31226">
            <w:pPr>
              <w:pStyle w:val="7"/>
              <w:pageBreakBefore w:val="0"/>
              <w:widowControl w:val="0"/>
              <w:numPr>
                <w:ilvl w:val="3"/>
                <w:numId w:val="0"/>
              </w:numPr>
              <w:kinsoku/>
              <w:wordWrap/>
              <w:overflowPunct/>
              <w:topLinePunct w:val="0"/>
              <w:autoSpaceDE/>
              <w:autoSpaceDN/>
              <w:bidi w:val="0"/>
              <w:adjustRightInd/>
              <w:snapToGrid/>
              <w:spacing w:before="0" w:beforeLines="0" w:after="0" w:afterLines="0" w:line="360" w:lineRule="auto"/>
              <w:ind w:leftChars="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3.2</w:t>
            </w:r>
            <w:r>
              <w:rPr>
                <w:rFonts w:hint="eastAsia" w:ascii="宋体" w:hAnsi="宋体" w:eastAsia="宋体" w:cs="宋体"/>
                <w:b/>
                <w:bCs/>
                <w:sz w:val="22"/>
                <w:szCs w:val="22"/>
              </w:rPr>
              <w:t>反向卡口抓拍系统</w:t>
            </w:r>
          </w:p>
          <w:p w14:paraId="6D342CC3">
            <w:pPr>
              <w:pStyle w:val="5"/>
              <w:pageBreakBefore w:val="0"/>
              <w:widowControl w:val="0"/>
              <w:numPr>
                <w:ilvl w:val="2"/>
                <w:numId w:val="0"/>
              </w:numPr>
              <w:kinsoku/>
              <w:wordWrap/>
              <w:overflowPunct/>
              <w:topLinePunct w:val="0"/>
              <w:autoSpaceDE/>
              <w:autoSpaceDN/>
              <w:bidi w:val="0"/>
              <w:adjustRightInd/>
              <w:snapToGrid/>
              <w:spacing w:before="0" w:beforeLines="0" w:after="0" w:afterLines="0" w:line="360" w:lineRule="auto"/>
              <w:ind w:leftChars="0"/>
              <w:textAlignment w:val="auto"/>
              <w:rPr>
                <w:rFonts w:hint="eastAsia" w:ascii="宋体" w:hAnsi="宋体" w:eastAsia="宋体" w:cs="宋体"/>
                <w:b w:val="0"/>
                <w:kern w:val="2"/>
                <w:sz w:val="22"/>
                <w:szCs w:val="22"/>
                <w:lang w:val="en-US" w:eastAsia="zh-CN" w:bidi="ar-SA"/>
              </w:rPr>
            </w:pPr>
            <w:r>
              <w:rPr>
                <w:rFonts w:hint="eastAsia" w:ascii="宋体" w:hAnsi="宋体" w:eastAsia="宋体" w:cs="宋体"/>
                <w:b/>
                <w:bCs/>
                <w:kern w:val="2"/>
                <w:sz w:val="22"/>
                <w:szCs w:val="22"/>
                <w:lang w:val="en-US" w:eastAsia="zh-CN" w:bidi="ar-SA"/>
              </w:rPr>
              <w:t>3.2.1总体要求</w:t>
            </w:r>
          </w:p>
          <w:p w14:paraId="04C56CE7">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反向卡口高清检测抓拍系统采用高清检测抓拍摄像机对行驶通过监测区域内的车辆进行检测，利用视频检测提高捕获率。通过前端管理主机自动识别出通过车辆的号牌；对行驶通过监测区域内的车辆进行车辆通行卡口信息记录；对车辆通过监测区域过程进行分析，自动抓拍交通违法行为，并自动记录机动车交通违法信息。系统前端应能实现机动车号牌自动识别、交通违法行为记录、交通流量统计、实时视频监控、数据存储、数据传输、自动校时、光线自适应、设备管理等功能</w:t>
            </w:r>
            <w:r>
              <w:rPr>
                <w:rFonts w:hint="eastAsia" w:ascii="宋体" w:hAnsi="宋体" w:eastAsia="宋体" w:cs="宋体"/>
                <w:sz w:val="22"/>
                <w:szCs w:val="22"/>
                <w:lang w:eastAsia="zh-CN"/>
              </w:rPr>
              <w:t>，</w:t>
            </w:r>
            <w:r>
              <w:rPr>
                <w:rFonts w:hint="eastAsia" w:ascii="宋体" w:hAnsi="宋体" w:eastAsia="宋体" w:cs="宋体"/>
                <w:sz w:val="22"/>
                <w:szCs w:val="22"/>
              </w:rPr>
              <w:t>并通过网络传输系统实时或定时向系统中心管理平台自动传输所有数据信息。</w:t>
            </w:r>
          </w:p>
          <w:p w14:paraId="28324C41">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3.2.2</w:t>
            </w:r>
            <w:r>
              <w:rPr>
                <w:rFonts w:hint="eastAsia" w:ascii="宋体" w:hAnsi="宋体" w:eastAsia="宋体" w:cs="宋体"/>
                <w:b/>
                <w:bCs/>
                <w:sz w:val="22"/>
                <w:szCs w:val="22"/>
              </w:rPr>
              <w:t>系统功能要求</w:t>
            </w:r>
          </w:p>
          <w:p w14:paraId="300464BC">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rPr>
              <w:t>（1）车辆通行信息记录功能（卡口功能）</w:t>
            </w:r>
          </w:p>
          <w:p w14:paraId="145F7309">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系统应能对行驶通过监测区域内的车辆进行检测，并自动记录车辆通行信息。</w:t>
            </w:r>
          </w:p>
          <w:p w14:paraId="3F45E265">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①</w:t>
            </w:r>
            <w:r>
              <w:rPr>
                <w:rFonts w:hint="eastAsia" w:ascii="宋体" w:hAnsi="宋体" w:eastAsia="宋体" w:cs="宋体"/>
                <w:sz w:val="22"/>
                <w:szCs w:val="22"/>
              </w:rPr>
              <w:t>系统应记录通行车辆至少两张车辆前部全景图像。</w:t>
            </w:r>
          </w:p>
          <w:p w14:paraId="4CB3CEB9">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②</w:t>
            </w:r>
            <w:r>
              <w:rPr>
                <w:rFonts w:hint="eastAsia" w:ascii="宋体" w:hAnsi="宋体" w:eastAsia="宋体" w:cs="宋体"/>
                <w:sz w:val="22"/>
                <w:szCs w:val="22"/>
              </w:rPr>
              <w:t>系统记录的车辆通行信息除包含图像信息外，还应包括文本信息，如通行日期、时间、地点、方向、车道号、图像记录设备编号、号牌号码、号牌颜色、车型、防伪等信息。</w:t>
            </w:r>
          </w:p>
          <w:p w14:paraId="0C959D1D">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③</w:t>
            </w:r>
            <w:r>
              <w:rPr>
                <w:rFonts w:hint="eastAsia" w:ascii="宋体" w:hAnsi="宋体" w:eastAsia="宋体" w:cs="宋体"/>
                <w:sz w:val="22"/>
                <w:szCs w:val="22"/>
              </w:rPr>
              <w:t>车辆通行信息写入关联数据库，并应将相关文本信息叠加到图片上。</w:t>
            </w:r>
          </w:p>
          <w:p w14:paraId="7A9E09C7">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④</w:t>
            </w:r>
            <w:r>
              <w:rPr>
                <w:rFonts w:hint="eastAsia" w:ascii="宋体" w:hAnsi="宋体" w:eastAsia="宋体" w:cs="宋体"/>
                <w:sz w:val="22"/>
                <w:szCs w:val="22"/>
              </w:rPr>
              <w:t>系统记录的车辆图像应不受雨、雪、雾等天气</w:t>
            </w:r>
            <w:r>
              <w:rPr>
                <w:rFonts w:hint="eastAsia" w:ascii="宋体" w:hAnsi="宋体" w:eastAsia="宋体" w:cs="宋体"/>
                <w:sz w:val="22"/>
                <w:szCs w:val="22"/>
                <w:lang w:val="en-US" w:eastAsia="zh-CN"/>
              </w:rPr>
              <w:t>条件</w:t>
            </w:r>
            <w:r>
              <w:rPr>
                <w:rFonts w:hint="eastAsia" w:ascii="宋体" w:hAnsi="宋体" w:eastAsia="宋体" w:cs="宋体"/>
                <w:sz w:val="22"/>
                <w:szCs w:val="22"/>
              </w:rPr>
              <w:t>、环境光</w:t>
            </w:r>
            <w:r>
              <w:rPr>
                <w:rFonts w:hint="eastAsia" w:ascii="宋体" w:hAnsi="宋体" w:eastAsia="宋体" w:cs="宋体"/>
                <w:sz w:val="22"/>
                <w:szCs w:val="22"/>
                <w:lang w:val="en-US" w:eastAsia="zh-CN"/>
              </w:rPr>
              <w:t>线</w:t>
            </w:r>
            <w:r>
              <w:rPr>
                <w:rFonts w:hint="eastAsia" w:ascii="宋体" w:hAnsi="宋体" w:eastAsia="宋体" w:cs="宋体"/>
                <w:sz w:val="22"/>
                <w:szCs w:val="22"/>
              </w:rPr>
              <w:t>和</w:t>
            </w:r>
            <w:r>
              <w:rPr>
                <w:rFonts w:hint="eastAsia" w:ascii="宋体" w:hAnsi="宋体" w:eastAsia="宋体" w:cs="宋体"/>
                <w:sz w:val="22"/>
                <w:szCs w:val="22"/>
                <w:lang w:eastAsia="zh-CN"/>
              </w:rPr>
              <w:t>相邻</w:t>
            </w:r>
            <w:r>
              <w:rPr>
                <w:rFonts w:hint="eastAsia" w:ascii="宋体" w:hAnsi="宋体" w:eastAsia="宋体" w:cs="宋体"/>
                <w:sz w:val="22"/>
                <w:szCs w:val="22"/>
              </w:rPr>
              <w:t>车道通行车辆的影响出现误记录。记录的图片应能清晰看清车辆后部所有特征，还应能看清车辆类型、颜色等。</w:t>
            </w:r>
          </w:p>
          <w:p w14:paraId="6D756CD8">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⑤</w:t>
            </w:r>
            <w:r>
              <w:rPr>
                <w:rFonts w:hint="eastAsia" w:ascii="宋体" w:hAnsi="宋体" w:eastAsia="宋体" w:cs="宋体"/>
                <w:sz w:val="22"/>
                <w:szCs w:val="22"/>
              </w:rPr>
              <w:t>车辆违法数据（不经筛选或删除）</w:t>
            </w:r>
            <w:r>
              <w:rPr>
                <w:rFonts w:hint="eastAsia" w:ascii="宋体" w:hAnsi="宋体" w:eastAsia="宋体" w:cs="宋体"/>
                <w:sz w:val="22"/>
                <w:szCs w:val="22"/>
                <w:lang w:val="en-US" w:eastAsia="zh-CN"/>
              </w:rPr>
              <w:t>应</w:t>
            </w:r>
            <w:r>
              <w:rPr>
                <w:rFonts w:hint="eastAsia" w:ascii="宋体" w:hAnsi="宋体" w:eastAsia="宋体" w:cs="宋体"/>
                <w:sz w:val="22"/>
                <w:szCs w:val="22"/>
              </w:rPr>
              <w:t>直接实时上传至中山市交通指挥控制集成平台。</w:t>
            </w:r>
          </w:p>
          <w:p w14:paraId="2050F922">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⑥</w:t>
            </w:r>
            <w:r>
              <w:rPr>
                <w:rFonts w:hint="eastAsia" w:ascii="宋体" w:hAnsi="宋体" w:eastAsia="宋体" w:cs="宋体"/>
                <w:sz w:val="22"/>
                <w:szCs w:val="22"/>
              </w:rPr>
              <w:t>系统应具有布控缉查车辆自动报警功能，自动报警响应时间应不大于0.5秒</w:t>
            </w:r>
            <w:r>
              <w:rPr>
                <w:rFonts w:hint="eastAsia" w:ascii="宋体" w:hAnsi="宋体" w:eastAsia="宋体" w:cs="宋体"/>
                <w:sz w:val="22"/>
                <w:szCs w:val="22"/>
                <w:lang w:eastAsia="zh-CN"/>
              </w:rPr>
              <w:t>，</w:t>
            </w:r>
            <w:r>
              <w:rPr>
                <w:rFonts w:hint="eastAsia" w:ascii="宋体" w:hAnsi="宋体" w:eastAsia="宋体" w:cs="宋体"/>
                <w:sz w:val="22"/>
                <w:szCs w:val="22"/>
              </w:rPr>
              <w:t>其数据库格式应符合GA/T 497规定的格式要求。当系统识别出来的车辆号牌结果符合条件时，能现场报警和远程报警，卡口数据传输时间延时小于60秒。</w:t>
            </w:r>
          </w:p>
          <w:p w14:paraId="786F2F05">
            <w:pPr>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sz w:val="22"/>
                <w:szCs w:val="22"/>
              </w:rPr>
            </w:pPr>
            <w:r>
              <w:rPr>
                <w:rFonts w:hint="eastAsia" w:ascii="宋体" w:hAnsi="宋体" w:eastAsia="宋体" w:cs="宋体"/>
                <w:b/>
                <w:bCs/>
                <w:sz w:val="22"/>
                <w:szCs w:val="22"/>
              </w:rPr>
              <w:t>（2）机动车号牌自动识别功能</w:t>
            </w:r>
          </w:p>
          <w:p w14:paraId="03515791">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系统应能对行驶通过监测区域内的机动车进行检测，自动识别出通行机动车的号牌。</w:t>
            </w:r>
          </w:p>
          <w:p w14:paraId="4EC4CB08">
            <w:pPr>
              <w:pStyle w:val="24"/>
              <w:pageBreakBefore w:val="0"/>
              <w:widowControl w:val="0"/>
              <w:numPr>
                <w:ilvl w:val="0"/>
                <w:numId w:val="0"/>
              </w:numPr>
              <w:kinsoku/>
              <w:wordWrap/>
              <w:overflowPunct/>
              <w:topLinePunct w:val="0"/>
              <w:autoSpaceDE/>
              <w:autoSpaceDN/>
              <w:bidi w:val="0"/>
              <w:adjustRightInd/>
              <w:snapToGrid/>
              <w:spacing w:line="360" w:lineRule="auto"/>
              <w:ind w:left="420" w:leftChars="199" w:hanging="2" w:hangingChars="1"/>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①</w:t>
            </w:r>
            <w:r>
              <w:rPr>
                <w:rFonts w:hint="eastAsia" w:ascii="宋体" w:hAnsi="宋体" w:eastAsia="宋体" w:cs="宋体"/>
                <w:sz w:val="22"/>
                <w:szCs w:val="22"/>
              </w:rPr>
              <w:t>系统应能识别的号牌结构应</w:t>
            </w:r>
            <w:r>
              <w:rPr>
                <w:rFonts w:hint="eastAsia" w:ascii="宋体" w:hAnsi="宋体" w:eastAsia="宋体" w:cs="宋体"/>
                <w:sz w:val="22"/>
                <w:szCs w:val="22"/>
                <w:lang w:val="en-US" w:eastAsia="zh-CN"/>
              </w:rPr>
              <w:t>符合</w:t>
            </w:r>
            <w:r>
              <w:rPr>
                <w:rFonts w:hint="eastAsia" w:ascii="宋体" w:hAnsi="宋体" w:eastAsia="宋体" w:cs="宋体"/>
                <w:sz w:val="22"/>
                <w:szCs w:val="22"/>
              </w:rPr>
              <w:t>GA/T 833</w:t>
            </w:r>
            <w:r>
              <w:rPr>
                <w:rFonts w:hint="eastAsia" w:ascii="宋体" w:hAnsi="宋体" w:eastAsia="宋体" w:cs="宋体"/>
                <w:sz w:val="22"/>
                <w:szCs w:val="22"/>
                <w:lang w:val="en-US" w:eastAsia="zh-CN"/>
              </w:rPr>
              <w:t>的规定</w:t>
            </w:r>
            <w:r>
              <w:rPr>
                <w:rFonts w:hint="eastAsia" w:ascii="宋体" w:hAnsi="宋体" w:eastAsia="宋体" w:cs="宋体"/>
                <w:sz w:val="22"/>
                <w:szCs w:val="22"/>
                <w:lang w:eastAsia="zh-CN"/>
              </w:rPr>
              <w:t>。</w:t>
            </w:r>
          </w:p>
          <w:p w14:paraId="0A06940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②系统应具备对民用、新能源、警用、新军用牌、武警、港澳牌等汽车号牌自动识别的能力，系统所能识别的号牌字符应包括但不限于GA36规定的号牌</w:t>
            </w:r>
            <w:r>
              <w:rPr>
                <w:rFonts w:hint="eastAsia" w:ascii="宋体" w:hAnsi="宋体" w:eastAsia="宋体" w:cs="宋体"/>
                <w:sz w:val="22"/>
                <w:szCs w:val="22"/>
                <w:lang w:val="en-US" w:eastAsia="zh-CN"/>
              </w:rPr>
              <w:t>字符</w:t>
            </w:r>
            <w:r>
              <w:rPr>
                <w:rFonts w:hint="eastAsia" w:ascii="宋体" w:hAnsi="宋体" w:eastAsia="宋体" w:cs="宋体"/>
                <w:sz w:val="22"/>
                <w:szCs w:val="22"/>
              </w:rPr>
              <w:t>、军队和武警号牌</w:t>
            </w:r>
            <w:r>
              <w:rPr>
                <w:rFonts w:hint="eastAsia" w:ascii="宋体" w:hAnsi="宋体" w:eastAsia="宋体" w:cs="宋体"/>
                <w:sz w:val="22"/>
                <w:szCs w:val="22"/>
                <w:lang w:val="en-US" w:eastAsia="zh-CN"/>
              </w:rPr>
              <w:t>以及其他号码字符</w:t>
            </w:r>
            <w:r>
              <w:rPr>
                <w:rFonts w:hint="eastAsia" w:ascii="宋体" w:hAnsi="宋体" w:eastAsia="宋体" w:cs="宋体"/>
                <w:sz w:val="22"/>
                <w:szCs w:val="22"/>
              </w:rPr>
              <w:t>。</w:t>
            </w:r>
          </w:p>
          <w:p w14:paraId="27986A12">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lang w:eastAsia="zh-CN"/>
              </w:rPr>
            </w:pPr>
            <w:r>
              <w:rPr>
                <w:rFonts w:hint="eastAsia" w:ascii="宋体" w:hAnsi="宋体" w:eastAsia="宋体" w:cs="宋体"/>
                <w:sz w:val="22"/>
                <w:szCs w:val="22"/>
              </w:rPr>
              <w:t>③系统应具备对港澳汽车号牌自动识别的能力</w:t>
            </w:r>
            <w:r>
              <w:rPr>
                <w:rFonts w:hint="eastAsia" w:ascii="宋体" w:hAnsi="宋体" w:eastAsia="宋体" w:cs="宋体"/>
                <w:sz w:val="22"/>
                <w:szCs w:val="22"/>
                <w:lang w:eastAsia="zh-CN"/>
              </w:rPr>
              <w:t>。</w:t>
            </w:r>
          </w:p>
          <w:p w14:paraId="16222103">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针对单号情形，无论是“粤Z”内地号牌还是港澳区域号牌，抓拍内容逐级上报市、省两级视图库。</w:t>
            </w:r>
          </w:p>
          <w:p w14:paraId="30808468">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针对一车双号情形，“粤Z”内地号牌和港澳区域号牌，需拆分成两条抓拍数据，上传至市、省视图库。两条抓拍数据(除48位抓拍编码Motor VehicleID)分别需与对应的车辆卡口18位编号、抓拍时间等信息一致，并且上传信息需可区分以免重复，避免因两条数据抓拍编码一致导致视图库丢失。</w:t>
            </w:r>
          </w:p>
          <w:p w14:paraId="1FBC7870">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④系统应具备号牌颜色识别</w:t>
            </w:r>
          </w:p>
          <w:p w14:paraId="50DB6358">
            <w:pPr>
              <w:pStyle w:val="24"/>
              <w:pageBreakBefore w:val="0"/>
              <w:widowControl w:val="0"/>
              <w:numPr>
                <w:ilvl w:val="0"/>
                <w:numId w:val="0"/>
              </w:numPr>
              <w:kinsoku/>
              <w:wordWrap/>
              <w:overflowPunct/>
              <w:topLinePunct w:val="0"/>
              <w:autoSpaceDE/>
              <w:autoSpaceDN/>
              <w:bidi w:val="0"/>
              <w:adjustRightInd/>
              <w:snapToGrid/>
              <w:spacing w:line="360" w:lineRule="auto"/>
              <w:ind w:left="480" w:leftChars="0"/>
              <w:textAlignment w:val="auto"/>
              <w:rPr>
                <w:rFonts w:hint="eastAsia" w:ascii="宋体" w:hAnsi="宋体" w:eastAsia="宋体" w:cs="宋体"/>
                <w:sz w:val="22"/>
                <w:szCs w:val="22"/>
              </w:rPr>
            </w:pPr>
            <w:r>
              <w:rPr>
                <w:rFonts w:hint="eastAsia" w:ascii="宋体" w:hAnsi="宋体" w:eastAsia="宋体" w:cs="宋体"/>
                <w:sz w:val="22"/>
                <w:szCs w:val="22"/>
              </w:rPr>
              <w:t>系统应能识别GA36规定的号牌颜色、军队和武警号牌颜色。</w:t>
            </w:r>
          </w:p>
          <w:p w14:paraId="20E8E7A6">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⑤车辆号牌自动识别要求</w:t>
            </w:r>
          </w:p>
          <w:p w14:paraId="23916729">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白天车辆号牌识别准确率应不小于95%（除摩托车号牌、低速车号牌、临时号牌、拖拉机号牌外）；</w:t>
            </w:r>
          </w:p>
          <w:p w14:paraId="542E9A13">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夜间车辆号牌识别准确率应不小于92%（除摩托车号牌、低速车号牌、临时号牌、拖拉机号牌外）。</w:t>
            </w:r>
          </w:p>
          <w:p w14:paraId="490DC5F8">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⑥车型识别</w:t>
            </w:r>
          </w:p>
          <w:p w14:paraId="7A17E746">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系统应具备自动识别车型功能，识别准确率应符合GA/T 833的规定。</w:t>
            </w:r>
          </w:p>
          <w:p w14:paraId="77D61E5A">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⑦车辆品牌标志识别</w:t>
            </w:r>
          </w:p>
          <w:p w14:paraId="046C2D91">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系统应具备常见车辆品牌标志自动识别功能，识别准确率应符合GA/T 833的规定。</w:t>
            </w:r>
          </w:p>
          <w:p w14:paraId="443ADCC5">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2"/>
                <w:szCs w:val="22"/>
              </w:rPr>
              <w:t>⑧车身颜色识别</w:t>
            </w:r>
          </w:p>
          <w:p w14:paraId="2899D723">
            <w:pPr>
              <w:pStyle w:val="24"/>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系统应具备车身颜色自动识别功能，识别准确率应符合GA/T 833的规定。</w:t>
            </w:r>
          </w:p>
          <w:p w14:paraId="42A267B9">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highlight w:val="none"/>
              </w:rPr>
            </w:pPr>
            <w:r>
              <w:rPr>
                <w:rFonts w:hint="eastAsia" w:ascii="宋体" w:hAnsi="宋体" w:eastAsia="宋体" w:cs="宋体"/>
                <w:b/>
                <w:bCs/>
                <w:kern w:val="2"/>
                <w:sz w:val="22"/>
                <w:szCs w:val="22"/>
                <w:highlight w:val="none"/>
                <w:lang w:val="en-US" w:eastAsia="zh-CN" w:bidi="ar-SA"/>
              </w:rPr>
              <w:t>3.2.3</w:t>
            </w:r>
            <w:r>
              <w:rPr>
                <w:rFonts w:hint="eastAsia" w:ascii="宋体" w:hAnsi="宋体" w:eastAsia="宋体" w:cs="宋体"/>
                <w:b/>
                <w:bCs/>
                <w:sz w:val="22"/>
                <w:szCs w:val="22"/>
                <w:highlight w:val="none"/>
              </w:rPr>
              <w:t>违法抓拍功能</w:t>
            </w:r>
          </w:p>
          <w:p w14:paraId="69B50F4F">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（1）机动车跨越禁止跨越同向车行道分界线行为记录功能</w:t>
            </w:r>
          </w:p>
          <w:p w14:paraId="731EF31A">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①</w:t>
            </w:r>
            <w:r>
              <w:rPr>
                <w:rFonts w:hint="eastAsia" w:ascii="宋体" w:hAnsi="宋体" w:eastAsia="宋体" w:cs="宋体"/>
                <w:sz w:val="22"/>
                <w:szCs w:val="22"/>
              </w:rPr>
              <w:t>应能清晰记录机动车跨越禁止跨越同向车行道分界线违法行为的图片，图片应符合GA/T 832的要求，捕获率应不小于80%，记录有效率应不小于80%。</w:t>
            </w:r>
          </w:p>
          <w:p w14:paraId="76127E07">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②</w:t>
            </w:r>
            <w:r>
              <w:rPr>
                <w:rFonts w:hint="eastAsia" w:ascii="宋体" w:hAnsi="宋体" w:eastAsia="宋体" w:cs="宋体"/>
                <w:sz w:val="22"/>
                <w:szCs w:val="22"/>
              </w:rPr>
              <w:t>系统应能够对机动车跨越禁止跨越同向车行道分界线违法行为进行自动抓拍。</w:t>
            </w:r>
          </w:p>
          <w:p w14:paraId="7AB0CE03">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sz w:val="22"/>
                <w:szCs w:val="22"/>
                <w:lang w:val="en-US" w:eastAsia="zh-CN"/>
              </w:rPr>
              <w:t>③</w:t>
            </w:r>
            <w:r>
              <w:rPr>
                <w:rFonts w:hint="eastAsia" w:ascii="宋体" w:hAnsi="宋体" w:eastAsia="宋体" w:cs="宋体"/>
                <w:sz w:val="22"/>
                <w:szCs w:val="22"/>
              </w:rPr>
              <w:t>系统应能够记录机动车跨越禁止跨越同向车行道分界线行为过程中至少两个不同位置的信息以</w:t>
            </w:r>
            <w:r>
              <w:rPr>
                <w:rFonts w:hint="eastAsia" w:ascii="宋体" w:hAnsi="宋体" w:eastAsia="宋体" w:cs="宋体"/>
                <w:sz w:val="22"/>
                <w:szCs w:val="22"/>
                <w:lang w:val="en-US" w:eastAsia="zh-CN"/>
              </w:rPr>
              <w:t>及</w:t>
            </w:r>
            <w:r>
              <w:rPr>
                <w:rFonts w:hint="eastAsia" w:ascii="宋体" w:hAnsi="宋体" w:eastAsia="宋体" w:cs="宋体"/>
                <w:sz w:val="22"/>
                <w:szCs w:val="22"/>
              </w:rPr>
              <w:t>反映机动车违法过程中至少2张车辆前部全景图像</w:t>
            </w:r>
            <w:r>
              <w:rPr>
                <w:rFonts w:hint="eastAsia" w:ascii="宋体" w:hAnsi="宋体" w:eastAsia="宋体" w:cs="宋体"/>
                <w:sz w:val="22"/>
                <w:szCs w:val="22"/>
                <w:lang w:eastAsia="zh-CN"/>
              </w:rPr>
              <w:t>。</w:t>
            </w:r>
          </w:p>
          <w:p w14:paraId="1B2570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第一个位置信息：应能够</w:t>
            </w:r>
            <w:r>
              <w:rPr>
                <w:rFonts w:hint="eastAsia" w:ascii="宋体" w:hAnsi="宋体" w:eastAsia="宋体" w:cs="宋体"/>
                <w:sz w:val="22"/>
                <w:szCs w:val="22"/>
                <w:lang w:eastAsia="zh-CN"/>
              </w:rPr>
              <w:t>反映</w:t>
            </w:r>
            <w:r>
              <w:rPr>
                <w:rFonts w:hint="eastAsia" w:ascii="宋体" w:hAnsi="宋体" w:eastAsia="宋体" w:cs="宋体"/>
                <w:sz w:val="22"/>
                <w:szCs w:val="22"/>
              </w:rPr>
              <w:t>机动车未跨越或骑压禁止跨越同向车行道分界线的机动车前部高清监控特征图片。</w:t>
            </w:r>
          </w:p>
          <w:p w14:paraId="44FFE2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第二个位置信息：应为机动车继续骑压或越过禁止跨越同向车行道分界线时的机动车前部高清监控特征图片。</w:t>
            </w:r>
          </w:p>
          <w:p w14:paraId="74635BCD">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3)</w:t>
            </w:r>
            <w:r>
              <w:rPr>
                <w:rFonts w:hint="eastAsia" w:ascii="宋体" w:hAnsi="宋体" w:eastAsia="宋体" w:cs="宋体"/>
                <w:sz w:val="22"/>
                <w:szCs w:val="22"/>
              </w:rPr>
              <w:t>至少应有一个位置的信息能够清晰辨别号牌号码。</w:t>
            </w:r>
          </w:p>
          <w:p w14:paraId="314E5844">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④</w:t>
            </w:r>
            <w:r>
              <w:rPr>
                <w:rFonts w:hint="eastAsia" w:ascii="宋体" w:hAnsi="宋体" w:eastAsia="宋体" w:cs="宋体"/>
                <w:sz w:val="22"/>
                <w:szCs w:val="22"/>
              </w:rPr>
              <w:t>连续两幅</w:t>
            </w:r>
            <w:r>
              <w:rPr>
                <w:rFonts w:hint="eastAsia" w:ascii="宋体" w:hAnsi="宋体" w:eastAsia="宋体" w:cs="宋体"/>
                <w:sz w:val="22"/>
                <w:szCs w:val="22"/>
                <w:lang w:eastAsia="zh-CN"/>
              </w:rPr>
              <w:t>反映</w:t>
            </w:r>
            <w:r>
              <w:rPr>
                <w:rFonts w:hint="eastAsia" w:ascii="宋体" w:hAnsi="宋体" w:eastAsia="宋体" w:cs="宋体"/>
                <w:sz w:val="22"/>
                <w:szCs w:val="22"/>
              </w:rPr>
              <w:t>跨越禁止跨越同向车行道分界线违法过程的特征图片的间隔时间应为机动车在两幅图片上的对应行驶位移＞1.0m所需的时间，各个位置间应能够保持适宜的距离以反映机动车违法过程，不</w:t>
            </w:r>
            <w:r>
              <w:rPr>
                <w:rFonts w:hint="eastAsia" w:ascii="宋体" w:hAnsi="宋体" w:eastAsia="宋体" w:cs="宋体"/>
                <w:sz w:val="22"/>
                <w:szCs w:val="22"/>
                <w:lang w:val="en-US" w:eastAsia="zh-CN"/>
              </w:rPr>
              <w:t>得</w:t>
            </w:r>
            <w:r>
              <w:rPr>
                <w:rFonts w:hint="eastAsia" w:ascii="宋体" w:hAnsi="宋体" w:eastAsia="宋体" w:cs="宋体"/>
                <w:sz w:val="22"/>
                <w:szCs w:val="22"/>
              </w:rPr>
              <w:t>出现因间距太大影响对违法机动车进行认定的情形。</w:t>
            </w:r>
          </w:p>
          <w:p w14:paraId="5A2FE890">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（2）机动车驾驶人使用手机交通违法行为抓拍</w:t>
            </w:r>
          </w:p>
          <w:p w14:paraId="778F926B">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①</w:t>
            </w:r>
            <w:r>
              <w:rPr>
                <w:rFonts w:hint="eastAsia" w:ascii="宋体" w:hAnsi="宋体" w:eastAsia="宋体" w:cs="宋体"/>
                <w:sz w:val="22"/>
                <w:szCs w:val="22"/>
              </w:rPr>
              <w:t>应能清晰记录机动车驾驶人使用手机交通违法行为的图片，图片应符合GA/T 832的要求，捕获率应不小于80%，记录有效率应不小于80%。</w:t>
            </w:r>
          </w:p>
          <w:p w14:paraId="18640DB8">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②</w:t>
            </w:r>
            <w:r>
              <w:rPr>
                <w:rFonts w:hint="eastAsia" w:ascii="宋体" w:hAnsi="宋体" w:eastAsia="宋体" w:cs="宋体"/>
                <w:sz w:val="22"/>
                <w:szCs w:val="22"/>
              </w:rPr>
              <w:t>系统能够对机动车驾驶人使用手机交通违法行为进行自动抓拍。</w:t>
            </w:r>
          </w:p>
          <w:p w14:paraId="2B927482">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③</w:t>
            </w:r>
            <w:r>
              <w:rPr>
                <w:rFonts w:hint="eastAsia" w:ascii="宋体" w:hAnsi="宋体" w:eastAsia="宋体" w:cs="宋体"/>
                <w:sz w:val="22"/>
                <w:szCs w:val="22"/>
              </w:rPr>
              <w:t>系统记录机动车行驶过程中至少两个不同位置的信息以反映机动车违法过程</w:t>
            </w:r>
            <w:r>
              <w:rPr>
                <w:rFonts w:hint="eastAsia" w:ascii="宋体" w:hAnsi="宋体" w:eastAsia="宋体" w:cs="宋体"/>
                <w:sz w:val="22"/>
                <w:szCs w:val="22"/>
                <w:lang w:eastAsia="zh-CN"/>
              </w:rPr>
              <w:t>。</w:t>
            </w:r>
          </w:p>
          <w:p w14:paraId="7E34A31A">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④</w:t>
            </w:r>
            <w:r>
              <w:rPr>
                <w:rFonts w:hint="eastAsia" w:ascii="宋体" w:hAnsi="宋体" w:eastAsia="宋体" w:cs="宋体"/>
                <w:sz w:val="22"/>
                <w:szCs w:val="22"/>
              </w:rPr>
              <w:t>两个不同位置的信息能够清晰显示机动车驾驶人不按规定使用手机的交通违法行为。</w:t>
            </w:r>
          </w:p>
          <w:p w14:paraId="02186DE4">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⑤</w:t>
            </w:r>
            <w:r>
              <w:rPr>
                <w:rFonts w:hint="eastAsia" w:ascii="宋体" w:hAnsi="宋体" w:eastAsia="宋体" w:cs="宋体"/>
                <w:sz w:val="22"/>
                <w:szCs w:val="22"/>
              </w:rPr>
              <w:t>至少应有一个位置的信息能够清晰辨别号牌号码。</w:t>
            </w:r>
          </w:p>
          <w:p w14:paraId="471115A5">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⑥</w:t>
            </w:r>
            <w:r>
              <w:rPr>
                <w:rFonts w:hint="eastAsia" w:ascii="宋体" w:hAnsi="宋体" w:eastAsia="宋体" w:cs="宋体"/>
                <w:sz w:val="22"/>
                <w:szCs w:val="22"/>
              </w:rPr>
              <w:t>连续两幅</w:t>
            </w:r>
            <w:r>
              <w:rPr>
                <w:rFonts w:hint="eastAsia" w:ascii="宋体" w:hAnsi="宋体" w:eastAsia="宋体" w:cs="宋体"/>
                <w:sz w:val="22"/>
                <w:szCs w:val="22"/>
                <w:lang w:eastAsia="zh-CN"/>
              </w:rPr>
              <w:t>反映</w:t>
            </w:r>
            <w:r>
              <w:rPr>
                <w:rFonts w:hint="eastAsia" w:ascii="宋体" w:hAnsi="宋体" w:eastAsia="宋体" w:cs="宋体"/>
                <w:sz w:val="22"/>
                <w:szCs w:val="22"/>
              </w:rPr>
              <w:t>机动车违法过程的特征图片的间隔时间应为机动车在两幅图片上的对应行驶位移＞1.0m所需的时间，各个位置间应能够保持适宜的距离以反映机动车违法过程，不</w:t>
            </w:r>
            <w:r>
              <w:rPr>
                <w:rFonts w:hint="eastAsia" w:ascii="宋体" w:hAnsi="宋体" w:eastAsia="宋体" w:cs="宋体"/>
                <w:sz w:val="22"/>
                <w:szCs w:val="22"/>
                <w:lang w:val="en-US" w:eastAsia="zh-CN"/>
              </w:rPr>
              <w:t>得</w:t>
            </w:r>
            <w:r>
              <w:rPr>
                <w:rFonts w:hint="eastAsia" w:ascii="宋体" w:hAnsi="宋体" w:eastAsia="宋体" w:cs="宋体"/>
                <w:sz w:val="22"/>
                <w:szCs w:val="22"/>
              </w:rPr>
              <w:t>出现因间距太大影响对违法机动车进行认定的情形。</w:t>
            </w:r>
          </w:p>
          <w:p w14:paraId="55ACA366">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（3）机动车驾驶人不按规定使用安全带交通违法行为抓拍</w:t>
            </w:r>
          </w:p>
          <w:p w14:paraId="4330C20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①</w:t>
            </w:r>
            <w:r>
              <w:rPr>
                <w:rFonts w:hint="eastAsia" w:ascii="宋体" w:hAnsi="宋体" w:eastAsia="宋体" w:cs="宋体"/>
                <w:sz w:val="22"/>
                <w:szCs w:val="22"/>
              </w:rPr>
              <w:t>应能清晰记录机动车驾驶人不按规定使用安全带交通违法行为的图片，图片应符合GA/T 832的要求，捕获率应不小于80%，记录有效率应不小于80%。</w:t>
            </w:r>
          </w:p>
          <w:p w14:paraId="588CC6E8">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②</w:t>
            </w:r>
            <w:r>
              <w:rPr>
                <w:rFonts w:hint="eastAsia" w:ascii="宋体" w:hAnsi="宋体" w:eastAsia="宋体" w:cs="宋体"/>
                <w:sz w:val="22"/>
                <w:szCs w:val="22"/>
              </w:rPr>
              <w:t>系统能够对机动车驾驶人不按规定使用安全带交通违法行为进行自动抓拍。</w:t>
            </w:r>
          </w:p>
          <w:p w14:paraId="4EBB2874">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③</w:t>
            </w:r>
            <w:r>
              <w:rPr>
                <w:rFonts w:hint="eastAsia" w:ascii="宋体" w:hAnsi="宋体" w:eastAsia="宋体" w:cs="宋体"/>
                <w:sz w:val="22"/>
                <w:szCs w:val="22"/>
              </w:rPr>
              <w:t>系统记录机动车行驶过程中至少两个不同位置的信息以反映机动车违法过程。</w:t>
            </w:r>
          </w:p>
          <w:p w14:paraId="6B81CC9F">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④</w:t>
            </w:r>
            <w:r>
              <w:rPr>
                <w:rFonts w:hint="eastAsia" w:ascii="宋体" w:hAnsi="宋体" w:eastAsia="宋体" w:cs="宋体"/>
                <w:sz w:val="22"/>
                <w:szCs w:val="22"/>
              </w:rPr>
              <w:t>两个不同位置的信息能够清晰显示机动车驾驶人不按规定使用安全带的交通违法行为。</w:t>
            </w:r>
          </w:p>
          <w:p w14:paraId="6838A7E4">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⑤</w:t>
            </w:r>
            <w:r>
              <w:rPr>
                <w:rFonts w:hint="eastAsia" w:ascii="宋体" w:hAnsi="宋体" w:eastAsia="宋体" w:cs="宋体"/>
                <w:sz w:val="22"/>
                <w:szCs w:val="22"/>
              </w:rPr>
              <w:t>至少应有一个位置的信息能够清晰辨别号牌号码。</w:t>
            </w:r>
          </w:p>
          <w:p w14:paraId="15E742A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⑥</w:t>
            </w:r>
            <w:r>
              <w:rPr>
                <w:rFonts w:hint="eastAsia" w:ascii="宋体" w:hAnsi="宋体" w:eastAsia="宋体" w:cs="宋体"/>
                <w:sz w:val="22"/>
                <w:szCs w:val="22"/>
              </w:rPr>
              <w:t>连续两幅</w:t>
            </w:r>
            <w:r>
              <w:rPr>
                <w:rFonts w:hint="eastAsia" w:ascii="宋体" w:hAnsi="宋体" w:eastAsia="宋体" w:cs="宋体"/>
                <w:sz w:val="22"/>
                <w:szCs w:val="22"/>
                <w:lang w:eastAsia="zh-CN"/>
              </w:rPr>
              <w:t>反映</w:t>
            </w:r>
            <w:r>
              <w:rPr>
                <w:rFonts w:hint="eastAsia" w:ascii="宋体" w:hAnsi="宋体" w:eastAsia="宋体" w:cs="宋体"/>
                <w:sz w:val="22"/>
                <w:szCs w:val="22"/>
              </w:rPr>
              <w:t>机动车违法过程的特征图片的间隔时间应为机动车在两幅图片上的对应行驶位移＞1.0m所需的时间，各个位置间应能够保持适宜的距离以反映机动车违法过程，不</w:t>
            </w:r>
            <w:r>
              <w:rPr>
                <w:rFonts w:hint="eastAsia" w:ascii="宋体" w:hAnsi="宋体" w:eastAsia="宋体" w:cs="宋体"/>
                <w:sz w:val="22"/>
                <w:szCs w:val="22"/>
                <w:lang w:val="en-US" w:eastAsia="zh-CN"/>
              </w:rPr>
              <w:t>得</w:t>
            </w:r>
            <w:r>
              <w:rPr>
                <w:rFonts w:hint="eastAsia" w:ascii="宋体" w:hAnsi="宋体" w:eastAsia="宋体" w:cs="宋体"/>
                <w:sz w:val="22"/>
                <w:szCs w:val="22"/>
              </w:rPr>
              <w:t>出现因间距太大影响对违法机动车进行认定的情形。</w:t>
            </w:r>
          </w:p>
          <w:p w14:paraId="317A45EF">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kern w:val="2"/>
                <w:sz w:val="22"/>
                <w:szCs w:val="22"/>
                <w:lang w:val="en-US" w:eastAsia="zh-CN" w:bidi="ar-SA"/>
              </w:rPr>
            </w:pPr>
            <w:r>
              <w:rPr>
                <w:rFonts w:hint="eastAsia" w:ascii="宋体" w:hAnsi="宋体" w:eastAsia="宋体" w:cs="宋体"/>
                <w:b/>
                <w:bCs/>
                <w:kern w:val="2"/>
                <w:sz w:val="22"/>
                <w:szCs w:val="22"/>
                <w:lang w:val="en-US" w:eastAsia="zh-CN" w:bidi="ar-SA"/>
              </w:rPr>
              <w:t>3.2.4机动车驾驶人面部特征记录</w:t>
            </w:r>
          </w:p>
          <w:p w14:paraId="70D4A722">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w:t>
            </w:r>
            <w:r>
              <w:rPr>
                <w:rFonts w:hint="eastAsia" w:ascii="宋体" w:hAnsi="宋体" w:eastAsia="宋体" w:cs="宋体"/>
                <w:sz w:val="22"/>
                <w:szCs w:val="22"/>
                <w:lang w:val="en-US" w:eastAsia="zh-CN"/>
              </w:rPr>
              <w:t>应</w:t>
            </w:r>
            <w:r>
              <w:rPr>
                <w:rFonts w:hint="eastAsia" w:ascii="宋体" w:hAnsi="宋体" w:eastAsia="宋体" w:cs="宋体"/>
                <w:sz w:val="22"/>
                <w:szCs w:val="22"/>
              </w:rPr>
              <w:t>能记录机动车闯红灯行为对应驾驶人面部特征的图片，驾驶人面部的分辨率应不小于100×100像素点，作为认定机动车闯红灯违法驾驶人的参考资料。</w:t>
            </w:r>
          </w:p>
          <w:p w14:paraId="73066425">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kern w:val="2"/>
                <w:sz w:val="22"/>
                <w:szCs w:val="22"/>
                <w:lang w:val="en-US" w:eastAsia="zh-CN" w:bidi="ar-SA"/>
              </w:rPr>
            </w:pPr>
            <w:r>
              <w:rPr>
                <w:rFonts w:hint="eastAsia" w:ascii="宋体" w:hAnsi="宋体" w:eastAsia="宋体" w:cs="宋体"/>
                <w:b/>
                <w:bCs/>
                <w:kern w:val="2"/>
                <w:sz w:val="22"/>
                <w:szCs w:val="22"/>
                <w:lang w:val="en-US" w:eastAsia="zh-CN" w:bidi="ar-SA"/>
              </w:rPr>
              <w:t>3.2.5图片记录</w:t>
            </w:r>
          </w:p>
          <w:p w14:paraId="5BED2E57">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系统记录的图片应符合以下要求：</w:t>
            </w:r>
          </w:p>
          <w:p w14:paraId="79EB1B5A">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图片格式应采用JPEG格式，JPEG图片编码应符合ISO/IEC 15444:2000的要求</w:t>
            </w:r>
            <w:r>
              <w:rPr>
                <w:rFonts w:hint="eastAsia" w:ascii="宋体" w:hAnsi="宋体" w:eastAsia="宋体" w:cs="宋体"/>
                <w:sz w:val="22"/>
                <w:szCs w:val="22"/>
                <w:lang w:eastAsia="zh-CN"/>
              </w:rPr>
              <w:t>。</w:t>
            </w:r>
          </w:p>
          <w:p w14:paraId="7BB6243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图片应具有防篡改功能</w:t>
            </w:r>
            <w:r>
              <w:rPr>
                <w:rFonts w:hint="eastAsia" w:ascii="宋体" w:hAnsi="宋体" w:eastAsia="宋体" w:cs="宋体"/>
                <w:sz w:val="22"/>
                <w:szCs w:val="22"/>
                <w:lang w:eastAsia="zh-CN"/>
              </w:rPr>
              <w:t>。</w:t>
            </w:r>
          </w:p>
          <w:p w14:paraId="610A8B4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(3)</w:t>
            </w:r>
            <w:r>
              <w:rPr>
                <w:rFonts w:hint="eastAsia" w:ascii="宋体" w:hAnsi="宋体" w:eastAsia="宋体" w:cs="宋体"/>
                <w:sz w:val="22"/>
                <w:szCs w:val="22"/>
              </w:rPr>
              <w:t>记录的每张图片应包含时间信息，至少精确到0.1</w:t>
            </w:r>
            <w:r>
              <w:rPr>
                <w:rFonts w:hint="eastAsia" w:ascii="宋体" w:hAnsi="宋体" w:eastAsia="宋体" w:cs="宋体"/>
                <w:sz w:val="22"/>
                <w:szCs w:val="22"/>
                <w:lang w:val="en-US" w:eastAsia="zh-CN"/>
              </w:rPr>
              <w:t>秒</w:t>
            </w:r>
            <w:r>
              <w:rPr>
                <w:rFonts w:hint="eastAsia" w:ascii="宋体" w:hAnsi="宋体" w:eastAsia="宋体" w:cs="宋体"/>
                <w:sz w:val="22"/>
                <w:szCs w:val="22"/>
                <w:lang w:eastAsia="zh-CN"/>
              </w:rPr>
              <w:t>。</w:t>
            </w:r>
          </w:p>
          <w:p w14:paraId="3FCDD737">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(4)</w:t>
            </w:r>
            <w:r>
              <w:rPr>
                <w:rFonts w:hint="eastAsia" w:ascii="宋体" w:hAnsi="宋体" w:eastAsia="宋体" w:cs="宋体"/>
                <w:sz w:val="22"/>
                <w:szCs w:val="22"/>
              </w:rPr>
              <w:t>图片记录要求应符合GA/T 832的要求</w:t>
            </w:r>
            <w:r>
              <w:rPr>
                <w:rFonts w:hint="eastAsia" w:ascii="宋体" w:hAnsi="宋体" w:eastAsia="宋体" w:cs="宋体"/>
                <w:sz w:val="22"/>
                <w:szCs w:val="22"/>
                <w:lang w:eastAsia="zh-CN"/>
              </w:rPr>
              <w:t>。</w:t>
            </w:r>
          </w:p>
          <w:p w14:paraId="2D7A5317">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(5)</w:t>
            </w:r>
            <w:r>
              <w:rPr>
                <w:rFonts w:hint="eastAsia" w:ascii="宋体" w:hAnsi="宋体" w:eastAsia="宋体" w:cs="宋体"/>
                <w:sz w:val="22"/>
                <w:szCs w:val="22"/>
              </w:rPr>
              <w:t>记录的最终图片应合成为一个图片文件，且至少应包含：时间、地点、方向、车道和设备编号等信息，设备编号规则应符合GA/T 1043的要求</w:t>
            </w:r>
            <w:r>
              <w:rPr>
                <w:rFonts w:hint="eastAsia" w:ascii="宋体" w:hAnsi="宋体" w:eastAsia="宋体" w:cs="宋体"/>
                <w:sz w:val="22"/>
                <w:szCs w:val="22"/>
                <w:lang w:eastAsia="zh-CN"/>
              </w:rPr>
              <w:t>。</w:t>
            </w:r>
          </w:p>
          <w:p w14:paraId="133B40D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(6)</w:t>
            </w:r>
            <w:r>
              <w:rPr>
                <w:rFonts w:hint="eastAsia" w:ascii="宋体" w:hAnsi="宋体" w:eastAsia="宋体" w:cs="宋体"/>
                <w:sz w:val="22"/>
                <w:szCs w:val="22"/>
              </w:rPr>
              <w:t>合成的图片清晰度应能满足人工对车辆号牌号码认定的要求，图片不应出现红灯信号泛白、光晕等颜色失真现象；图片合成时，不得出现原始图片遗漏、错位等情形</w:t>
            </w:r>
            <w:r>
              <w:rPr>
                <w:rFonts w:hint="eastAsia" w:ascii="宋体" w:hAnsi="宋体" w:eastAsia="宋体" w:cs="宋体"/>
                <w:sz w:val="22"/>
                <w:szCs w:val="22"/>
                <w:lang w:eastAsia="zh-CN"/>
              </w:rPr>
              <w:t>。</w:t>
            </w:r>
          </w:p>
          <w:p w14:paraId="510EC1C5">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kern w:val="2"/>
                <w:sz w:val="22"/>
                <w:szCs w:val="22"/>
                <w:lang w:val="en-US" w:eastAsia="zh-CN" w:bidi="ar-SA"/>
              </w:rPr>
            </w:pPr>
            <w:r>
              <w:rPr>
                <w:rFonts w:hint="eastAsia" w:ascii="宋体" w:hAnsi="宋体" w:eastAsia="宋体" w:cs="宋体"/>
                <w:b/>
                <w:bCs/>
                <w:kern w:val="2"/>
                <w:sz w:val="22"/>
                <w:szCs w:val="22"/>
                <w:lang w:val="en-US" w:eastAsia="zh-CN" w:bidi="ar-SA"/>
              </w:rPr>
              <w:t>3.2.6数据传输</w:t>
            </w:r>
          </w:p>
          <w:p w14:paraId="4EA1C778">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（1）数据传输要求</w:t>
            </w:r>
          </w:p>
          <w:p w14:paraId="15A87A40">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违法自动记录系统应具备联网数据传输或现场数据下载功能。</w:t>
            </w:r>
          </w:p>
          <w:p w14:paraId="555216FA">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（2）联网数据传输</w:t>
            </w:r>
          </w:p>
          <w:p w14:paraId="767C7F24">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通过网络将机动车违法信息自动传输到指定数据中心，且信息传输应具有防丢失、防篡改等功能。视频数据传输应符合GB/T 28181的要求。</w:t>
            </w:r>
          </w:p>
          <w:p w14:paraId="666A1ED2">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（3）现场数据下载</w:t>
            </w:r>
          </w:p>
          <w:p w14:paraId="373E08AB">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现场将机动车违法信息人工或自动下载到存储介质中后带回数据中心，下载过程不得删改原始信息，且应自动生成下载日志信息，包括下载人</w:t>
            </w:r>
            <w:r>
              <w:rPr>
                <w:rFonts w:hint="eastAsia" w:ascii="宋体" w:hAnsi="宋体" w:eastAsia="宋体" w:cs="宋体"/>
                <w:sz w:val="22"/>
                <w:szCs w:val="22"/>
                <w:lang w:val="en-US" w:eastAsia="zh-CN"/>
              </w:rPr>
              <w:t>员</w:t>
            </w:r>
            <w:r>
              <w:rPr>
                <w:rFonts w:hint="eastAsia" w:ascii="宋体" w:hAnsi="宋体" w:eastAsia="宋体" w:cs="宋体"/>
                <w:sz w:val="22"/>
                <w:szCs w:val="22"/>
              </w:rPr>
              <w:t>、下载时间等信息。</w:t>
            </w:r>
          </w:p>
          <w:p w14:paraId="3D55B4CA">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kern w:val="2"/>
                <w:sz w:val="22"/>
                <w:szCs w:val="22"/>
                <w:lang w:val="en-US" w:eastAsia="zh-CN" w:bidi="ar-SA"/>
              </w:rPr>
            </w:pPr>
            <w:r>
              <w:rPr>
                <w:rFonts w:hint="eastAsia" w:ascii="宋体" w:hAnsi="宋体" w:eastAsia="宋体" w:cs="宋体"/>
                <w:b/>
                <w:bCs/>
                <w:kern w:val="2"/>
                <w:sz w:val="22"/>
                <w:szCs w:val="22"/>
                <w:lang w:val="en-US" w:eastAsia="zh-CN" w:bidi="ar-SA"/>
              </w:rPr>
              <w:t>3.2.7录像</w:t>
            </w:r>
          </w:p>
          <w:p w14:paraId="15C83D5E">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系统应具备录像功能，采用H.265、MPEG4或MJPEG编码标准，视频质量不低于1080P及25fps，并能确保前端存储连续录像时间不</w:t>
            </w:r>
            <w:r>
              <w:rPr>
                <w:rFonts w:hint="eastAsia" w:ascii="宋体" w:hAnsi="宋体" w:eastAsia="宋体" w:cs="宋体"/>
                <w:sz w:val="22"/>
                <w:szCs w:val="22"/>
                <w:lang w:val="en-US" w:eastAsia="zh-CN"/>
              </w:rPr>
              <w:t>少</w:t>
            </w:r>
            <w:r>
              <w:rPr>
                <w:rFonts w:hint="eastAsia" w:ascii="宋体" w:hAnsi="宋体" w:eastAsia="宋体" w:cs="宋体"/>
                <w:sz w:val="22"/>
                <w:szCs w:val="22"/>
              </w:rPr>
              <w:t>于7</w:t>
            </w:r>
            <w:r>
              <w:rPr>
                <w:rFonts w:hint="eastAsia" w:ascii="宋体" w:hAnsi="宋体" w:eastAsia="宋体" w:cs="宋体"/>
                <w:sz w:val="22"/>
                <w:szCs w:val="22"/>
                <w:lang w:val="en-US" w:eastAsia="zh-CN"/>
              </w:rPr>
              <w:t>天</w:t>
            </w:r>
            <w:r>
              <w:rPr>
                <w:rFonts w:hint="eastAsia" w:ascii="宋体" w:hAnsi="宋体" w:eastAsia="宋体" w:cs="宋体"/>
                <w:sz w:val="22"/>
                <w:szCs w:val="22"/>
              </w:rPr>
              <w:t>；录像支持OSD信息叠加，叠加的信息至少包括日期、时间（精确到秒）、监控点名称、设备编号等信息。</w:t>
            </w:r>
          </w:p>
          <w:p w14:paraId="273C39FE">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kern w:val="2"/>
                <w:sz w:val="22"/>
                <w:szCs w:val="22"/>
                <w:lang w:val="en-US" w:eastAsia="zh-CN" w:bidi="ar-SA"/>
              </w:rPr>
            </w:pPr>
            <w:r>
              <w:rPr>
                <w:rFonts w:hint="eastAsia" w:ascii="宋体" w:hAnsi="宋体" w:eastAsia="宋体" w:cs="宋体"/>
                <w:b/>
                <w:bCs/>
                <w:kern w:val="2"/>
                <w:sz w:val="22"/>
                <w:szCs w:val="22"/>
                <w:lang w:val="en-US" w:eastAsia="zh-CN" w:bidi="ar-SA"/>
              </w:rPr>
              <w:t>3.2.8通行车辆检测</w:t>
            </w:r>
          </w:p>
          <w:p w14:paraId="198FF413">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宜采用两种及以上车辆检测技术，当其中某种车辆检测技术或多种车辆检测技术出现故障时，应能上报车辆检测技术故障信息，上报时间应小于60</w:t>
            </w:r>
            <w:r>
              <w:rPr>
                <w:rFonts w:hint="eastAsia" w:ascii="宋体" w:hAnsi="宋体" w:eastAsia="宋体" w:cs="宋体"/>
                <w:sz w:val="22"/>
                <w:szCs w:val="22"/>
                <w:lang w:val="en-US" w:eastAsia="zh-CN"/>
              </w:rPr>
              <w:t>秒</w:t>
            </w:r>
            <w:r>
              <w:rPr>
                <w:rFonts w:hint="eastAsia" w:ascii="宋体" w:hAnsi="宋体" w:eastAsia="宋体" w:cs="宋体"/>
                <w:sz w:val="22"/>
                <w:szCs w:val="22"/>
              </w:rPr>
              <w:t>。</w:t>
            </w:r>
          </w:p>
          <w:p w14:paraId="17CE76BD">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kern w:val="2"/>
                <w:sz w:val="22"/>
                <w:szCs w:val="22"/>
                <w:lang w:val="en-US" w:eastAsia="zh-CN" w:bidi="ar-SA"/>
              </w:rPr>
            </w:pPr>
            <w:r>
              <w:rPr>
                <w:rFonts w:hint="eastAsia" w:ascii="宋体" w:hAnsi="宋体" w:eastAsia="宋体" w:cs="宋体"/>
                <w:b/>
                <w:bCs/>
                <w:kern w:val="2"/>
                <w:sz w:val="22"/>
                <w:szCs w:val="22"/>
                <w:lang w:val="en-US" w:eastAsia="zh-CN" w:bidi="ar-SA"/>
              </w:rPr>
              <w:t>3.2.9车辆图像记录</w:t>
            </w:r>
          </w:p>
          <w:p w14:paraId="53ADC7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系统应能记录通行车辆经过监测点时的全景图像和特征图像。</w:t>
            </w:r>
          </w:p>
          <w:p w14:paraId="7730D3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全景图像中应标明车辆经过监测点的时间、地点、行驶方向等通行数据。</w:t>
            </w:r>
          </w:p>
          <w:p w14:paraId="747225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(3)</w:t>
            </w:r>
            <w:r>
              <w:rPr>
                <w:rFonts w:hint="eastAsia" w:ascii="宋体" w:hAnsi="宋体" w:eastAsia="宋体" w:cs="宋体"/>
                <w:sz w:val="22"/>
                <w:szCs w:val="22"/>
              </w:rPr>
              <w:t>通过监测点的车辆图像捕获率应不小于99%。</w:t>
            </w:r>
          </w:p>
          <w:p w14:paraId="0BE01B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(4)</w:t>
            </w:r>
            <w:r>
              <w:rPr>
                <w:rFonts w:hint="eastAsia" w:ascii="宋体" w:hAnsi="宋体" w:eastAsia="宋体" w:cs="宋体"/>
                <w:sz w:val="22"/>
                <w:szCs w:val="22"/>
              </w:rPr>
              <w:t>当监测点为同向</w:t>
            </w:r>
            <w:r>
              <w:rPr>
                <w:rFonts w:hint="eastAsia" w:ascii="宋体" w:hAnsi="宋体" w:eastAsia="宋体" w:cs="宋体"/>
                <w:sz w:val="22"/>
                <w:szCs w:val="22"/>
                <w:lang w:val="en-US" w:eastAsia="zh-CN"/>
              </w:rPr>
              <w:t>相邻</w:t>
            </w:r>
            <w:r>
              <w:rPr>
                <w:rFonts w:hint="eastAsia" w:ascii="宋体" w:hAnsi="宋体" w:eastAsia="宋体" w:cs="宋体"/>
                <w:sz w:val="22"/>
                <w:szCs w:val="22"/>
              </w:rPr>
              <w:t>的2个及以上车道时，车辆图像捕获应能记录通行车辆骑、压车道线行驶的情况。</w:t>
            </w:r>
          </w:p>
          <w:p w14:paraId="57FD32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(5)</w:t>
            </w:r>
            <w:r>
              <w:rPr>
                <w:rFonts w:hint="eastAsia" w:ascii="宋体" w:hAnsi="宋体" w:eastAsia="宋体" w:cs="宋体"/>
                <w:sz w:val="22"/>
                <w:szCs w:val="22"/>
              </w:rPr>
              <w:t>车辆图像捕获时应不受雨、雪、雾等天气</w:t>
            </w:r>
            <w:r>
              <w:rPr>
                <w:rFonts w:hint="eastAsia" w:ascii="宋体" w:hAnsi="宋体" w:eastAsia="宋体" w:cs="宋体"/>
                <w:sz w:val="22"/>
                <w:szCs w:val="22"/>
                <w:lang w:val="en-US" w:eastAsia="zh-CN"/>
              </w:rPr>
              <w:t>条件</w:t>
            </w:r>
            <w:r>
              <w:rPr>
                <w:rFonts w:hint="eastAsia" w:ascii="宋体" w:hAnsi="宋体" w:eastAsia="宋体" w:cs="宋体"/>
                <w:sz w:val="22"/>
                <w:szCs w:val="22"/>
              </w:rPr>
              <w:t>、环境光</w:t>
            </w:r>
            <w:r>
              <w:rPr>
                <w:rFonts w:hint="eastAsia" w:ascii="宋体" w:hAnsi="宋体" w:eastAsia="宋体" w:cs="宋体"/>
                <w:sz w:val="22"/>
                <w:szCs w:val="22"/>
                <w:lang w:val="en-US" w:eastAsia="zh-CN"/>
              </w:rPr>
              <w:t>线</w:t>
            </w:r>
            <w:r>
              <w:rPr>
                <w:rFonts w:hint="eastAsia" w:ascii="宋体" w:hAnsi="宋体" w:eastAsia="宋体" w:cs="宋体"/>
                <w:sz w:val="22"/>
                <w:szCs w:val="22"/>
              </w:rPr>
              <w:t>和</w:t>
            </w:r>
            <w:r>
              <w:rPr>
                <w:rFonts w:hint="eastAsia" w:ascii="宋体" w:hAnsi="宋体" w:eastAsia="宋体" w:cs="宋体"/>
                <w:sz w:val="22"/>
                <w:szCs w:val="22"/>
                <w:lang w:val="en-US" w:eastAsia="zh-CN"/>
              </w:rPr>
              <w:t>相邻</w:t>
            </w:r>
            <w:r>
              <w:rPr>
                <w:rFonts w:hint="eastAsia" w:ascii="宋体" w:hAnsi="宋体" w:eastAsia="宋体" w:cs="宋体"/>
                <w:sz w:val="22"/>
                <w:szCs w:val="22"/>
              </w:rPr>
              <w:t>车道通行车辆的影响，空拍和重拍的图像记录应小于3%。</w:t>
            </w:r>
          </w:p>
          <w:p w14:paraId="1328F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(6)</w:t>
            </w:r>
            <w:r>
              <w:rPr>
                <w:rFonts w:hint="eastAsia" w:ascii="宋体" w:hAnsi="宋体" w:eastAsia="宋体" w:cs="宋体"/>
                <w:sz w:val="22"/>
                <w:szCs w:val="22"/>
              </w:rPr>
              <w:t>当车辆图像为前部特征图像时，记录的驾驶人面部图像不小于100×100个像素点。</w:t>
            </w:r>
          </w:p>
          <w:p w14:paraId="56FE26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(7)</w:t>
            </w:r>
            <w:r>
              <w:rPr>
                <w:rFonts w:hint="eastAsia" w:ascii="宋体" w:hAnsi="宋体" w:eastAsia="宋体" w:cs="宋体"/>
                <w:sz w:val="22"/>
                <w:szCs w:val="22"/>
              </w:rPr>
              <w:t>当车辆图像用于道路交通安全违法行为证据时，应符合GA/T 832的要求。</w:t>
            </w:r>
          </w:p>
          <w:p w14:paraId="4A540D75">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3.2.10</w:t>
            </w:r>
            <w:r>
              <w:rPr>
                <w:rFonts w:hint="eastAsia" w:ascii="宋体" w:hAnsi="宋体" w:eastAsia="宋体" w:cs="宋体"/>
                <w:b/>
                <w:bCs/>
                <w:sz w:val="22"/>
                <w:szCs w:val="22"/>
              </w:rPr>
              <w:t>图像取证设备</w:t>
            </w:r>
          </w:p>
          <w:p w14:paraId="5BB829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图像取证设备应能清晰记录道路交通安全违法行为的证据图片。</w:t>
            </w:r>
          </w:p>
          <w:p w14:paraId="0A83894F">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3.2.11</w:t>
            </w:r>
            <w:r>
              <w:rPr>
                <w:rFonts w:hint="eastAsia" w:ascii="宋体" w:hAnsi="宋体" w:eastAsia="宋体" w:cs="宋体"/>
                <w:b/>
                <w:bCs/>
                <w:sz w:val="22"/>
                <w:szCs w:val="22"/>
              </w:rPr>
              <w:t>计时误差</w:t>
            </w:r>
          </w:p>
          <w:p w14:paraId="29CB1C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图像取证设备时钟与北京时间的误差不超过1.0秒。</w:t>
            </w:r>
          </w:p>
          <w:p w14:paraId="252D410F">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3.2.12</w:t>
            </w:r>
            <w:r>
              <w:rPr>
                <w:rFonts w:hint="eastAsia" w:ascii="宋体" w:hAnsi="宋体" w:eastAsia="宋体" w:cs="宋体"/>
                <w:b/>
                <w:bCs/>
                <w:sz w:val="22"/>
                <w:szCs w:val="22"/>
              </w:rPr>
              <w:t>图片数量</w:t>
            </w:r>
          </w:p>
          <w:p w14:paraId="55A4A0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(1)不少于2幅不同时间拍摄的机动车全景特征图片。</w:t>
            </w:r>
          </w:p>
          <w:p w14:paraId="535B71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(2)采用图片加视频方式取证的，应采集至少1幅机动车全景特征图片。</w:t>
            </w:r>
          </w:p>
          <w:p w14:paraId="27F00ACD">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3.2.13</w:t>
            </w:r>
            <w:r>
              <w:rPr>
                <w:rFonts w:hint="eastAsia" w:ascii="宋体" w:hAnsi="宋体" w:eastAsia="宋体" w:cs="宋体"/>
                <w:b/>
                <w:bCs/>
                <w:sz w:val="22"/>
                <w:szCs w:val="22"/>
              </w:rPr>
              <w:t>图片质量</w:t>
            </w:r>
          </w:p>
          <w:p w14:paraId="2CEAA5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记录的图片质量应符合如下要求：</w:t>
            </w:r>
          </w:p>
          <w:p w14:paraId="7053C9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(1)记录的图片应为24位真彩图像；</w:t>
            </w:r>
          </w:p>
          <w:p w14:paraId="081291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(2)基于模拟视频的图片分辨率应不小于1920×1080像素点；</w:t>
            </w:r>
          </w:p>
          <w:p w14:paraId="0D3EA0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(3)基于数字成像设备的图片分辨率应不小于1920×1080像素点。</w:t>
            </w:r>
          </w:p>
          <w:p w14:paraId="0FFC26B9">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3.2.14</w:t>
            </w:r>
            <w:r>
              <w:rPr>
                <w:rFonts w:hint="eastAsia" w:ascii="宋体" w:hAnsi="宋体" w:eastAsia="宋体" w:cs="宋体"/>
                <w:b/>
                <w:bCs/>
                <w:sz w:val="22"/>
                <w:szCs w:val="22"/>
              </w:rPr>
              <w:t>间隔时间</w:t>
            </w:r>
          </w:p>
          <w:p w14:paraId="294006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机动车全景特征图片的间隔时间要求如下：</w:t>
            </w:r>
          </w:p>
          <w:p w14:paraId="5DD440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(1)机动车行驶状态下发生的道路交通安全违法行为，间隔时间应确保机动车全景特征图片中机动车有明显的位移；</w:t>
            </w:r>
          </w:p>
          <w:p w14:paraId="748D6D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(2)机动车静止状态下发生的道路交通安全违法行为，间隔时间应不小于10</w:t>
            </w:r>
            <w:r>
              <w:rPr>
                <w:rFonts w:hint="eastAsia" w:ascii="宋体" w:hAnsi="宋体" w:eastAsia="宋体" w:cs="宋体"/>
                <w:sz w:val="22"/>
                <w:szCs w:val="22"/>
                <w:lang w:val="en-US" w:eastAsia="zh-CN"/>
              </w:rPr>
              <w:t>秒</w:t>
            </w:r>
            <w:r>
              <w:rPr>
                <w:rFonts w:hint="eastAsia" w:ascii="宋体" w:hAnsi="宋体" w:eastAsia="宋体" w:cs="宋体"/>
                <w:kern w:val="2"/>
                <w:sz w:val="22"/>
                <w:szCs w:val="22"/>
                <w:lang w:val="en-US" w:eastAsia="zh-CN" w:bidi="ar-SA"/>
              </w:rPr>
              <w:t>。</w:t>
            </w:r>
          </w:p>
          <w:p w14:paraId="569F112F">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3.2.15</w:t>
            </w:r>
            <w:r>
              <w:rPr>
                <w:rFonts w:hint="eastAsia" w:ascii="宋体" w:hAnsi="宋体" w:eastAsia="宋体" w:cs="宋体"/>
                <w:b/>
                <w:bCs/>
                <w:sz w:val="22"/>
                <w:szCs w:val="22"/>
              </w:rPr>
              <w:t>叠加信息</w:t>
            </w:r>
          </w:p>
          <w:p w14:paraId="74074A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基本信息：叠加在每幅图片上的信息至少应包括违法时间、违法地点、违法代码、违法行为、图像取证设备编号、防伪信息等内容。</w:t>
            </w:r>
          </w:p>
          <w:p w14:paraId="514CBBD9">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3.2.16</w:t>
            </w:r>
            <w:r>
              <w:rPr>
                <w:rFonts w:hint="eastAsia" w:ascii="宋体" w:hAnsi="宋体" w:eastAsia="宋体" w:cs="宋体"/>
                <w:b/>
                <w:bCs/>
                <w:sz w:val="22"/>
                <w:szCs w:val="22"/>
              </w:rPr>
              <w:t>时间信息</w:t>
            </w:r>
          </w:p>
          <w:p w14:paraId="134B9C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图片上叠加的时间信息应符合如下要求：</w:t>
            </w:r>
          </w:p>
          <w:p w14:paraId="395003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(1)对于机动车行驶过程中发生的道路交通安全违法行为，叠加在图片上的违法时间应精确到0.01</w:t>
            </w:r>
            <w:r>
              <w:rPr>
                <w:rFonts w:hint="eastAsia" w:ascii="宋体" w:hAnsi="宋体" w:eastAsia="宋体" w:cs="宋体"/>
                <w:sz w:val="22"/>
                <w:szCs w:val="22"/>
                <w:lang w:val="en-US" w:eastAsia="zh-CN"/>
              </w:rPr>
              <w:t>秒</w:t>
            </w:r>
            <w:r>
              <w:rPr>
                <w:rFonts w:hint="eastAsia" w:ascii="宋体" w:hAnsi="宋体" w:eastAsia="宋体" w:cs="宋体"/>
                <w:kern w:val="2"/>
                <w:sz w:val="22"/>
                <w:szCs w:val="22"/>
                <w:lang w:val="en-US" w:eastAsia="zh-CN" w:bidi="ar-SA"/>
              </w:rPr>
              <w:t>；</w:t>
            </w:r>
          </w:p>
          <w:p w14:paraId="5C7EF6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(2)对于机动车静止状况下发生的道路交通安全违法行为，叠加在图片上的违法时间应精确到1.0</w:t>
            </w:r>
            <w:r>
              <w:rPr>
                <w:rFonts w:hint="eastAsia" w:ascii="宋体" w:hAnsi="宋体" w:eastAsia="宋体" w:cs="宋体"/>
                <w:sz w:val="22"/>
                <w:szCs w:val="22"/>
                <w:lang w:val="en-US" w:eastAsia="zh-CN"/>
              </w:rPr>
              <w:t>秒</w:t>
            </w:r>
            <w:r>
              <w:rPr>
                <w:rFonts w:hint="eastAsia" w:ascii="宋体" w:hAnsi="宋体" w:eastAsia="宋体" w:cs="宋体"/>
                <w:kern w:val="2"/>
                <w:sz w:val="22"/>
                <w:szCs w:val="22"/>
                <w:lang w:val="en-US" w:eastAsia="zh-CN" w:bidi="ar-SA"/>
              </w:rPr>
              <w:t>。</w:t>
            </w:r>
          </w:p>
          <w:p w14:paraId="6E08D15C">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3.2.17</w:t>
            </w:r>
            <w:r>
              <w:rPr>
                <w:rFonts w:hint="eastAsia" w:ascii="宋体" w:hAnsi="宋体" w:eastAsia="宋体" w:cs="宋体"/>
                <w:b/>
                <w:bCs/>
                <w:sz w:val="22"/>
                <w:szCs w:val="22"/>
              </w:rPr>
              <w:t>叠加位置</w:t>
            </w:r>
          </w:p>
          <w:p w14:paraId="0D136D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图片上叠加的信息应不影响道路交通安全违法行为认定。</w:t>
            </w:r>
          </w:p>
          <w:p w14:paraId="168E3D70">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3.2.18</w:t>
            </w:r>
            <w:r>
              <w:rPr>
                <w:rFonts w:hint="eastAsia" w:ascii="宋体" w:hAnsi="宋体" w:eastAsia="宋体" w:cs="宋体"/>
                <w:b/>
                <w:bCs/>
                <w:sz w:val="22"/>
                <w:szCs w:val="22"/>
              </w:rPr>
              <w:t>证据图片</w:t>
            </w:r>
          </w:p>
          <w:p w14:paraId="489612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原始图片应集合为图片证据，图片证据集合过程中不得改变每幅图片的尺寸、像素值、色彩等原始成像内容。</w:t>
            </w:r>
          </w:p>
          <w:p w14:paraId="6E859082">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3.2.19</w:t>
            </w:r>
            <w:r>
              <w:rPr>
                <w:rFonts w:hint="eastAsia" w:ascii="宋体" w:hAnsi="宋体" w:eastAsia="宋体" w:cs="宋体"/>
                <w:sz w:val="22"/>
                <w:szCs w:val="22"/>
                <w:lang w:eastAsia="zh-CN"/>
              </w:rPr>
              <w:t>存储</w:t>
            </w:r>
            <w:r>
              <w:rPr>
                <w:rFonts w:hint="eastAsia" w:ascii="宋体" w:hAnsi="宋体" w:eastAsia="宋体" w:cs="宋体"/>
                <w:b/>
                <w:bCs/>
                <w:sz w:val="22"/>
                <w:szCs w:val="22"/>
              </w:rPr>
              <w:t>格式</w:t>
            </w:r>
          </w:p>
          <w:p w14:paraId="5B26EF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图片采用JPEG编码，以JFIF或JPEG文件格式</w:t>
            </w:r>
            <w:r>
              <w:rPr>
                <w:rFonts w:hint="eastAsia" w:ascii="宋体" w:hAnsi="宋体" w:eastAsia="宋体" w:cs="宋体"/>
                <w:sz w:val="22"/>
                <w:szCs w:val="22"/>
                <w:lang w:eastAsia="zh-CN"/>
              </w:rPr>
              <w:t>存储</w:t>
            </w:r>
            <w:r>
              <w:rPr>
                <w:rFonts w:hint="eastAsia" w:ascii="宋体" w:hAnsi="宋体" w:eastAsia="宋体" w:cs="宋体"/>
                <w:kern w:val="2"/>
                <w:sz w:val="22"/>
                <w:szCs w:val="22"/>
                <w:lang w:val="en-US" w:eastAsia="zh-CN" w:bidi="ar-SA"/>
              </w:rPr>
              <w:t>，压缩因子应低于70。</w:t>
            </w:r>
          </w:p>
          <w:p w14:paraId="735A0838">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3.2.20</w:t>
            </w:r>
            <w:r>
              <w:rPr>
                <w:rFonts w:hint="eastAsia" w:ascii="宋体" w:hAnsi="宋体" w:eastAsia="宋体" w:cs="宋体"/>
                <w:b/>
                <w:bCs/>
                <w:sz w:val="22"/>
                <w:szCs w:val="22"/>
              </w:rPr>
              <w:t>防伪要求</w:t>
            </w:r>
          </w:p>
          <w:p w14:paraId="432996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每幅交通违法行为图片应包含原始防伪信息，防止原始图片在传输、</w:t>
            </w:r>
            <w:r>
              <w:rPr>
                <w:rFonts w:hint="eastAsia" w:ascii="宋体" w:hAnsi="宋体" w:eastAsia="宋体" w:cs="宋体"/>
                <w:sz w:val="22"/>
                <w:szCs w:val="22"/>
                <w:lang w:eastAsia="zh-CN"/>
              </w:rPr>
              <w:t>存储</w:t>
            </w:r>
            <w:r>
              <w:rPr>
                <w:rFonts w:hint="eastAsia" w:ascii="宋体" w:hAnsi="宋体" w:eastAsia="宋体" w:cs="宋体"/>
                <w:kern w:val="2"/>
                <w:sz w:val="22"/>
                <w:szCs w:val="22"/>
                <w:lang w:val="en-US" w:eastAsia="zh-CN" w:bidi="ar-SA"/>
              </w:rPr>
              <w:t>和校对过程中被人为篡改。</w:t>
            </w:r>
          </w:p>
          <w:p w14:paraId="2275C2DE">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3.2.21</w:t>
            </w:r>
            <w:r>
              <w:rPr>
                <w:rFonts w:hint="eastAsia" w:ascii="宋体" w:hAnsi="宋体" w:eastAsia="宋体" w:cs="宋体"/>
                <w:b/>
                <w:bCs/>
                <w:sz w:val="22"/>
                <w:szCs w:val="22"/>
              </w:rPr>
              <w:t>驾驶人图片</w:t>
            </w:r>
          </w:p>
          <w:p w14:paraId="619495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作为辨别机动车驾驶人的辅助图片要求如下：</w:t>
            </w:r>
          </w:p>
          <w:p w14:paraId="412062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(1)驾驶人图片中脸部特征的信息应不小于100×100个像素点；</w:t>
            </w:r>
          </w:p>
          <w:p w14:paraId="07F8D9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(2)从机动车后部采集道路交通安全违法行为证据图片的，应增加驾驶人图片。</w:t>
            </w:r>
          </w:p>
          <w:p w14:paraId="4BF986D4">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3.2.22</w:t>
            </w:r>
            <w:r>
              <w:rPr>
                <w:rFonts w:hint="eastAsia" w:ascii="宋体" w:hAnsi="宋体" w:eastAsia="宋体" w:cs="宋体"/>
                <w:b/>
                <w:bCs/>
                <w:sz w:val="22"/>
                <w:szCs w:val="22"/>
              </w:rPr>
              <w:t>车流量记录</w:t>
            </w:r>
          </w:p>
          <w:p w14:paraId="3F8CCA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应能准确记录车流量，信息应符合GA/T 920的要求，检测精度应不小于90%。</w:t>
            </w:r>
          </w:p>
          <w:p w14:paraId="464EE641">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3.2.23</w:t>
            </w:r>
            <w:r>
              <w:rPr>
                <w:rFonts w:hint="eastAsia" w:ascii="宋体" w:hAnsi="宋体" w:eastAsia="宋体" w:cs="宋体"/>
                <w:b/>
                <w:bCs/>
                <w:sz w:val="22"/>
                <w:szCs w:val="22"/>
              </w:rPr>
              <w:t>自动报警</w:t>
            </w:r>
          </w:p>
          <w:p w14:paraId="60FEBA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应具备布控缉查车辆自动报警功能，当系统识别出来的车辆号牌结果属于布控车辆时，应能生成报警信息，并支持现场报警和远程报警。</w:t>
            </w:r>
          </w:p>
          <w:p w14:paraId="70E1DC06">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3.2.24</w:t>
            </w:r>
            <w:r>
              <w:rPr>
                <w:rFonts w:hint="eastAsia" w:ascii="宋体" w:hAnsi="宋体" w:eastAsia="宋体" w:cs="宋体"/>
                <w:b/>
                <w:bCs/>
                <w:sz w:val="22"/>
                <w:szCs w:val="22"/>
              </w:rPr>
              <w:t>图像要求</w:t>
            </w:r>
          </w:p>
          <w:p w14:paraId="3474CE39">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（1）分辨率</w:t>
            </w:r>
          </w:p>
          <w:p w14:paraId="4AE82C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 xml:space="preserve">应确保车辆号牌在图像中的水平分辨率不小于100个像素点，并包含车牌的完整信息。 </w:t>
            </w:r>
          </w:p>
          <w:p w14:paraId="6DA8E690">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（2）清晰度</w:t>
            </w:r>
          </w:p>
          <w:p w14:paraId="4FF4A49A">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 xml:space="preserve">应能满足人工对车辆类型、颜色和轮廓及装载情况认定的要求。 </w:t>
            </w:r>
          </w:p>
          <w:p w14:paraId="0E406806">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（3）编码</w:t>
            </w:r>
          </w:p>
          <w:p w14:paraId="4822BBBA">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sz w:val="22"/>
                <w:szCs w:val="22"/>
                <w:lang w:eastAsia="zh-CN"/>
              </w:rPr>
              <w:t>存储</w:t>
            </w:r>
            <w:r>
              <w:rPr>
                <w:rFonts w:hint="eastAsia" w:ascii="宋体" w:hAnsi="宋体" w:eastAsia="宋体" w:cs="宋体"/>
                <w:kern w:val="2"/>
                <w:sz w:val="22"/>
                <w:szCs w:val="22"/>
                <w:lang w:val="en-US" w:eastAsia="zh-CN" w:bidi="ar-SA"/>
              </w:rPr>
              <w:t xml:space="preserve">的车辆图像编码应符合ISO/IEC 15444:1994的要求。 </w:t>
            </w:r>
          </w:p>
          <w:p w14:paraId="6015448B">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（4）防篡改</w:t>
            </w:r>
          </w:p>
          <w:p w14:paraId="0AEB4A3A">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应对车辆图像文件进行防篡改保护。</w:t>
            </w:r>
          </w:p>
          <w:p w14:paraId="4952178D">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3.2.25</w:t>
            </w:r>
            <w:r>
              <w:rPr>
                <w:rFonts w:hint="eastAsia" w:ascii="宋体" w:hAnsi="宋体" w:eastAsia="宋体" w:cs="宋体"/>
                <w:sz w:val="22"/>
                <w:szCs w:val="22"/>
                <w:lang w:eastAsia="zh-CN"/>
              </w:rPr>
              <w:t>存储</w:t>
            </w:r>
            <w:r>
              <w:rPr>
                <w:rFonts w:hint="eastAsia" w:ascii="宋体" w:hAnsi="宋体" w:eastAsia="宋体" w:cs="宋体"/>
                <w:b/>
                <w:bCs/>
                <w:sz w:val="22"/>
                <w:szCs w:val="22"/>
              </w:rPr>
              <w:t>要求</w:t>
            </w:r>
          </w:p>
          <w:p w14:paraId="37E2039D">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（1）格式</w:t>
            </w:r>
          </w:p>
          <w:p w14:paraId="01E57CA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 xml:space="preserve">图像文件应采用JPG格式，记录的车辆通行数据。 </w:t>
            </w:r>
          </w:p>
          <w:p w14:paraId="3CC50887">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（2）数量</w:t>
            </w:r>
          </w:p>
          <w:p w14:paraId="7BEBF676">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应</w:t>
            </w:r>
            <w:r>
              <w:rPr>
                <w:rFonts w:hint="eastAsia" w:ascii="宋体" w:hAnsi="宋体" w:eastAsia="宋体" w:cs="宋体"/>
                <w:sz w:val="22"/>
                <w:szCs w:val="22"/>
                <w:lang w:eastAsia="zh-CN"/>
              </w:rPr>
              <w:t>存储</w:t>
            </w:r>
            <w:r>
              <w:rPr>
                <w:rFonts w:hint="eastAsia" w:ascii="宋体" w:hAnsi="宋体" w:eastAsia="宋体" w:cs="宋体"/>
                <w:sz w:val="22"/>
                <w:szCs w:val="22"/>
              </w:rPr>
              <w:t>通行车辆的全景图像、特征图像、号牌图像各1张。当全景图像满足特征图像要求时，可</w:t>
            </w:r>
            <w:r>
              <w:rPr>
                <w:rFonts w:hint="eastAsia" w:ascii="宋体" w:hAnsi="宋体" w:eastAsia="宋体" w:cs="宋体"/>
                <w:sz w:val="22"/>
                <w:szCs w:val="22"/>
                <w:lang w:eastAsia="zh-CN"/>
              </w:rPr>
              <w:t>存储</w:t>
            </w:r>
            <w:r>
              <w:rPr>
                <w:rFonts w:hint="eastAsia" w:ascii="宋体" w:hAnsi="宋体" w:eastAsia="宋体" w:cs="宋体"/>
                <w:sz w:val="22"/>
                <w:szCs w:val="22"/>
              </w:rPr>
              <w:t>全景图像和号牌图像各1张。</w:t>
            </w:r>
          </w:p>
          <w:p w14:paraId="27639067">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（3）容量</w:t>
            </w:r>
          </w:p>
          <w:p w14:paraId="163C63AF">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应确保前端</w:t>
            </w:r>
            <w:r>
              <w:rPr>
                <w:rFonts w:hint="eastAsia" w:ascii="宋体" w:hAnsi="宋体" w:eastAsia="宋体" w:cs="宋体"/>
                <w:sz w:val="22"/>
                <w:szCs w:val="22"/>
                <w:lang w:eastAsia="zh-CN"/>
              </w:rPr>
              <w:t>存储</w:t>
            </w:r>
            <w:r>
              <w:rPr>
                <w:rFonts w:hint="eastAsia" w:ascii="宋体" w:hAnsi="宋体" w:eastAsia="宋体" w:cs="宋体"/>
                <w:sz w:val="22"/>
                <w:szCs w:val="22"/>
              </w:rPr>
              <w:t>通行车辆记录数不小于30万辆，当超出最大</w:t>
            </w:r>
            <w:r>
              <w:rPr>
                <w:rFonts w:hint="eastAsia" w:ascii="宋体" w:hAnsi="宋体" w:eastAsia="宋体" w:cs="宋体"/>
                <w:sz w:val="22"/>
                <w:szCs w:val="22"/>
                <w:lang w:eastAsia="zh-CN"/>
              </w:rPr>
              <w:t>存储</w:t>
            </w:r>
            <w:r>
              <w:rPr>
                <w:rFonts w:hint="eastAsia" w:ascii="宋体" w:hAnsi="宋体" w:eastAsia="宋体" w:cs="宋体"/>
                <w:sz w:val="22"/>
                <w:szCs w:val="22"/>
              </w:rPr>
              <w:t>容量时，自动对车辆信息和图片进行循环覆盖。</w:t>
            </w:r>
          </w:p>
          <w:p w14:paraId="626EB46D">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3.2.26</w:t>
            </w:r>
            <w:r>
              <w:rPr>
                <w:rFonts w:hint="eastAsia" w:ascii="宋体" w:hAnsi="宋体" w:eastAsia="宋体" w:cs="宋体"/>
                <w:b/>
                <w:bCs/>
                <w:sz w:val="22"/>
                <w:szCs w:val="22"/>
              </w:rPr>
              <w:t>数据传输</w:t>
            </w:r>
          </w:p>
          <w:p w14:paraId="0ED6B105">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通过网络将车辆信息上传到中山市公安局视频云，当网络或传输故障恢复时，系统应能自动上传未上传或上传错误的信息，且优先上传最新采集的信息。</w:t>
            </w:r>
          </w:p>
          <w:p w14:paraId="4481D8D6">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3.2.27</w:t>
            </w:r>
            <w:r>
              <w:rPr>
                <w:rFonts w:hint="eastAsia" w:ascii="宋体" w:hAnsi="宋体" w:eastAsia="宋体" w:cs="宋体"/>
                <w:b/>
                <w:bCs/>
                <w:sz w:val="22"/>
                <w:szCs w:val="22"/>
              </w:rPr>
              <w:t>运行状态管理</w:t>
            </w:r>
          </w:p>
          <w:p w14:paraId="08BC4FB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系统应能支持远程调取设备运行状态信息。</w:t>
            </w:r>
          </w:p>
          <w:p w14:paraId="2F48B69F">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3.2.28</w:t>
            </w:r>
            <w:r>
              <w:rPr>
                <w:rFonts w:hint="eastAsia" w:ascii="宋体" w:hAnsi="宋体" w:eastAsia="宋体" w:cs="宋体"/>
                <w:b/>
                <w:bCs/>
                <w:sz w:val="22"/>
                <w:szCs w:val="22"/>
              </w:rPr>
              <w:t>数据检索</w:t>
            </w:r>
          </w:p>
          <w:p w14:paraId="57C68FF6">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系统应具备按车辆信息检索的功能，按不同权限对数据库进行操作，并提供模糊查询、数据备份和数据打印输出功能。</w:t>
            </w:r>
          </w:p>
          <w:p w14:paraId="0F73FA1C">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3.2.29</w:t>
            </w:r>
            <w:r>
              <w:rPr>
                <w:rFonts w:hint="eastAsia" w:ascii="宋体" w:hAnsi="宋体" w:eastAsia="宋体" w:cs="宋体"/>
                <w:b/>
                <w:bCs/>
                <w:sz w:val="22"/>
                <w:szCs w:val="22"/>
              </w:rPr>
              <w:t>流量统计</w:t>
            </w:r>
          </w:p>
          <w:p w14:paraId="0C4EB6D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系统应能够按车道和时段进行车辆流量、平均速度、车辆类型、占有率、平均车头时距、平均排队长度、饱和度等数据的统计，所有统计数据应支持以报表形式输出。</w:t>
            </w:r>
          </w:p>
          <w:p w14:paraId="46318276">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3.2.30</w:t>
            </w:r>
            <w:r>
              <w:rPr>
                <w:rFonts w:hint="eastAsia" w:ascii="宋体" w:hAnsi="宋体" w:eastAsia="宋体" w:cs="宋体"/>
                <w:b/>
                <w:bCs/>
                <w:sz w:val="22"/>
                <w:szCs w:val="22"/>
              </w:rPr>
              <w:t>同步补光</w:t>
            </w:r>
          </w:p>
          <w:p w14:paraId="368AD512">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系统采用的补光灯应符合 GA/T 1202-2022《交通技术监控成像补光装置通用技术条件》规定。</w:t>
            </w:r>
          </w:p>
          <w:p w14:paraId="783FE2A0">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3.2.31</w:t>
            </w:r>
            <w:r>
              <w:rPr>
                <w:rFonts w:hint="eastAsia" w:ascii="宋体" w:hAnsi="宋体" w:eastAsia="宋体" w:cs="宋体"/>
                <w:b/>
                <w:bCs/>
                <w:sz w:val="22"/>
                <w:szCs w:val="22"/>
              </w:rPr>
              <w:t>时钟同步与计时误差</w:t>
            </w:r>
          </w:p>
          <w:p w14:paraId="3FA21EAE">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系统时间应与北京时间同步，24小时误差应小于1</w:t>
            </w:r>
            <w:r>
              <w:rPr>
                <w:rFonts w:hint="eastAsia" w:ascii="宋体" w:hAnsi="宋体" w:eastAsia="宋体" w:cs="宋体"/>
                <w:sz w:val="22"/>
                <w:szCs w:val="22"/>
                <w:lang w:val="en-US" w:eastAsia="zh-CN"/>
              </w:rPr>
              <w:t>秒</w:t>
            </w:r>
            <w:r>
              <w:rPr>
                <w:rFonts w:hint="eastAsia" w:ascii="宋体" w:hAnsi="宋体" w:eastAsia="宋体" w:cs="宋体"/>
                <w:kern w:val="2"/>
                <w:sz w:val="22"/>
                <w:szCs w:val="22"/>
                <w:lang w:val="en-US" w:eastAsia="zh-CN" w:bidi="ar-SA"/>
              </w:rPr>
              <w:t>。</w:t>
            </w:r>
          </w:p>
          <w:p w14:paraId="447C6B52">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3.2.32</w:t>
            </w:r>
            <w:r>
              <w:rPr>
                <w:rFonts w:hint="eastAsia" w:ascii="宋体" w:hAnsi="宋体" w:eastAsia="宋体" w:cs="宋体"/>
                <w:b/>
                <w:bCs/>
                <w:sz w:val="22"/>
                <w:szCs w:val="22"/>
              </w:rPr>
              <w:t>机动车电子标识读取与比对</w:t>
            </w:r>
          </w:p>
          <w:p w14:paraId="2FE41DB3">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对具备机动车电子标识</w:t>
            </w:r>
            <w:r>
              <w:rPr>
                <w:rFonts w:hint="eastAsia" w:ascii="宋体" w:hAnsi="宋体" w:eastAsia="宋体" w:cs="宋体"/>
                <w:b w:val="0"/>
                <w:bCs w:val="0"/>
                <w:sz w:val="22"/>
                <w:szCs w:val="22"/>
              </w:rPr>
              <w:t>读取</w:t>
            </w:r>
            <w:r>
              <w:rPr>
                <w:rFonts w:hint="eastAsia" w:ascii="宋体" w:hAnsi="宋体" w:eastAsia="宋体" w:cs="宋体"/>
                <w:kern w:val="2"/>
                <w:sz w:val="22"/>
                <w:szCs w:val="22"/>
                <w:lang w:val="en-US" w:eastAsia="zh-CN" w:bidi="ar-SA"/>
              </w:rPr>
              <w:t>功能的系统，应能自动比对图像中与电子标识中的号牌信息。</w:t>
            </w:r>
          </w:p>
          <w:p w14:paraId="27470A05">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3.2.33</w:t>
            </w:r>
            <w:r>
              <w:rPr>
                <w:rFonts w:hint="eastAsia" w:ascii="宋体" w:hAnsi="宋体" w:eastAsia="宋体" w:cs="宋体"/>
                <w:b/>
                <w:bCs/>
                <w:sz w:val="22"/>
                <w:szCs w:val="22"/>
              </w:rPr>
              <w:t>水平分辨率</w:t>
            </w:r>
          </w:p>
          <w:p w14:paraId="2E43ABF7">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成像装置水平分辨率如下：</w:t>
            </w:r>
          </w:p>
          <w:p w14:paraId="61E59839">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水平分辨率大于等于1600且小于2400个像素点，监控范围不超过同向2车道</w:t>
            </w:r>
            <w:r>
              <w:rPr>
                <w:rFonts w:hint="eastAsia" w:ascii="宋体" w:hAnsi="宋体" w:eastAsia="宋体" w:cs="宋体"/>
                <w:sz w:val="22"/>
                <w:szCs w:val="22"/>
                <w:lang w:eastAsia="zh-CN"/>
              </w:rPr>
              <w:t>。</w:t>
            </w:r>
          </w:p>
          <w:p w14:paraId="381C14B2">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水平分辨率大于等于2400且小于3200个像素点，监控范围不超过同向3车道</w:t>
            </w:r>
            <w:r>
              <w:rPr>
                <w:rFonts w:hint="eastAsia" w:ascii="宋体" w:hAnsi="宋体" w:eastAsia="宋体" w:cs="宋体"/>
                <w:sz w:val="22"/>
                <w:szCs w:val="22"/>
                <w:lang w:eastAsia="zh-CN"/>
              </w:rPr>
              <w:t>。</w:t>
            </w:r>
          </w:p>
          <w:p w14:paraId="749D59D7">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(3)</w:t>
            </w:r>
            <w:r>
              <w:rPr>
                <w:rFonts w:hint="eastAsia" w:ascii="宋体" w:hAnsi="宋体" w:eastAsia="宋体" w:cs="宋体"/>
                <w:sz w:val="22"/>
                <w:szCs w:val="22"/>
              </w:rPr>
              <w:t>水平分辨率大于等于3200且小于4000个像素点，监控范围不超过同向4车道</w:t>
            </w:r>
            <w:r>
              <w:rPr>
                <w:rFonts w:hint="eastAsia" w:ascii="宋体" w:hAnsi="宋体" w:eastAsia="宋体" w:cs="宋体"/>
                <w:sz w:val="22"/>
                <w:szCs w:val="22"/>
                <w:lang w:eastAsia="zh-CN"/>
              </w:rPr>
              <w:t>。</w:t>
            </w:r>
          </w:p>
          <w:p w14:paraId="11DE8AEA">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(4)</w:t>
            </w:r>
            <w:r>
              <w:rPr>
                <w:rFonts w:hint="eastAsia" w:ascii="宋体" w:hAnsi="宋体" w:eastAsia="宋体" w:cs="宋体"/>
                <w:sz w:val="22"/>
                <w:szCs w:val="22"/>
              </w:rPr>
              <w:t>水平分辨率大于等于4000个像素点，监控范围可超过同向4车道。</w:t>
            </w:r>
          </w:p>
          <w:p w14:paraId="5A29654E">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3.2.34</w:t>
            </w:r>
            <w:r>
              <w:rPr>
                <w:rFonts w:hint="eastAsia" w:ascii="宋体" w:hAnsi="宋体" w:eastAsia="宋体" w:cs="宋体"/>
                <w:b/>
                <w:bCs/>
                <w:sz w:val="22"/>
                <w:szCs w:val="22"/>
              </w:rPr>
              <w:t>水平扫描线</w:t>
            </w:r>
          </w:p>
          <w:p w14:paraId="4C34F6C2">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成像装置输出图像的视频中心水平扫描线应不小于800TVL。</w:t>
            </w:r>
          </w:p>
          <w:p w14:paraId="4CF1CE05">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3.2.35</w:t>
            </w:r>
            <w:r>
              <w:rPr>
                <w:rFonts w:hint="eastAsia" w:ascii="宋体" w:hAnsi="宋体" w:eastAsia="宋体" w:cs="宋体"/>
                <w:b/>
                <w:bCs/>
                <w:sz w:val="22"/>
                <w:szCs w:val="22"/>
              </w:rPr>
              <w:t>车身颜色还原性</w:t>
            </w:r>
          </w:p>
          <w:p w14:paraId="22839EC6">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成像装置的车身颜色还原性在6500k色温时平均色彩还原误差应不高于15，在其他色温时平均色彩还原误差应不高于20。</w:t>
            </w:r>
          </w:p>
          <w:p w14:paraId="122801EE">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3.2.36</w:t>
            </w:r>
            <w:r>
              <w:rPr>
                <w:rFonts w:hint="eastAsia" w:ascii="宋体" w:hAnsi="宋体" w:eastAsia="宋体" w:cs="宋体"/>
                <w:b/>
                <w:bCs/>
                <w:sz w:val="22"/>
                <w:szCs w:val="22"/>
              </w:rPr>
              <w:t>号牌最低照度</w:t>
            </w:r>
          </w:p>
          <w:p w14:paraId="431B78DA">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成像装置能分辨车辆号牌的最低照度应不高于0.5lux/F1.2。</w:t>
            </w:r>
          </w:p>
          <w:p w14:paraId="1F98A9A8">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3.2.37</w:t>
            </w:r>
            <w:r>
              <w:rPr>
                <w:rFonts w:hint="eastAsia" w:ascii="宋体" w:hAnsi="宋体" w:eastAsia="宋体" w:cs="宋体"/>
                <w:b/>
                <w:bCs/>
                <w:sz w:val="22"/>
                <w:szCs w:val="22"/>
              </w:rPr>
              <w:t>几何失真</w:t>
            </w:r>
          </w:p>
          <w:p w14:paraId="7D5D3022">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成像装置的几何失真应小于等于5%。</w:t>
            </w:r>
          </w:p>
          <w:p w14:paraId="6B2B0C53">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3.2.38</w:t>
            </w:r>
            <w:r>
              <w:rPr>
                <w:rFonts w:hint="eastAsia" w:ascii="宋体" w:hAnsi="宋体" w:eastAsia="宋体" w:cs="宋体"/>
                <w:b/>
                <w:bCs/>
                <w:sz w:val="22"/>
                <w:szCs w:val="22"/>
              </w:rPr>
              <w:t>外部接口</w:t>
            </w:r>
          </w:p>
          <w:p w14:paraId="7ED681C8">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成像装置应具备与外部设备连接的接口，包含RJ45接口、RS485/232接口、TTL电平或者IO输出接口，SD卡或者USB接口，其中RJ45网口不少于1个，RS485/232接口不少于1个，TTL电平或者IO输出接口不少于1个，SD卡或者USB接口不少于1个。</w:t>
            </w:r>
          </w:p>
          <w:p w14:paraId="1CB43E63">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3.2.39</w:t>
            </w:r>
            <w:r>
              <w:rPr>
                <w:rFonts w:hint="eastAsia" w:ascii="宋体" w:hAnsi="宋体" w:eastAsia="宋体" w:cs="宋体"/>
                <w:b/>
                <w:bCs/>
                <w:sz w:val="22"/>
                <w:szCs w:val="22"/>
              </w:rPr>
              <w:t>自动校时功能</w:t>
            </w:r>
          </w:p>
          <w:p w14:paraId="2190708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系统应具有自动校时功能。24小时内系统设备的计时误差应不超过1.0</w:t>
            </w:r>
            <w:r>
              <w:rPr>
                <w:rFonts w:hint="eastAsia" w:ascii="宋体" w:hAnsi="宋体" w:eastAsia="宋体" w:cs="宋体"/>
                <w:sz w:val="22"/>
                <w:szCs w:val="22"/>
                <w:lang w:val="en-US" w:eastAsia="zh-CN"/>
              </w:rPr>
              <w:t>秒</w:t>
            </w:r>
            <w:r>
              <w:rPr>
                <w:rFonts w:hint="eastAsia" w:ascii="宋体" w:hAnsi="宋体" w:eastAsia="宋体" w:cs="宋体"/>
                <w:kern w:val="2"/>
                <w:sz w:val="22"/>
                <w:szCs w:val="22"/>
                <w:lang w:val="en-US" w:eastAsia="zh-CN" w:bidi="ar-SA"/>
              </w:rPr>
              <w:t>。系统能定时自动与系统中心管理平台的时间同步。每天应与系统中心管理平台进行至少一次设备时钟校准，并应具有自动校时失败或异常时报警功能。</w:t>
            </w:r>
          </w:p>
          <w:p w14:paraId="5485FAF3">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3.2.40</w:t>
            </w:r>
            <w:r>
              <w:rPr>
                <w:rFonts w:hint="eastAsia" w:ascii="宋体" w:hAnsi="宋体" w:eastAsia="宋体" w:cs="宋体"/>
                <w:b/>
                <w:bCs/>
                <w:sz w:val="22"/>
                <w:szCs w:val="22"/>
              </w:rPr>
              <w:t>数据存储功能</w:t>
            </w:r>
          </w:p>
          <w:p w14:paraId="747DE6D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系统可对所记录的交通违法信息、交通流信息、交通事件信息、运行状态信息、日志信息等进行存储，存储时间至少为7天。所存储的信息在保存7天后，可自动被新的信息覆盖。</w:t>
            </w:r>
          </w:p>
          <w:p w14:paraId="4D96A59F">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3.2.41</w:t>
            </w:r>
            <w:r>
              <w:rPr>
                <w:rFonts w:hint="eastAsia" w:ascii="宋体" w:hAnsi="宋体" w:eastAsia="宋体" w:cs="宋体"/>
                <w:b/>
                <w:bCs/>
                <w:sz w:val="22"/>
                <w:szCs w:val="22"/>
              </w:rPr>
              <w:t>设备管理功能</w:t>
            </w:r>
          </w:p>
          <w:p w14:paraId="7FCA3BC8">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（1）系统应具有权限管理功能</w:t>
            </w:r>
          </w:p>
          <w:p w14:paraId="2D115D38">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可</w:t>
            </w:r>
            <w:r>
              <w:rPr>
                <w:rFonts w:hint="eastAsia" w:ascii="宋体" w:hAnsi="宋体" w:eastAsia="宋体" w:cs="宋体"/>
                <w:sz w:val="22"/>
                <w:szCs w:val="22"/>
              </w:rPr>
              <w:t>针对不同对象分配不同类型的使用权限。支持分级用户管理和权限细分，支持不同级别用户访问权限限制。</w:t>
            </w:r>
          </w:p>
          <w:p w14:paraId="3615E034">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（2）系统应具有远程参数设置功能</w:t>
            </w:r>
          </w:p>
          <w:p w14:paraId="46C6DC0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可在系统中心管理平台对指定前端设备进行参数远程配置。设置的参数有设备信息、设备参数、传输参数以及网络IP地址等。</w:t>
            </w:r>
          </w:p>
          <w:p w14:paraId="25F76E50">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（3）系统应具有自动检测及报警功能</w:t>
            </w:r>
          </w:p>
          <w:p w14:paraId="72DCC40F">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可</w:t>
            </w:r>
            <w:r>
              <w:rPr>
                <w:rFonts w:hint="eastAsia" w:ascii="宋体" w:hAnsi="宋体" w:eastAsia="宋体" w:cs="宋体"/>
                <w:sz w:val="22"/>
                <w:szCs w:val="22"/>
              </w:rPr>
              <w:t>自动监测系统主要设备和运行软件的工作状态。能通过软硬件自动检测系统设备故障并恢复正常工作，能自动侦错报错。具有断电自动重启动</w:t>
            </w:r>
            <w:r>
              <w:rPr>
                <w:rFonts w:hint="eastAsia" w:ascii="宋体" w:hAnsi="宋体" w:eastAsia="宋体" w:cs="宋体"/>
                <w:sz w:val="22"/>
                <w:szCs w:val="22"/>
                <w:lang w:val="en-US" w:eastAsia="zh-CN"/>
              </w:rPr>
              <w:t>功能</w:t>
            </w:r>
            <w:r>
              <w:rPr>
                <w:rFonts w:hint="eastAsia" w:ascii="宋体" w:hAnsi="宋体" w:eastAsia="宋体" w:cs="宋体"/>
                <w:sz w:val="22"/>
                <w:szCs w:val="22"/>
              </w:rPr>
              <w:t>。能自动向系统中心管理平台发送故障信息并报警。检测并上报的运行状况信息</w:t>
            </w:r>
            <w:r>
              <w:rPr>
                <w:rFonts w:hint="eastAsia" w:ascii="宋体" w:hAnsi="宋体" w:eastAsia="宋体" w:cs="宋体"/>
                <w:sz w:val="22"/>
                <w:szCs w:val="22"/>
                <w:lang w:val="en-US" w:eastAsia="zh-CN"/>
              </w:rPr>
              <w:t>应</w:t>
            </w:r>
            <w:r>
              <w:rPr>
                <w:rFonts w:hint="eastAsia" w:ascii="宋体" w:hAnsi="宋体" w:eastAsia="宋体" w:cs="宋体"/>
                <w:sz w:val="22"/>
                <w:szCs w:val="22"/>
              </w:rPr>
              <w:t>包括</w:t>
            </w:r>
            <w:r>
              <w:rPr>
                <w:rFonts w:hint="eastAsia" w:ascii="宋体" w:hAnsi="宋体" w:eastAsia="宋体" w:cs="宋体"/>
                <w:sz w:val="22"/>
                <w:szCs w:val="22"/>
                <w:lang w:val="en-US" w:eastAsia="zh-CN"/>
              </w:rPr>
              <w:t>但不限于</w:t>
            </w:r>
            <w:r>
              <w:rPr>
                <w:rFonts w:hint="eastAsia" w:ascii="宋体" w:hAnsi="宋体" w:eastAsia="宋体" w:cs="宋体"/>
                <w:sz w:val="22"/>
                <w:szCs w:val="22"/>
              </w:rPr>
              <w:t>：正常、建设中、维修中、网络不通、远程服务故障、摄像设备故障、检测设备故障、辅助照明设备异常等，且上报检测故障时间应</w:t>
            </w:r>
            <w:r>
              <w:rPr>
                <w:rFonts w:hint="eastAsia" w:ascii="宋体" w:hAnsi="宋体" w:eastAsia="宋体" w:cs="宋体"/>
                <w:sz w:val="22"/>
                <w:szCs w:val="22"/>
                <w:lang w:val="en-US" w:eastAsia="zh-CN"/>
              </w:rPr>
              <w:t>不</w:t>
            </w:r>
            <w:r>
              <w:rPr>
                <w:rFonts w:hint="eastAsia" w:ascii="宋体" w:hAnsi="宋体" w:eastAsia="宋体" w:cs="宋体"/>
                <w:sz w:val="22"/>
                <w:szCs w:val="22"/>
              </w:rPr>
              <w:t>大于60秒。</w:t>
            </w:r>
          </w:p>
          <w:p w14:paraId="0769A069">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（4）系统应具有日志记录功能</w:t>
            </w:r>
          </w:p>
          <w:p w14:paraId="21D88C4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可</w:t>
            </w:r>
            <w:r>
              <w:rPr>
                <w:rFonts w:hint="eastAsia" w:ascii="宋体" w:hAnsi="宋体" w:eastAsia="宋体" w:cs="宋体"/>
                <w:sz w:val="22"/>
                <w:szCs w:val="22"/>
              </w:rPr>
              <w:t>自动记录用户操作日志、运行状况日志、网络状态日志等，还能记录因设备或者网络状态改变（重启、或者重新连接）、主要软件发生重启或故障等事件日志。</w:t>
            </w:r>
          </w:p>
          <w:p w14:paraId="6657163E">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（5）系统应具有远程重启设置功能</w:t>
            </w:r>
          </w:p>
          <w:p w14:paraId="5DB6F04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可在监控系统管理平台对指定前端设备进行远程重启设置。</w:t>
            </w:r>
          </w:p>
          <w:p w14:paraId="62860E1C">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（6）前端控制机具有防盗功能</w:t>
            </w:r>
          </w:p>
          <w:p w14:paraId="166F47F3">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应采用防护等级IP66</w:t>
            </w:r>
            <w:r>
              <w:rPr>
                <w:rFonts w:hint="eastAsia" w:ascii="宋体" w:hAnsi="宋体" w:eastAsia="宋体" w:cs="宋体"/>
                <w:sz w:val="22"/>
                <w:szCs w:val="22"/>
                <w:lang w:val="en-US" w:eastAsia="zh-CN"/>
              </w:rPr>
              <w:t>及</w:t>
            </w:r>
            <w:r>
              <w:rPr>
                <w:rFonts w:hint="eastAsia" w:ascii="宋体" w:hAnsi="宋体" w:eastAsia="宋体" w:cs="宋体"/>
                <w:sz w:val="22"/>
                <w:szCs w:val="22"/>
              </w:rPr>
              <w:t>以上</w:t>
            </w:r>
            <w:r>
              <w:rPr>
                <w:rFonts w:hint="eastAsia" w:ascii="宋体" w:hAnsi="宋体" w:eastAsia="宋体" w:cs="宋体"/>
                <w:sz w:val="22"/>
                <w:szCs w:val="22"/>
                <w:lang w:val="en-US" w:eastAsia="zh-CN"/>
              </w:rPr>
              <w:t>的</w:t>
            </w:r>
            <w:r>
              <w:rPr>
                <w:rFonts w:hint="eastAsia" w:ascii="宋体" w:hAnsi="宋体" w:eastAsia="宋体" w:cs="宋体"/>
                <w:sz w:val="22"/>
                <w:szCs w:val="22"/>
              </w:rPr>
              <w:t>特制机箱，能有效防止暴力破坏。机箱应具有防盗报警功能，当机箱受到外力破坏时，前端监控球机</w:t>
            </w:r>
            <w:r>
              <w:rPr>
                <w:rFonts w:hint="eastAsia" w:ascii="宋体" w:hAnsi="宋体" w:eastAsia="宋体" w:cs="宋体"/>
                <w:sz w:val="22"/>
                <w:szCs w:val="22"/>
                <w:lang w:val="en-US" w:eastAsia="zh-CN"/>
              </w:rPr>
              <w:t>可</w:t>
            </w:r>
            <w:r>
              <w:rPr>
                <w:rFonts w:hint="eastAsia" w:ascii="宋体" w:hAnsi="宋体" w:eastAsia="宋体" w:cs="宋体"/>
                <w:sz w:val="22"/>
                <w:szCs w:val="22"/>
              </w:rPr>
              <w:t>进行视频录像。</w:t>
            </w:r>
          </w:p>
          <w:p w14:paraId="487E8300">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2551" w:leftChars="0" w:hanging="2551"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3.2.42</w:t>
            </w:r>
            <w:r>
              <w:rPr>
                <w:rFonts w:hint="eastAsia" w:ascii="宋体" w:hAnsi="宋体" w:eastAsia="宋体" w:cs="宋体"/>
                <w:b/>
                <w:bCs/>
                <w:sz w:val="22"/>
                <w:szCs w:val="22"/>
              </w:rPr>
              <w:t>实时视频监控功能</w:t>
            </w:r>
          </w:p>
          <w:p w14:paraId="54CBC8B5">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系统应能对监测区域内的点位实现实时视频监控，并自动记录交通视频信息。</w:t>
            </w:r>
          </w:p>
          <w:p w14:paraId="1BAE601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可对交通视频信息实现实时预览、录像、回放等功能。</w:t>
            </w:r>
          </w:p>
          <w:p w14:paraId="33C2D56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可实现手动录像、连续录像、定时录像、动态录像、事件录像、联动报警录像等多种录像方式</w:t>
            </w:r>
            <w:r>
              <w:rPr>
                <w:rFonts w:hint="eastAsia" w:ascii="宋体" w:hAnsi="宋体" w:eastAsia="宋体" w:cs="宋体"/>
                <w:sz w:val="22"/>
                <w:szCs w:val="22"/>
                <w:lang w:eastAsia="zh-CN"/>
              </w:rPr>
              <w:t>。</w:t>
            </w:r>
          </w:p>
          <w:p w14:paraId="35FFD992">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(3)</w:t>
            </w:r>
            <w:r>
              <w:rPr>
                <w:rFonts w:hint="eastAsia" w:ascii="宋体" w:hAnsi="宋体" w:eastAsia="宋体" w:cs="宋体"/>
                <w:sz w:val="22"/>
                <w:szCs w:val="22"/>
              </w:rPr>
              <w:t>可实现逐帧回放，快速播放，慢速播放，常规播放。</w:t>
            </w:r>
          </w:p>
          <w:p w14:paraId="074ADE02">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(4)</w:t>
            </w:r>
            <w:r>
              <w:rPr>
                <w:rFonts w:hint="eastAsia" w:ascii="宋体" w:hAnsi="宋体" w:eastAsia="宋体" w:cs="宋体"/>
                <w:sz w:val="22"/>
                <w:szCs w:val="22"/>
              </w:rPr>
              <w:t>支持录像回放抓拍功能：录像回放时发现交通违法行为可进行图片抓拍，导出交通违法信息。</w:t>
            </w:r>
          </w:p>
          <w:p w14:paraId="679316DA">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(5)</w:t>
            </w:r>
            <w:r>
              <w:rPr>
                <w:rFonts w:hint="eastAsia" w:ascii="宋体" w:hAnsi="宋体" w:eastAsia="宋体" w:cs="宋体"/>
                <w:sz w:val="22"/>
                <w:szCs w:val="22"/>
              </w:rPr>
              <w:t>视频图像质量要求达到DB11/T384.5评价方法所规定</w:t>
            </w:r>
            <w:r>
              <w:rPr>
                <w:rFonts w:hint="eastAsia" w:ascii="宋体" w:hAnsi="宋体" w:eastAsia="宋体" w:cs="宋体"/>
                <w:sz w:val="22"/>
                <w:szCs w:val="22"/>
                <w:lang w:val="en-US" w:eastAsia="zh-CN"/>
              </w:rPr>
              <w:t>的</w:t>
            </w:r>
            <w:r>
              <w:rPr>
                <w:rFonts w:hint="eastAsia" w:ascii="宋体" w:hAnsi="宋体" w:eastAsia="宋体" w:cs="宋体"/>
                <w:sz w:val="22"/>
                <w:szCs w:val="22"/>
              </w:rPr>
              <w:t>“优”等水平。</w:t>
            </w:r>
          </w:p>
          <w:p w14:paraId="14EC254F">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(6)</w:t>
            </w:r>
            <w:r>
              <w:rPr>
                <w:rFonts w:hint="eastAsia" w:ascii="宋体" w:hAnsi="宋体" w:eastAsia="宋体" w:cs="宋体"/>
                <w:sz w:val="22"/>
                <w:szCs w:val="22"/>
              </w:rPr>
              <w:t>视频信号格式与编码按照DB11/T384.2</w:t>
            </w:r>
            <w:r>
              <w:rPr>
                <w:rFonts w:hint="eastAsia" w:ascii="宋体" w:hAnsi="宋体" w:eastAsia="宋体" w:cs="宋体"/>
                <w:sz w:val="22"/>
                <w:szCs w:val="22"/>
                <w:lang w:val="en-US" w:eastAsia="zh-CN"/>
              </w:rPr>
              <w:t>要求</w:t>
            </w:r>
            <w:r>
              <w:rPr>
                <w:rFonts w:hint="eastAsia" w:ascii="宋体" w:hAnsi="宋体" w:eastAsia="宋体" w:cs="宋体"/>
                <w:sz w:val="22"/>
                <w:szCs w:val="22"/>
              </w:rPr>
              <w:t>采用H.265或MEPG4的图像编码格式。</w:t>
            </w:r>
          </w:p>
          <w:p w14:paraId="6A62DE90">
            <w:pPr>
              <w:pageBreakBefore w:val="0"/>
              <w:kinsoku/>
              <w:wordWrap/>
              <w:overflowPunct/>
              <w:topLinePunct w:val="0"/>
              <w:autoSpaceDE/>
              <w:autoSpaceDN/>
              <w:bidi w:val="0"/>
              <w:adjustRightInd/>
              <w:snapToGrid/>
              <w:spacing w:beforeAutospacing="0" w:afterAutospacing="0" w:line="360" w:lineRule="auto"/>
              <w:ind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kern w:val="2"/>
                <w:sz w:val="22"/>
                <w:szCs w:val="22"/>
                <w:lang w:val="en-US" w:eastAsia="zh-CN" w:bidi="ar-SA"/>
              </w:rPr>
              <w:t>(7)</w:t>
            </w:r>
            <w:r>
              <w:rPr>
                <w:rFonts w:hint="eastAsia" w:ascii="宋体" w:hAnsi="宋体" w:eastAsia="宋体" w:cs="宋体"/>
                <w:sz w:val="22"/>
                <w:szCs w:val="22"/>
              </w:rPr>
              <w:t>视频图像输出分辨率不</w:t>
            </w:r>
            <w:r>
              <w:rPr>
                <w:rFonts w:hint="eastAsia" w:ascii="宋体" w:hAnsi="宋体" w:eastAsia="宋体" w:cs="宋体"/>
                <w:sz w:val="22"/>
                <w:szCs w:val="22"/>
                <w:lang w:val="en-US" w:eastAsia="zh-CN"/>
              </w:rPr>
              <w:t>小</w:t>
            </w:r>
            <w:r>
              <w:rPr>
                <w:rFonts w:hint="eastAsia" w:ascii="宋体" w:hAnsi="宋体" w:eastAsia="宋体" w:cs="宋体"/>
                <w:sz w:val="22"/>
                <w:szCs w:val="22"/>
              </w:rPr>
              <w:t>于1920</w:t>
            </w:r>
            <w:r>
              <w:rPr>
                <w:rFonts w:hint="eastAsia" w:ascii="宋体" w:hAnsi="宋体" w:eastAsia="宋体" w:cs="宋体"/>
                <w:kern w:val="2"/>
                <w:sz w:val="22"/>
                <w:szCs w:val="22"/>
                <w:lang w:val="en-US" w:eastAsia="zh-CN" w:bidi="ar-SA"/>
              </w:rPr>
              <w:t>×</w:t>
            </w:r>
            <w:r>
              <w:rPr>
                <w:rFonts w:hint="eastAsia" w:ascii="宋体" w:hAnsi="宋体" w:eastAsia="宋体" w:cs="宋体"/>
                <w:sz w:val="22"/>
                <w:szCs w:val="22"/>
              </w:rPr>
              <w:t>1080，帧率不低于25fps。</w:t>
            </w:r>
          </w:p>
        </w:tc>
        <w:tc>
          <w:tcPr>
            <w:tcW w:w="1208" w:type="dxa"/>
          </w:tcPr>
          <w:p w14:paraId="5438AC24">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519788AD">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69AE25E0">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5B5AE2E5">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6D2F0A8B">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622975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0" w:type="dxa"/>
            <w:vAlign w:val="center"/>
          </w:tcPr>
          <w:p w14:paraId="763BB6F0">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val="0"/>
                <w:bCs w:val="0"/>
                <w:color w:val="auto"/>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660" w:type="dxa"/>
          </w:tcPr>
          <w:p w14:paraId="75EE8C11">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07AB7444">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62A035CE">
            <w:pPr>
              <w:pStyle w:val="7"/>
              <w:pageBreakBefore w:val="0"/>
              <w:widowControl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w:t>
            </w:r>
            <w:r>
              <w:rPr>
                <w:rFonts w:hint="eastAsia" w:ascii="宋体" w:hAnsi="宋体" w:eastAsia="宋体" w:cs="宋体"/>
                <w:b/>
                <w:bCs/>
                <w:sz w:val="22"/>
                <w:szCs w:val="22"/>
              </w:rPr>
              <w:t>高清高速球型抓拍系统</w:t>
            </w:r>
          </w:p>
          <w:p w14:paraId="6CD9DC4C">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lang w:val="en-US" w:eastAsia="zh-CN"/>
              </w:rPr>
            </w:pPr>
            <w:r>
              <w:rPr>
                <w:rFonts w:hint="eastAsia" w:ascii="宋体" w:hAnsi="宋体" w:eastAsia="宋体" w:cs="宋体"/>
                <w:b/>
                <w:bCs/>
                <w:kern w:val="2"/>
                <w:sz w:val="22"/>
                <w:szCs w:val="22"/>
                <w:lang w:val="en-US" w:eastAsia="zh-CN" w:bidi="ar-SA"/>
              </w:rPr>
              <w:t>3.3.1</w:t>
            </w:r>
            <w:r>
              <w:rPr>
                <w:rFonts w:hint="eastAsia" w:ascii="宋体" w:hAnsi="宋体" w:eastAsia="宋体" w:cs="宋体"/>
                <w:b/>
                <w:bCs/>
                <w:sz w:val="22"/>
                <w:szCs w:val="22"/>
                <w:lang w:val="en-US" w:eastAsia="zh-CN"/>
              </w:rPr>
              <w:t>总体要求</w:t>
            </w:r>
          </w:p>
          <w:p w14:paraId="05E7F23C">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系统前端</w:t>
            </w:r>
            <w:r>
              <w:rPr>
                <w:rFonts w:hint="eastAsia" w:ascii="宋体" w:hAnsi="宋体" w:eastAsia="宋体" w:cs="宋体"/>
                <w:sz w:val="22"/>
                <w:szCs w:val="22"/>
                <w:lang w:val="en-US" w:eastAsia="zh-CN"/>
              </w:rPr>
              <w:t>应</w:t>
            </w:r>
            <w:r>
              <w:rPr>
                <w:rFonts w:hint="eastAsia" w:ascii="宋体" w:hAnsi="宋体" w:eastAsia="宋体" w:cs="宋体"/>
                <w:sz w:val="22"/>
                <w:szCs w:val="22"/>
              </w:rPr>
              <w:t>采用高清高速球型监控摄像机对监控区域内进行实时视频监控，系统能对用户设定监测区域内的预置点位进行自动违法抓拍</w:t>
            </w:r>
            <w:r>
              <w:rPr>
                <w:rFonts w:hint="eastAsia" w:ascii="宋体" w:hAnsi="宋体" w:eastAsia="宋体" w:cs="宋体"/>
                <w:sz w:val="22"/>
                <w:szCs w:val="22"/>
                <w:lang w:eastAsia="zh-CN"/>
              </w:rPr>
              <w:t>，</w:t>
            </w:r>
            <w:r>
              <w:rPr>
                <w:rFonts w:hint="eastAsia" w:ascii="宋体" w:hAnsi="宋体" w:eastAsia="宋体" w:cs="宋体"/>
                <w:sz w:val="22"/>
                <w:szCs w:val="22"/>
              </w:rPr>
              <w:t>并</w:t>
            </w:r>
            <w:r>
              <w:rPr>
                <w:rFonts w:hint="eastAsia" w:ascii="宋体" w:hAnsi="宋体" w:eastAsia="宋体" w:cs="宋体"/>
                <w:sz w:val="22"/>
                <w:szCs w:val="22"/>
                <w:lang w:val="en-US" w:eastAsia="zh-CN"/>
              </w:rPr>
              <w:t>可</w:t>
            </w:r>
            <w:r>
              <w:rPr>
                <w:rFonts w:hint="eastAsia" w:ascii="宋体" w:hAnsi="宋体" w:eastAsia="宋体" w:cs="宋体"/>
                <w:sz w:val="22"/>
                <w:szCs w:val="22"/>
              </w:rPr>
              <w:t>人工操控设备对监测区域内机动车交通违法行为进行手动抓拍。确认违法后，可以进行违法过程连续图像抓拍和录像，记录违法车辆全景图像和违法过程录像。</w:t>
            </w:r>
          </w:p>
          <w:p w14:paraId="4E45DA9E">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通过预置位设定指定范围内的：违法停车、违反禁止标志的车辆自动检测抓拍、存储及传输等；不按规定驶入导向车道、机动车不按指示逆向行驶行为等车辆进行手动抓拍、存储及传输等功能。确认违法后，可以进行违法过程连续图像抓拍和录像，记录违法车辆全景图像和违法过程录像。连续抓拍的图像张数及间隔时间可以根据交通违法行为类型由用户设定。</w:t>
            </w:r>
          </w:p>
          <w:p w14:paraId="7EB69D7D">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系统功能和性能除满足辖区交警大队的业务需求外，还必须符合《中山市道路交通技术监控系统建设技术和程序要求》和中山市公安局交通警察支队要求。</w:t>
            </w:r>
          </w:p>
          <w:p w14:paraId="18FB6968">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车辆违法数据（不经筛选或删除）</w:t>
            </w:r>
            <w:r>
              <w:rPr>
                <w:rFonts w:hint="eastAsia" w:ascii="宋体" w:hAnsi="宋体" w:eastAsia="宋体" w:cs="宋体"/>
                <w:sz w:val="22"/>
                <w:szCs w:val="22"/>
                <w:lang w:val="en-US" w:eastAsia="zh-CN"/>
              </w:rPr>
              <w:t>应</w:t>
            </w:r>
            <w:r>
              <w:rPr>
                <w:rFonts w:hint="eastAsia" w:ascii="宋体" w:hAnsi="宋体" w:eastAsia="宋体" w:cs="宋体"/>
                <w:sz w:val="22"/>
                <w:szCs w:val="22"/>
              </w:rPr>
              <w:t>直接实时上传至中山市交通指挥控制集成平台。</w:t>
            </w:r>
          </w:p>
          <w:p w14:paraId="0562061D">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3.3.2</w:t>
            </w:r>
            <w:r>
              <w:rPr>
                <w:rFonts w:hint="eastAsia" w:ascii="宋体" w:hAnsi="宋体" w:eastAsia="宋体" w:cs="宋体"/>
                <w:b/>
                <w:bCs/>
                <w:sz w:val="22"/>
                <w:szCs w:val="22"/>
              </w:rPr>
              <w:t>球型摄像机远程控制功能</w:t>
            </w:r>
          </w:p>
          <w:p w14:paraId="02C651D2">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管理客户端</w:t>
            </w:r>
            <w:r>
              <w:rPr>
                <w:rFonts w:hint="eastAsia" w:ascii="宋体" w:hAnsi="宋体" w:eastAsia="宋体" w:cs="宋体"/>
                <w:sz w:val="22"/>
                <w:szCs w:val="22"/>
                <w:lang w:val="en-US" w:eastAsia="zh-CN"/>
              </w:rPr>
              <w:t>可</w:t>
            </w:r>
            <w:r>
              <w:rPr>
                <w:rFonts w:hint="eastAsia" w:ascii="宋体" w:hAnsi="宋体" w:eastAsia="宋体" w:cs="宋体"/>
                <w:sz w:val="22"/>
                <w:szCs w:val="22"/>
              </w:rPr>
              <w:t>通过监控系统管理平台操控鼠标或键盘对前端的高速球型摄像机进行控制，</w:t>
            </w:r>
            <w:r>
              <w:rPr>
                <w:rFonts w:hint="eastAsia" w:ascii="宋体" w:hAnsi="宋体" w:eastAsia="宋体" w:cs="宋体"/>
                <w:sz w:val="22"/>
                <w:szCs w:val="22"/>
                <w:lang w:val="en-US" w:eastAsia="zh-CN"/>
              </w:rPr>
              <w:t>可</w:t>
            </w:r>
            <w:r>
              <w:rPr>
                <w:rFonts w:hint="eastAsia" w:ascii="宋体" w:hAnsi="宋体" w:eastAsia="宋体" w:cs="宋体"/>
                <w:sz w:val="22"/>
                <w:szCs w:val="22"/>
              </w:rPr>
              <w:t>控制摄像机的上下俯仰、左右旋转等</w:t>
            </w:r>
            <w:r>
              <w:rPr>
                <w:rFonts w:hint="eastAsia" w:ascii="宋体" w:hAnsi="宋体" w:eastAsia="宋体" w:cs="宋体"/>
                <w:sz w:val="22"/>
                <w:szCs w:val="22"/>
                <w:lang w:eastAsia="zh-CN"/>
              </w:rPr>
              <w:t>。</w:t>
            </w:r>
          </w:p>
          <w:p w14:paraId="3C82183B">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支持自动光圈、自动聚焦、自动白平衡、背光补偿、强光抑制，具有手动转换功能</w:t>
            </w:r>
            <w:r>
              <w:rPr>
                <w:rFonts w:hint="eastAsia" w:ascii="宋体" w:hAnsi="宋体" w:eastAsia="宋体" w:cs="宋体"/>
                <w:sz w:val="22"/>
                <w:szCs w:val="22"/>
                <w:lang w:eastAsia="zh-CN"/>
              </w:rPr>
              <w:t>。</w:t>
            </w:r>
          </w:p>
          <w:p w14:paraId="3A9FFC3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(3)</w:t>
            </w:r>
            <w:r>
              <w:rPr>
                <w:rFonts w:hint="eastAsia" w:ascii="宋体" w:hAnsi="宋体" w:eastAsia="宋体" w:cs="宋体"/>
                <w:sz w:val="22"/>
                <w:szCs w:val="22"/>
              </w:rPr>
              <w:t>支持水平方向360°连续旋转,垂直方向-15°</w:t>
            </w:r>
            <w:r>
              <w:rPr>
                <w:rFonts w:hint="eastAsia" w:ascii="宋体" w:hAnsi="宋体" w:eastAsia="宋体" w:cs="宋体"/>
                <w:i w:val="0"/>
                <w:iCs w:val="0"/>
                <w:color w:val="000000"/>
                <w:kern w:val="0"/>
                <w:sz w:val="22"/>
                <w:szCs w:val="22"/>
                <w:highlight w:val="none"/>
                <w:u w:val="none"/>
                <w:lang w:val="en-US" w:eastAsia="zh-CN" w:bidi="ar"/>
              </w:rPr>
              <w:t>～</w:t>
            </w:r>
            <w:r>
              <w:rPr>
                <w:rFonts w:hint="eastAsia" w:ascii="宋体" w:hAnsi="宋体" w:eastAsia="宋体" w:cs="宋体"/>
                <w:sz w:val="22"/>
                <w:szCs w:val="22"/>
              </w:rPr>
              <w:t>90°（自动翻转）；水平控制速度为0.1°/s</w:t>
            </w:r>
            <w:r>
              <w:rPr>
                <w:rFonts w:hint="eastAsia" w:ascii="宋体" w:hAnsi="宋体" w:eastAsia="宋体" w:cs="宋体"/>
                <w:i w:val="0"/>
                <w:iCs w:val="0"/>
                <w:color w:val="000000"/>
                <w:kern w:val="0"/>
                <w:sz w:val="22"/>
                <w:szCs w:val="22"/>
                <w:highlight w:val="none"/>
                <w:u w:val="none"/>
                <w:lang w:val="en-US" w:eastAsia="zh-CN" w:bidi="ar"/>
              </w:rPr>
              <w:t>～</w:t>
            </w:r>
            <w:r>
              <w:rPr>
                <w:rFonts w:hint="eastAsia" w:ascii="宋体" w:hAnsi="宋体" w:eastAsia="宋体" w:cs="宋体"/>
                <w:sz w:val="22"/>
                <w:szCs w:val="22"/>
              </w:rPr>
              <w:t>240°/s，垂直控制速度为0.1°/s</w:t>
            </w:r>
            <w:r>
              <w:rPr>
                <w:rFonts w:hint="eastAsia" w:ascii="宋体" w:hAnsi="宋体" w:eastAsia="宋体" w:cs="宋体"/>
                <w:i w:val="0"/>
                <w:iCs w:val="0"/>
                <w:color w:val="000000"/>
                <w:kern w:val="0"/>
                <w:sz w:val="22"/>
                <w:szCs w:val="22"/>
                <w:highlight w:val="none"/>
                <w:u w:val="none"/>
                <w:lang w:val="en-US" w:eastAsia="zh-CN" w:bidi="ar"/>
              </w:rPr>
              <w:t>～</w:t>
            </w:r>
            <w:r>
              <w:rPr>
                <w:rFonts w:hint="eastAsia" w:ascii="宋体" w:hAnsi="宋体" w:eastAsia="宋体" w:cs="宋体"/>
                <w:sz w:val="22"/>
                <w:szCs w:val="22"/>
              </w:rPr>
              <w:t>160°/s；预置位旋转速度：水平速度最高可达300°/s，垂直速度最高可达240°/s</w:t>
            </w:r>
            <w:r>
              <w:rPr>
                <w:rFonts w:hint="eastAsia" w:ascii="宋体" w:hAnsi="宋体" w:eastAsia="宋体" w:cs="宋体"/>
                <w:sz w:val="22"/>
                <w:szCs w:val="22"/>
                <w:lang w:eastAsia="zh-CN"/>
              </w:rPr>
              <w:t>。</w:t>
            </w:r>
          </w:p>
          <w:p w14:paraId="4C99F9C5">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(4)</w:t>
            </w:r>
            <w:r>
              <w:rPr>
                <w:rFonts w:hint="eastAsia" w:ascii="宋体" w:hAnsi="宋体" w:eastAsia="宋体" w:cs="宋体"/>
                <w:sz w:val="22"/>
                <w:szCs w:val="22"/>
              </w:rPr>
              <w:t>支持256个预置点位，预置点位精度小于0.1°</w:t>
            </w:r>
            <w:r>
              <w:rPr>
                <w:rFonts w:hint="eastAsia" w:ascii="宋体" w:hAnsi="宋体" w:eastAsia="宋体" w:cs="宋体"/>
                <w:sz w:val="22"/>
                <w:szCs w:val="22"/>
                <w:lang w:eastAsia="zh-CN"/>
              </w:rPr>
              <w:t>。</w:t>
            </w:r>
          </w:p>
          <w:p w14:paraId="6B709B82">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(5)</w:t>
            </w:r>
            <w:r>
              <w:rPr>
                <w:rFonts w:hint="eastAsia" w:ascii="宋体" w:hAnsi="宋体" w:eastAsia="宋体" w:cs="宋体"/>
                <w:sz w:val="22"/>
                <w:szCs w:val="22"/>
              </w:rPr>
              <w:t>支持16条巡航扫描,每条最大支持32个预置点位</w:t>
            </w:r>
            <w:r>
              <w:rPr>
                <w:rFonts w:hint="eastAsia" w:ascii="宋体" w:hAnsi="宋体" w:eastAsia="宋体" w:cs="宋体"/>
                <w:sz w:val="22"/>
                <w:szCs w:val="22"/>
                <w:lang w:eastAsia="zh-CN"/>
              </w:rPr>
              <w:t>。</w:t>
            </w:r>
          </w:p>
          <w:p w14:paraId="0AE5C5E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(6)</w:t>
            </w:r>
            <w:r>
              <w:rPr>
                <w:rFonts w:hint="eastAsia" w:ascii="宋体" w:hAnsi="宋体" w:eastAsia="宋体" w:cs="宋体"/>
                <w:sz w:val="22"/>
                <w:szCs w:val="22"/>
              </w:rPr>
              <w:t>支持比例变倍功能，旋转速度可以根据镜头变倍倍数自动调整</w:t>
            </w:r>
            <w:r>
              <w:rPr>
                <w:rFonts w:hint="eastAsia" w:ascii="宋体" w:hAnsi="宋体" w:eastAsia="宋体" w:cs="宋体"/>
                <w:sz w:val="22"/>
                <w:szCs w:val="22"/>
                <w:lang w:eastAsia="zh-CN"/>
              </w:rPr>
              <w:t>。</w:t>
            </w:r>
          </w:p>
          <w:p w14:paraId="1AC91EA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(7)</w:t>
            </w:r>
            <w:r>
              <w:rPr>
                <w:rFonts w:hint="eastAsia" w:ascii="宋体" w:hAnsi="宋体" w:eastAsia="宋体" w:cs="宋体"/>
                <w:sz w:val="22"/>
                <w:szCs w:val="22"/>
              </w:rPr>
              <w:t>支持自动或定时执行预置点位巡航扫描、花样扫描、随机扫描、全景扫描等的实时视频监控</w:t>
            </w:r>
            <w:r>
              <w:rPr>
                <w:rFonts w:hint="eastAsia" w:ascii="宋体" w:hAnsi="宋体" w:eastAsia="宋体" w:cs="宋体"/>
                <w:sz w:val="22"/>
                <w:szCs w:val="22"/>
                <w:lang w:eastAsia="zh-CN"/>
              </w:rPr>
              <w:t>。</w:t>
            </w:r>
          </w:p>
          <w:p w14:paraId="34C2C874">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(8)</w:t>
            </w:r>
            <w:r>
              <w:rPr>
                <w:rFonts w:hint="eastAsia" w:ascii="宋体" w:hAnsi="宋体" w:eastAsia="宋体" w:cs="宋体"/>
                <w:sz w:val="22"/>
                <w:szCs w:val="22"/>
              </w:rPr>
              <w:t>可在指定时间（可调）自动调用执行模式（根据用户设定）执行</w:t>
            </w:r>
            <w:r>
              <w:rPr>
                <w:rFonts w:hint="eastAsia" w:ascii="宋体" w:hAnsi="宋体" w:eastAsia="宋体" w:cs="宋体"/>
                <w:sz w:val="22"/>
                <w:szCs w:val="22"/>
                <w:lang w:eastAsia="zh-CN"/>
              </w:rPr>
              <w:t>。</w:t>
            </w:r>
          </w:p>
          <w:p w14:paraId="11EEF51A">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3.3.3</w:t>
            </w:r>
            <w:r>
              <w:rPr>
                <w:rFonts w:hint="eastAsia" w:ascii="宋体" w:hAnsi="宋体" w:eastAsia="宋体" w:cs="宋体"/>
                <w:b/>
                <w:bCs/>
                <w:sz w:val="22"/>
                <w:szCs w:val="22"/>
              </w:rPr>
              <w:t>机动车号牌自动识别功能</w:t>
            </w:r>
          </w:p>
          <w:p w14:paraId="331DCC73">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系统应能对行驶通过监测区域内的机动车进行检测，自动识别出通行机动车的号牌。</w:t>
            </w:r>
          </w:p>
          <w:p w14:paraId="1AB10B6E">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2" w:firstLineChars="200"/>
              <w:textAlignment w:val="auto"/>
              <w:rPr>
                <w:rFonts w:hint="eastAsia" w:ascii="宋体" w:hAnsi="宋体" w:eastAsia="宋体" w:cs="宋体"/>
                <w:sz w:val="22"/>
                <w:szCs w:val="22"/>
                <w:lang w:eastAsia="zh-CN"/>
              </w:rPr>
            </w:pPr>
            <w:r>
              <w:rPr>
                <w:rFonts w:hint="eastAsia" w:ascii="宋体" w:hAnsi="宋体" w:eastAsia="宋体" w:cs="宋体"/>
                <w:b/>
                <w:bCs/>
                <w:sz w:val="22"/>
                <w:szCs w:val="22"/>
              </w:rPr>
              <w:t>（1）系统应能识别的号牌结构应</w:t>
            </w:r>
            <w:r>
              <w:rPr>
                <w:rFonts w:hint="eastAsia" w:ascii="宋体" w:hAnsi="宋体" w:eastAsia="宋体" w:cs="宋体"/>
                <w:sz w:val="22"/>
                <w:szCs w:val="22"/>
                <w:lang w:val="en-US" w:eastAsia="zh-CN"/>
              </w:rPr>
              <w:t>符合</w:t>
            </w:r>
            <w:r>
              <w:rPr>
                <w:rFonts w:hint="eastAsia" w:ascii="宋体" w:hAnsi="宋体" w:eastAsia="宋体" w:cs="宋体"/>
                <w:sz w:val="22"/>
                <w:szCs w:val="22"/>
              </w:rPr>
              <w:t>GA/T 833</w:t>
            </w:r>
            <w:r>
              <w:rPr>
                <w:rFonts w:hint="eastAsia" w:ascii="宋体" w:hAnsi="宋体" w:eastAsia="宋体" w:cs="宋体"/>
                <w:sz w:val="22"/>
                <w:szCs w:val="22"/>
                <w:lang w:val="en-US" w:eastAsia="zh-CN"/>
              </w:rPr>
              <w:t>的规定</w:t>
            </w:r>
            <w:r>
              <w:rPr>
                <w:rFonts w:hint="eastAsia" w:ascii="宋体" w:hAnsi="宋体" w:eastAsia="宋体" w:cs="宋体"/>
                <w:sz w:val="22"/>
                <w:szCs w:val="22"/>
                <w:lang w:eastAsia="zh-CN"/>
              </w:rPr>
              <w:t>。</w:t>
            </w:r>
          </w:p>
          <w:p w14:paraId="2064A6A9">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2" w:firstLineChars="200"/>
              <w:textAlignment w:val="auto"/>
              <w:rPr>
                <w:rFonts w:hint="eastAsia" w:ascii="宋体" w:hAnsi="宋体" w:eastAsia="宋体" w:cs="宋体"/>
                <w:sz w:val="22"/>
                <w:szCs w:val="22"/>
              </w:rPr>
            </w:pPr>
            <w:r>
              <w:rPr>
                <w:rFonts w:hint="eastAsia" w:ascii="宋体" w:hAnsi="宋体" w:eastAsia="宋体" w:cs="宋体"/>
                <w:b/>
                <w:bCs/>
                <w:sz w:val="22"/>
                <w:szCs w:val="22"/>
              </w:rPr>
              <w:t>（2）系统应具备对民用、新能源、警用、新军用牌、武警等汽车号牌自动识别的能力，</w:t>
            </w:r>
            <w:r>
              <w:rPr>
                <w:rFonts w:hint="eastAsia" w:ascii="宋体" w:hAnsi="宋体" w:eastAsia="宋体" w:cs="宋体"/>
                <w:sz w:val="22"/>
                <w:szCs w:val="22"/>
              </w:rPr>
              <w:t>系统所能识别的号牌字符应包括但不限于GA36规定的号牌</w:t>
            </w:r>
            <w:r>
              <w:rPr>
                <w:rFonts w:hint="eastAsia" w:ascii="宋体" w:hAnsi="宋体" w:eastAsia="宋体" w:cs="宋体"/>
                <w:sz w:val="22"/>
                <w:szCs w:val="22"/>
                <w:lang w:val="en-US" w:eastAsia="zh-CN"/>
              </w:rPr>
              <w:t>字符</w:t>
            </w:r>
            <w:r>
              <w:rPr>
                <w:rFonts w:hint="eastAsia" w:ascii="宋体" w:hAnsi="宋体" w:eastAsia="宋体" w:cs="宋体"/>
                <w:sz w:val="22"/>
                <w:szCs w:val="22"/>
              </w:rPr>
              <w:t>、军队和武警号牌</w:t>
            </w:r>
            <w:r>
              <w:rPr>
                <w:rFonts w:hint="eastAsia" w:ascii="宋体" w:hAnsi="宋体" w:eastAsia="宋体" w:cs="宋体"/>
                <w:sz w:val="22"/>
                <w:szCs w:val="22"/>
                <w:lang w:val="en-US" w:eastAsia="zh-CN"/>
              </w:rPr>
              <w:t>以及其他号码字符</w:t>
            </w:r>
            <w:r>
              <w:rPr>
                <w:rFonts w:hint="eastAsia" w:ascii="宋体" w:hAnsi="宋体" w:eastAsia="宋体" w:cs="宋体"/>
                <w:sz w:val="22"/>
                <w:szCs w:val="22"/>
              </w:rPr>
              <w:t>。</w:t>
            </w:r>
          </w:p>
          <w:p w14:paraId="5339EC30">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（3）系统应具备对港澳汽车号牌自动识别的能力</w:t>
            </w:r>
          </w:p>
          <w:p w14:paraId="3D67141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①</w:t>
            </w:r>
            <w:r>
              <w:rPr>
                <w:rFonts w:hint="eastAsia" w:ascii="宋体" w:hAnsi="宋体" w:eastAsia="宋体" w:cs="宋体"/>
                <w:sz w:val="22"/>
                <w:szCs w:val="22"/>
              </w:rPr>
              <w:t>针对单号情形，无论是“粤Z”内地号牌还是港澳区域号牌，抓拍内容逐级上报市、省两级视图库。</w:t>
            </w:r>
          </w:p>
          <w:p w14:paraId="48EBA0EA">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②</w:t>
            </w:r>
            <w:r>
              <w:rPr>
                <w:rFonts w:hint="eastAsia" w:ascii="宋体" w:hAnsi="宋体" w:eastAsia="宋体" w:cs="宋体"/>
                <w:sz w:val="22"/>
                <w:szCs w:val="22"/>
              </w:rPr>
              <w:t>针对一车双号情形，“粤Z”内地号牌和港澳区域号牌，需拆分成两条抓拍数据，上传至市、省视图库。两条抓拍数据(除48位抓拍编码Motor VehicleID)分别需与对应的车辆卡口18位编号、抓拍时间等信息一致，并且上传信息需可区分以免重复，避免因两条数据抓拍编码一致导致视图库丢失。</w:t>
            </w:r>
          </w:p>
          <w:p w14:paraId="15C3A6E0">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（4）系统应具备号牌颜色识别</w:t>
            </w:r>
          </w:p>
          <w:p w14:paraId="46F720D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系统应能识别GA36规定的号牌颜色、军队和武警号牌颜色。</w:t>
            </w:r>
          </w:p>
          <w:p w14:paraId="21431B81">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（5）车辆号牌自动识别要求</w:t>
            </w:r>
          </w:p>
          <w:p w14:paraId="1DCB9566">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①</w:t>
            </w:r>
            <w:r>
              <w:rPr>
                <w:rFonts w:hint="eastAsia" w:ascii="宋体" w:hAnsi="宋体" w:eastAsia="宋体" w:cs="宋体"/>
                <w:sz w:val="22"/>
                <w:szCs w:val="22"/>
              </w:rPr>
              <w:t>白天车辆号牌识别准确率应不小于95%（除摩托车号牌、低速车号牌、临时号牌、拖拉机号牌外）；</w:t>
            </w:r>
          </w:p>
          <w:p w14:paraId="536832D7">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②</w:t>
            </w:r>
            <w:r>
              <w:rPr>
                <w:rFonts w:hint="eastAsia" w:ascii="宋体" w:hAnsi="宋体" w:eastAsia="宋体" w:cs="宋体"/>
                <w:sz w:val="22"/>
                <w:szCs w:val="22"/>
              </w:rPr>
              <w:t>夜间车辆号牌识别准确率应不小于92%（除摩托车号牌、低速车号牌、临时号牌、拖拉机号牌外）。</w:t>
            </w:r>
          </w:p>
          <w:p w14:paraId="2749298C">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（6）车型识别</w:t>
            </w:r>
          </w:p>
          <w:p w14:paraId="5C5336A8">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系统应具备自动识别车型功能，识别准确率应符合GA/T 833的规定。</w:t>
            </w:r>
          </w:p>
          <w:p w14:paraId="7E05A0EE">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（7）车辆品牌标志识别</w:t>
            </w:r>
          </w:p>
          <w:p w14:paraId="196E64EF">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w:t>
            </w:r>
            <w:r>
              <w:rPr>
                <w:rFonts w:hint="eastAsia" w:ascii="宋体" w:hAnsi="宋体" w:eastAsia="宋体" w:cs="宋体"/>
                <w:sz w:val="22"/>
                <w:szCs w:val="22"/>
                <w:lang w:val="en-US" w:eastAsia="zh-CN"/>
              </w:rPr>
              <w:t>应</w:t>
            </w:r>
            <w:r>
              <w:rPr>
                <w:rFonts w:hint="eastAsia" w:ascii="宋体" w:hAnsi="宋体" w:eastAsia="宋体" w:cs="宋体"/>
                <w:sz w:val="22"/>
                <w:szCs w:val="22"/>
              </w:rPr>
              <w:t>具备常见车辆品牌标志自动识别功能，识别准确率应符合GA/T 833的规定。</w:t>
            </w:r>
          </w:p>
          <w:p w14:paraId="3FD247B5">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（8）车身颜色识别</w:t>
            </w:r>
          </w:p>
          <w:p w14:paraId="241C94A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w:t>
            </w:r>
            <w:r>
              <w:rPr>
                <w:rFonts w:hint="eastAsia" w:ascii="宋体" w:hAnsi="宋体" w:eastAsia="宋体" w:cs="宋体"/>
                <w:sz w:val="22"/>
                <w:szCs w:val="22"/>
                <w:lang w:val="en-US" w:eastAsia="zh-CN"/>
              </w:rPr>
              <w:t>应</w:t>
            </w:r>
            <w:r>
              <w:rPr>
                <w:rFonts w:hint="eastAsia" w:ascii="宋体" w:hAnsi="宋体" w:eastAsia="宋体" w:cs="宋体"/>
                <w:sz w:val="22"/>
                <w:szCs w:val="22"/>
              </w:rPr>
              <w:t>具备车身颜色自动识别功能，识别准确率应符合GA/T833的规定。</w:t>
            </w:r>
          </w:p>
          <w:p w14:paraId="20DD3BC2">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3.3.4</w:t>
            </w:r>
            <w:r>
              <w:rPr>
                <w:rFonts w:hint="eastAsia" w:ascii="宋体" w:hAnsi="宋体" w:eastAsia="宋体" w:cs="宋体"/>
                <w:b/>
                <w:bCs/>
                <w:sz w:val="22"/>
                <w:szCs w:val="22"/>
              </w:rPr>
              <w:t>球型摄像机违法抓拍功能</w:t>
            </w:r>
          </w:p>
          <w:p w14:paraId="2958E6C3">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（1）机动车逆向行驶行为抓拍</w:t>
            </w:r>
          </w:p>
          <w:p w14:paraId="3E826BC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①</w:t>
            </w:r>
            <w:r>
              <w:rPr>
                <w:rFonts w:hint="eastAsia" w:ascii="宋体" w:hAnsi="宋体" w:eastAsia="宋体" w:cs="宋体"/>
                <w:sz w:val="22"/>
                <w:szCs w:val="22"/>
              </w:rPr>
              <w:t>系统能够对机动车逆向行驶违法行为进行手动抓拍,图片应符合GA/T 832的要求，捕获率应不小于80%，记录有效率应不小于80%</w:t>
            </w:r>
            <w:r>
              <w:rPr>
                <w:rFonts w:hint="eastAsia" w:ascii="宋体" w:hAnsi="宋体" w:eastAsia="宋体" w:cs="宋体"/>
                <w:sz w:val="22"/>
                <w:szCs w:val="22"/>
                <w:lang w:eastAsia="zh-CN"/>
              </w:rPr>
              <w:t>。</w:t>
            </w:r>
          </w:p>
          <w:p w14:paraId="0761FBA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②</w:t>
            </w:r>
            <w:r>
              <w:rPr>
                <w:rFonts w:hint="eastAsia" w:ascii="宋体" w:hAnsi="宋体" w:eastAsia="宋体" w:cs="宋体"/>
                <w:sz w:val="22"/>
                <w:szCs w:val="22"/>
              </w:rPr>
              <w:t>系统记录机动车逆向行驶行为过程中至少两个不同位置的信息以反映机动车违法过程。</w:t>
            </w:r>
          </w:p>
          <w:p w14:paraId="6BDF898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③</w:t>
            </w:r>
            <w:r>
              <w:rPr>
                <w:rFonts w:hint="eastAsia" w:ascii="宋体" w:hAnsi="宋体" w:eastAsia="宋体" w:cs="宋体"/>
                <w:sz w:val="22"/>
                <w:szCs w:val="22"/>
              </w:rPr>
              <w:t>至少应有一个位置的信息能够清晰辨别号牌号码。</w:t>
            </w:r>
          </w:p>
          <w:p w14:paraId="7C211AF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④</w:t>
            </w:r>
            <w:r>
              <w:rPr>
                <w:rFonts w:hint="eastAsia" w:ascii="宋体" w:hAnsi="宋体" w:eastAsia="宋体" w:cs="宋体"/>
                <w:sz w:val="22"/>
                <w:szCs w:val="22"/>
              </w:rPr>
              <w:t>连续两幅反应机动车逆向行驶违法过程的特征图片的间隔时间应为机动车在两幅图片上的对应行驶位移＞1.0</w:t>
            </w:r>
            <w:r>
              <w:rPr>
                <w:rFonts w:hint="eastAsia" w:ascii="宋体" w:hAnsi="宋体" w:eastAsia="宋体" w:cs="宋体"/>
                <w:sz w:val="22"/>
                <w:szCs w:val="22"/>
                <w:lang w:val="en-US" w:eastAsia="zh-CN"/>
              </w:rPr>
              <w:t>米</w:t>
            </w:r>
            <w:r>
              <w:rPr>
                <w:rFonts w:hint="eastAsia" w:ascii="宋体" w:hAnsi="宋体" w:eastAsia="宋体" w:cs="宋体"/>
                <w:sz w:val="22"/>
                <w:szCs w:val="22"/>
              </w:rPr>
              <w:t>所需的时间，各个位置间应能够保持适宜的距离以反映机动车违法过程，不</w:t>
            </w:r>
            <w:r>
              <w:rPr>
                <w:rFonts w:hint="eastAsia" w:ascii="宋体" w:hAnsi="宋体" w:eastAsia="宋体" w:cs="宋体"/>
                <w:sz w:val="22"/>
                <w:szCs w:val="22"/>
                <w:lang w:val="en-US" w:eastAsia="zh-CN"/>
              </w:rPr>
              <w:t>得</w:t>
            </w:r>
            <w:r>
              <w:rPr>
                <w:rFonts w:hint="eastAsia" w:ascii="宋体" w:hAnsi="宋体" w:eastAsia="宋体" w:cs="宋体"/>
                <w:sz w:val="22"/>
                <w:szCs w:val="22"/>
              </w:rPr>
              <w:t>出现因间距太大影响对违法机动车进行认定的情形。</w:t>
            </w:r>
          </w:p>
          <w:p w14:paraId="1EEE5F57">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（2）机动车在禁止停车区域内停车行为抓拍</w:t>
            </w:r>
          </w:p>
          <w:p w14:paraId="102C503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①</w:t>
            </w:r>
            <w:r>
              <w:rPr>
                <w:rFonts w:hint="eastAsia" w:ascii="宋体" w:hAnsi="宋体" w:eastAsia="宋体" w:cs="宋体"/>
                <w:sz w:val="22"/>
                <w:szCs w:val="22"/>
              </w:rPr>
              <w:t>系统能够对在禁止停车区域内停车违法行为进行自动/手动抓拍,图片应符合GA/T 832的要求，捕获率应不小于80%，记录有效率应不小于80%。</w:t>
            </w:r>
          </w:p>
          <w:p w14:paraId="38F1B622">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②</w:t>
            </w:r>
            <w:r>
              <w:rPr>
                <w:rFonts w:hint="eastAsia" w:ascii="宋体" w:hAnsi="宋体" w:eastAsia="宋体" w:cs="宋体"/>
                <w:sz w:val="22"/>
                <w:szCs w:val="22"/>
              </w:rPr>
              <w:t>系统记录在禁止停车区域内停车后至少三分钟（可调）的视频信息以反映机动车违法过程。</w:t>
            </w:r>
          </w:p>
          <w:p w14:paraId="527F673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③</w:t>
            </w:r>
            <w:r>
              <w:rPr>
                <w:rFonts w:hint="eastAsia" w:ascii="宋体" w:hAnsi="宋体" w:eastAsia="宋体" w:cs="宋体"/>
                <w:sz w:val="22"/>
                <w:szCs w:val="22"/>
              </w:rPr>
              <w:t>系统记录在禁止停车区域内停车后至少同一位置两个不同时间段的信息以反映机动车违法过程。</w:t>
            </w:r>
          </w:p>
          <w:p w14:paraId="1D868AF4">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④</w:t>
            </w:r>
            <w:r>
              <w:rPr>
                <w:rFonts w:hint="eastAsia" w:ascii="宋体" w:hAnsi="宋体" w:eastAsia="宋体" w:cs="宋体"/>
                <w:sz w:val="22"/>
                <w:szCs w:val="22"/>
              </w:rPr>
              <w:t>至少应有一个位置的信息能够清晰辨别号牌号码。</w:t>
            </w:r>
          </w:p>
          <w:p w14:paraId="416427DD">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⑤</w:t>
            </w:r>
            <w:r>
              <w:rPr>
                <w:rFonts w:hint="eastAsia" w:ascii="宋体" w:hAnsi="宋体" w:eastAsia="宋体" w:cs="宋体"/>
                <w:sz w:val="22"/>
                <w:szCs w:val="22"/>
              </w:rPr>
              <w:t>连续两幅反应机动车逆向行驶违法过程的特征图片的间隔时间应为机动车在两幅图片上的对应行驶位移＞1.0</w:t>
            </w:r>
            <w:r>
              <w:rPr>
                <w:rFonts w:hint="eastAsia" w:ascii="宋体" w:hAnsi="宋体" w:eastAsia="宋体" w:cs="宋体"/>
                <w:sz w:val="22"/>
                <w:szCs w:val="22"/>
                <w:lang w:val="en-US" w:eastAsia="zh-CN"/>
              </w:rPr>
              <w:t>米</w:t>
            </w:r>
            <w:r>
              <w:rPr>
                <w:rFonts w:hint="eastAsia" w:ascii="宋体" w:hAnsi="宋体" w:eastAsia="宋体" w:cs="宋体"/>
                <w:sz w:val="22"/>
                <w:szCs w:val="22"/>
              </w:rPr>
              <w:t>所需的时间，各个位置间应能够保持适宜的距离以反映机动车违法过程，不</w:t>
            </w:r>
            <w:r>
              <w:rPr>
                <w:rFonts w:hint="eastAsia" w:ascii="宋体" w:hAnsi="宋体" w:eastAsia="宋体" w:cs="宋体"/>
                <w:sz w:val="22"/>
                <w:szCs w:val="22"/>
                <w:lang w:val="en-US" w:eastAsia="zh-CN"/>
              </w:rPr>
              <w:t>得</w:t>
            </w:r>
            <w:r>
              <w:rPr>
                <w:rFonts w:hint="eastAsia" w:ascii="宋体" w:hAnsi="宋体" w:eastAsia="宋体" w:cs="宋体"/>
                <w:sz w:val="22"/>
                <w:szCs w:val="22"/>
              </w:rPr>
              <w:t>出现因间距太大影响对违法机动车进行认定的情形。</w:t>
            </w:r>
          </w:p>
          <w:p w14:paraId="0175DDF9">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（3）机动车跨越禁止跨越对向或同向车行道分界线行为抓拍</w:t>
            </w:r>
          </w:p>
          <w:p w14:paraId="78ECAE1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①</w:t>
            </w:r>
            <w:r>
              <w:rPr>
                <w:rFonts w:hint="eastAsia" w:ascii="宋体" w:hAnsi="宋体" w:eastAsia="宋体" w:cs="宋体"/>
                <w:sz w:val="22"/>
                <w:szCs w:val="22"/>
              </w:rPr>
              <w:t>系统</w:t>
            </w:r>
            <w:r>
              <w:rPr>
                <w:rFonts w:hint="eastAsia" w:ascii="宋体" w:hAnsi="宋体" w:eastAsia="宋体" w:cs="宋体"/>
                <w:sz w:val="22"/>
                <w:szCs w:val="22"/>
                <w:lang w:val="en-US" w:eastAsia="zh-CN"/>
              </w:rPr>
              <w:t>可</w:t>
            </w:r>
            <w:r>
              <w:rPr>
                <w:rFonts w:hint="eastAsia" w:ascii="宋体" w:hAnsi="宋体" w:eastAsia="宋体" w:cs="宋体"/>
                <w:sz w:val="22"/>
                <w:szCs w:val="22"/>
              </w:rPr>
              <w:t>对机动车跨越禁止跨越对向或同向车行道分界线违法行为进行手动抓拍,图片应符合GA/T 832的要求，捕获率应不小于80%，记录有效率应不小于80%。</w:t>
            </w:r>
          </w:p>
          <w:p w14:paraId="53E77284">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②</w:t>
            </w:r>
            <w:r>
              <w:rPr>
                <w:rFonts w:hint="eastAsia" w:ascii="宋体" w:hAnsi="宋体" w:eastAsia="宋体" w:cs="宋体"/>
                <w:sz w:val="22"/>
                <w:szCs w:val="22"/>
              </w:rPr>
              <w:t>系统</w:t>
            </w:r>
            <w:r>
              <w:rPr>
                <w:rFonts w:hint="eastAsia" w:ascii="宋体" w:hAnsi="宋体" w:eastAsia="宋体" w:cs="宋体"/>
                <w:sz w:val="22"/>
                <w:szCs w:val="22"/>
                <w:lang w:val="en-US" w:eastAsia="zh-CN"/>
              </w:rPr>
              <w:t>可</w:t>
            </w:r>
            <w:r>
              <w:rPr>
                <w:rFonts w:hint="eastAsia" w:ascii="宋体" w:hAnsi="宋体" w:eastAsia="宋体" w:cs="宋体"/>
                <w:sz w:val="22"/>
                <w:szCs w:val="22"/>
              </w:rPr>
              <w:t>记录机动车跨越禁止跨越对向或同向车行道分界线行为过程中至少两个不同位置的信息以反映机动车违法过程。</w:t>
            </w:r>
          </w:p>
          <w:p w14:paraId="1D09944A">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第一个位置信息：应能够反应机动车未跨越或骑压禁止跨越对向或同向车行道分界线的机动车后部高清监控特征图片。</w:t>
            </w:r>
          </w:p>
          <w:p w14:paraId="464D59D3">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第二个位置信息：应为机动车继续骑压或越过禁止跨越对向或同向车行道分界线时的机动车后部高清监控特征图片。</w:t>
            </w:r>
          </w:p>
          <w:p w14:paraId="596A37A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3)</w:t>
            </w:r>
            <w:r>
              <w:rPr>
                <w:rFonts w:hint="eastAsia" w:ascii="宋体" w:hAnsi="宋体" w:eastAsia="宋体" w:cs="宋体"/>
                <w:sz w:val="22"/>
                <w:szCs w:val="22"/>
              </w:rPr>
              <w:t>并且至少应有一个位置的信息能够清晰辨别号牌号码。</w:t>
            </w:r>
          </w:p>
          <w:p w14:paraId="23047238">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③连续两</w:t>
            </w:r>
            <w:r>
              <w:rPr>
                <w:rFonts w:hint="eastAsia" w:ascii="宋体" w:hAnsi="宋体" w:eastAsia="宋体" w:cs="宋体"/>
                <w:sz w:val="22"/>
                <w:szCs w:val="22"/>
              </w:rPr>
              <w:t>幅反应跨越禁止跨越对向或同向车行道分界线违法过程的特征图片的间隔时间应为机动车在两幅图片上的对应行驶位移＞1.0</w:t>
            </w:r>
            <w:r>
              <w:rPr>
                <w:rFonts w:hint="eastAsia" w:ascii="宋体" w:hAnsi="宋体" w:eastAsia="宋体" w:cs="宋体"/>
                <w:sz w:val="22"/>
                <w:szCs w:val="22"/>
                <w:lang w:val="en-US" w:eastAsia="zh-CN"/>
              </w:rPr>
              <w:t>米</w:t>
            </w:r>
            <w:r>
              <w:rPr>
                <w:rFonts w:hint="eastAsia" w:ascii="宋体" w:hAnsi="宋体" w:eastAsia="宋体" w:cs="宋体"/>
                <w:sz w:val="22"/>
                <w:szCs w:val="22"/>
              </w:rPr>
              <w:t>所需的时间，各个位置间应能够保持适宜的距离以反映机动车违法过程，不出现因间距太大影响对违法机动车进行认定的情形。</w:t>
            </w:r>
          </w:p>
          <w:p w14:paraId="70E934AD">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（4）机动车违反禁止标志的违法行为记录功能</w:t>
            </w:r>
          </w:p>
          <w:p w14:paraId="44A53056">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①</w:t>
            </w:r>
            <w:r>
              <w:rPr>
                <w:rFonts w:hint="eastAsia" w:ascii="宋体" w:hAnsi="宋体" w:eastAsia="宋体" w:cs="宋体"/>
                <w:sz w:val="22"/>
                <w:szCs w:val="22"/>
              </w:rPr>
              <w:t>系统能够对机动车通过路口时违反禁止标志的违法行为进行手动抓拍，图片应符合GA/T 832的要求，捕获率应不小于80%，记录有效率应不小于80%。</w:t>
            </w:r>
          </w:p>
          <w:p w14:paraId="3FDCC3E5">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②</w:t>
            </w:r>
            <w:r>
              <w:rPr>
                <w:rFonts w:hint="eastAsia" w:ascii="宋体" w:hAnsi="宋体" w:eastAsia="宋体" w:cs="宋体"/>
                <w:sz w:val="22"/>
                <w:szCs w:val="22"/>
              </w:rPr>
              <w:t>系统记录机动车通过路口时违反禁止标志的行为过程中至少两个不同位置的信息以反映机动车违法过程。</w:t>
            </w:r>
          </w:p>
          <w:p w14:paraId="0779863D">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③</w:t>
            </w:r>
            <w:r>
              <w:rPr>
                <w:rFonts w:hint="eastAsia" w:ascii="宋体" w:hAnsi="宋体" w:eastAsia="宋体" w:cs="宋体"/>
                <w:sz w:val="22"/>
                <w:szCs w:val="22"/>
              </w:rPr>
              <w:t>连续两幅反应机动车违反禁止标志的行为过程中的特征图片的间隔时间应为机动车在两幅图片上的对应行驶位移＞1.0</w:t>
            </w:r>
            <w:r>
              <w:rPr>
                <w:rFonts w:hint="eastAsia" w:ascii="宋体" w:hAnsi="宋体" w:eastAsia="宋体" w:cs="宋体"/>
                <w:sz w:val="22"/>
                <w:szCs w:val="22"/>
                <w:lang w:val="en-US" w:eastAsia="zh-CN"/>
              </w:rPr>
              <w:t>米</w:t>
            </w:r>
            <w:r>
              <w:rPr>
                <w:rFonts w:hint="eastAsia" w:ascii="宋体" w:hAnsi="宋体" w:eastAsia="宋体" w:cs="宋体"/>
                <w:sz w:val="22"/>
                <w:szCs w:val="22"/>
              </w:rPr>
              <w:t>所需的时间。</w:t>
            </w:r>
          </w:p>
          <w:p w14:paraId="3259B36D">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④</w:t>
            </w:r>
            <w:r>
              <w:rPr>
                <w:rFonts w:hint="eastAsia" w:ascii="宋体" w:hAnsi="宋体" w:eastAsia="宋体" w:cs="宋体"/>
                <w:sz w:val="22"/>
                <w:szCs w:val="22"/>
              </w:rPr>
              <w:t>至少应有一个位置的信息能够清晰辨别号牌号码。</w:t>
            </w:r>
          </w:p>
          <w:p w14:paraId="0750C046">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⑤</w:t>
            </w:r>
            <w:r>
              <w:rPr>
                <w:rFonts w:hint="eastAsia" w:ascii="宋体" w:hAnsi="宋体" w:eastAsia="宋体" w:cs="宋体"/>
                <w:sz w:val="22"/>
                <w:szCs w:val="22"/>
              </w:rPr>
              <w:t>各个位置间应能够保持适宜的距离以反映机动车违法过程，不</w:t>
            </w:r>
            <w:r>
              <w:rPr>
                <w:rFonts w:hint="eastAsia" w:ascii="宋体" w:hAnsi="宋体" w:eastAsia="宋体" w:cs="宋体"/>
                <w:sz w:val="22"/>
                <w:szCs w:val="22"/>
                <w:lang w:val="en-US" w:eastAsia="zh-CN"/>
              </w:rPr>
              <w:t>得</w:t>
            </w:r>
            <w:r>
              <w:rPr>
                <w:rFonts w:hint="eastAsia" w:ascii="宋体" w:hAnsi="宋体" w:eastAsia="宋体" w:cs="宋体"/>
                <w:sz w:val="22"/>
                <w:szCs w:val="22"/>
              </w:rPr>
              <w:t>出现因间距太大影响对违法机动车进行认定的情形。</w:t>
            </w:r>
          </w:p>
          <w:p w14:paraId="5BA2583D">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3.3.5</w:t>
            </w:r>
            <w:r>
              <w:rPr>
                <w:rFonts w:hint="eastAsia" w:ascii="宋体" w:hAnsi="宋体" w:eastAsia="宋体" w:cs="宋体"/>
                <w:b/>
                <w:bCs/>
                <w:sz w:val="22"/>
                <w:szCs w:val="22"/>
              </w:rPr>
              <w:t>检测区域有效覆盖范围</w:t>
            </w:r>
          </w:p>
          <w:p w14:paraId="21A0D068">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通过多预置位设置，覆盖距离至少可达300米，有效检测距离至少可达300米。</w:t>
            </w:r>
          </w:p>
          <w:p w14:paraId="4D107CAB">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3.3.6</w:t>
            </w:r>
            <w:r>
              <w:rPr>
                <w:rFonts w:hint="eastAsia" w:ascii="宋体" w:hAnsi="宋体" w:eastAsia="宋体" w:cs="宋体"/>
                <w:b/>
                <w:bCs/>
                <w:sz w:val="22"/>
                <w:szCs w:val="22"/>
              </w:rPr>
              <w:t>自动抓拍的功能设置</w:t>
            </w:r>
          </w:p>
          <w:p w14:paraId="28344EC6">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每个抓拍球机可设置多个场景，在不同场景区域内设定指定的违法行为进行重点抓拍，在设定的监控区域上使用划线、标志牌等方式为抓拍依据，系统将检测违法行为域内的违法车辆，如果违法行为域内判断有多辆违法车辆出现时，系统则以抓拍到的第一台车辆完成整个过程为主，后按顺序一辆一辆抓拍车辆（若违停车辆在同一监控点内，24小时内不抓拍同一车辆）。人工可分别对每个监控区域的检测时间（时间范围为30～1800秒）进行调整。</w:t>
            </w:r>
          </w:p>
          <w:p w14:paraId="4A8A7151">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3.3.7</w:t>
            </w:r>
            <w:r>
              <w:rPr>
                <w:rFonts w:hint="eastAsia" w:ascii="宋体" w:hAnsi="宋体" w:eastAsia="宋体" w:cs="宋体"/>
                <w:b/>
                <w:bCs/>
                <w:sz w:val="22"/>
                <w:szCs w:val="22"/>
              </w:rPr>
              <w:t>高清录像功能</w:t>
            </w:r>
          </w:p>
          <w:p w14:paraId="3F8AABE2">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(1)可人工自由切换球机手动、自动两种模式，当不需要使用自动抓拍违法车辆功能时，可以在后台设置参数，并切换成手动模式遥控球机用于道路交通监控。</w:t>
            </w:r>
          </w:p>
          <w:p w14:paraId="5A3FAF56">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(2)系统支持道路交通情况的实时视频录像存储，视频质量能清晰反映覆盖区域内行驶机动车的车牌号码。视频采用预分配存储机制，前端支持进行滚动存储至少1周。</w:t>
            </w:r>
          </w:p>
          <w:p w14:paraId="3AED1295">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3.3.8</w:t>
            </w:r>
            <w:r>
              <w:rPr>
                <w:rFonts w:hint="eastAsia" w:ascii="宋体" w:hAnsi="宋体" w:eastAsia="宋体" w:cs="宋体"/>
                <w:b/>
                <w:bCs/>
                <w:sz w:val="22"/>
                <w:szCs w:val="22"/>
              </w:rPr>
              <w:t>机芯功能</w:t>
            </w:r>
          </w:p>
          <w:p w14:paraId="4C8824E5">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支持自动光圈、自动聚焦、自动白平衡、背光补偿和低照度(彩色/黑白)自动/手动转换功能。</w:t>
            </w:r>
          </w:p>
          <w:p w14:paraId="04C092BF">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3.3.9</w:t>
            </w:r>
            <w:r>
              <w:rPr>
                <w:rFonts w:hint="eastAsia" w:ascii="宋体" w:hAnsi="宋体" w:eastAsia="宋体" w:cs="宋体"/>
                <w:b/>
                <w:bCs/>
                <w:sz w:val="22"/>
                <w:szCs w:val="22"/>
              </w:rPr>
              <w:t>云台功能</w:t>
            </w:r>
          </w:p>
          <w:p w14:paraId="5A01CBA5">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水平方向360°连续旋转,垂直方向-5°</w:t>
            </w:r>
            <w:r>
              <w:rPr>
                <w:rFonts w:hint="eastAsia" w:ascii="宋体" w:hAnsi="宋体" w:eastAsia="宋体" w:cs="宋体"/>
                <w:i w:val="0"/>
                <w:iCs w:val="0"/>
                <w:color w:val="000000"/>
                <w:kern w:val="0"/>
                <w:sz w:val="22"/>
                <w:szCs w:val="22"/>
                <w:highlight w:val="none"/>
                <w:u w:val="none"/>
                <w:lang w:val="en-US" w:eastAsia="zh-CN" w:bidi="ar"/>
              </w:rPr>
              <w:t>～</w:t>
            </w:r>
            <w:r>
              <w:rPr>
                <w:rFonts w:hint="eastAsia" w:ascii="宋体" w:hAnsi="宋体" w:eastAsia="宋体" w:cs="宋体"/>
                <w:sz w:val="22"/>
                <w:szCs w:val="22"/>
              </w:rPr>
              <w:t>90°,支持自动翻转，无监视盲区。</w:t>
            </w:r>
          </w:p>
          <w:p w14:paraId="0FE1A963">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水平预置点速度最高可达250°/s,垂直预置点速度最高可达150°/s。</w:t>
            </w:r>
          </w:p>
          <w:p w14:paraId="5206026F">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(3)</w:t>
            </w:r>
            <w:r>
              <w:rPr>
                <w:rFonts w:hint="eastAsia" w:ascii="宋体" w:hAnsi="宋体" w:eastAsia="宋体" w:cs="宋体"/>
                <w:sz w:val="22"/>
                <w:szCs w:val="22"/>
              </w:rPr>
              <w:t>水平键控速度为0.1°</w:t>
            </w:r>
            <w:r>
              <w:rPr>
                <w:rFonts w:hint="eastAsia" w:ascii="宋体" w:hAnsi="宋体" w:eastAsia="宋体" w:cs="宋体"/>
                <w:i w:val="0"/>
                <w:iCs w:val="0"/>
                <w:color w:val="000000"/>
                <w:kern w:val="0"/>
                <w:sz w:val="22"/>
                <w:szCs w:val="22"/>
                <w:highlight w:val="none"/>
                <w:u w:val="none"/>
                <w:lang w:val="en-US" w:eastAsia="zh-CN" w:bidi="ar"/>
              </w:rPr>
              <w:t>～</w:t>
            </w:r>
            <w:r>
              <w:rPr>
                <w:rFonts w:hint="eastAsia" w:ascii="宋体" w:hAnsi="宋体" w:eastAsia="宋体" w:cs="宋体"/>
                <w:sz w:val="22"/>
                <w:szCs w:val="22"/>
              </w:rPr>
              <w:t>250°/s,垂直键控速度为0.1°</w:t>
            </w:r>
            <w:r>
              <w:rPr>
                <w:rFonts w:hint="eastAsia" w:ascii="宋体" w:hAnsi="宋体" w:eastAsia="宋体" w:cs="宋体"/>
                <w:i w:val="0"/>
                <w:iCs w:val="0"/>
                <w:color w:val="000000"/>
                <w:kern w:val="0"/>
                <w:sz w:val="22"/>
                <w:szCs w:val="22"/>
                <w:highlight w:val="none"/>
                <w:u w:val="none"/>
                <w:lang w:val="en-US" w:eastAsia="zh-CN" w:bidi="ar"/>
              </w:rPr>
              <w:t>～</w:t>
            </w:r>
            <w:r>
              <w:rPr>
                <w:rFonts w:hint="eastAsia" w:ascii="宋体" w:hAnsi="宋体" w:eastAsia="宋体" w:cs="宋体"/>
                <w:sz w:val="22"/>
                <w:szCs w:val="22"/>
              </w:rPr>
              <w:t>150°/s。</w:t>
            </w:r>
          </w:p>
          <w:p w14:paraId="35DD5363">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(4)</w:t>
            </w:r>
            <w:r>
              <w:rPr>
                <w:rFonts w:hint="eastAsia" w:ascii="宋体" w:hAnsi="宋体" w:eastAsia="宋体" w:cs="宋体"/>
                <w:sz w:val="22"/>
                <w:szCs w:val="22"/>
              </w:rPr>
              <w:t>支持</w:t>
            </w:r>
            <w:r>
              <w:rPr>
                <w:rFonts w:hint="eastAsia" w:ascii="宋体" w:hAnsi="宋体" w:eastAsia="宋体" w:cs="宋体"/>
                <w:sz w:val="22"/>
                <w:szCs w:val="22"/>
                <w:lang w:val="en-US" w:eastAsia="zh-CN"/>
              </w:rPr>
              <w:t>至少</w:t>
            </w:r>
            <w:r>
              <w:rPr>
                <w:rFonts w:hint="eastAsia" w:ascii="宋体" w:hAnsi="宋体" w:eastAsia="宋体" w:cs="宋体"/>
                <w:sz w:val="22"/>
                <w:szCs w:val="22"/>
              </w:rPr>
              <w:t>300个预置位,并具有预置点视频冻结功能。</w:t>
            </w:r>
          </w:p>
          <w:p w14:paraId="2BCCBB37">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(5)</w:t>
            </w:r>
            <w:r>
              <w:rPr>
                <w:rFonts w:hint="eastAsia" w:ascii="宋体" w:hAnsi="宋体" w:eastAsia="宋体" w:cs="宋体"/>
                <w:sz w:val="22"/>
                <w:szCs w:val="22"/>
              </w:rPr>
              <w:t>支持</w:t>
            </w:r>
            <w:r>
              <w:rPr>
                <w:rFonts w:hint="eastAsia" w:ascii="宋体" w:hAnsi="宋体" w:eastAsia="宋体" w:cs="宋体"/>
                <w:sz w:val="22"/>
                <w:szCs w:val="22"/>
                <w:lang w:val="en-US" w:eastAsia="zh-CN"/>
              </w:rPr>
              <w:t>至少</w:t>
            </w:r>
            <w:r>
              <w:rPr>
                <w:rFonts w:hint="eastAsia" w:ascii="宋体" w:hAnsi="宋体" w:eastAsia="宋体" w:cs="宋体"/>
                <w:sz w:val="22"/>
                <w:szCs w:val="22"/>
              </w:rPr>
              <w:t>8条巡航扫描,每条可添加32个预置点。</w:t>
            </w:r>
          </w:p>
          <w:p w14:paraId="04F4789F">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(6)</w:t>
            </w:r>
            <w:r>
              <w:rPr>
                <w:rFonts w:hint="eastAsia" w:ascii="宋体" w:hAnsi="宋体" w:eastAsia="宋体" w:cs="宋体"/>
                <w:sz w:val="22"/>
                <w:szCs w:val="22"/>
              </w:rPr>
              <w:t>支持</w:t>
            </w:r>
            <w:r>
              <w:rPr>
                <w:rFonts w:hint="eastAsia" w:ascii="宋体" w:hAnsi="宋体" w:eastAsia="宋体" w:cs="宋体"/>
                <w:sz w:val="22"/>
                <w:szCs w:val="22"/>
                <w:lang w:val="en-US" w:eastAsia="zh-CN"/>
              </w:rPr>
              <w:t>至少</w:t>
            </w:r>
            <w:r>
              <w:rPr>
                <w:rFonts w:hint="eastAsia" w:ascii="宋体" w:hAnsi="宋体" w:eastAsia="宋体" w:cs="宋体"/>
                <w:sz w:val="22"/>
                <w:szCs w:val="22"/>
              </w:rPr>
              <w:t>4条花样扫描,每条路径记录时间大于10分钟。</w:t>
            </w:r>
          </w:p>
          <w:p w14:paraId="51F63162">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(7)</w:t>
            </w:r>
            <w:r>
              <w:rPr>
                <w:rFonts w:hint="eastAsia" w:ascii="宋体" w:hAnsi="宋体" w:eastAsia="宋体" w:cs="宋体"/>
                <w:sz w:val="22"/>
                <w:szCs w:val="22"/>
              </w:rPr>
              <w:t>支持比例变倍功能,旋转速度可以根据镜头变倍倍数自动调整。</w:t>
            </w:r>
          </w:p>
          <w:p w14:paraId="713A796B">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(8)</w:t>
            </w:r>
            <w:r>
              <w:rPr>
                <w:rFonts w:hint="eastAsia" w:ascii="宋体" w:hAnsi="宋体" w:eastAsia="宋体" w:cs="宋体"/>
                <w:sz w:val="22"/>
                <w:szCs w:val="22"/>
              </w:rPr>
              <w:t>支持守望功能,预置点/花样扫描/巡航扫描/自动扫描/随机扫描/帧扫描/全景扫描，可在空闲状态停留指定时间后自动调用(包括上电后进入的空闲状态)。</w:t>
            </w:r>
          </w:p>
          <w:p w14:paraId="730998C4">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(9)</w:t>
            </w:r>
            <w:r>
              <w:rPr>
                <w:rFonts w:hint="eastAsia" w:ascii="宋体" w:hAnsi="宋体" w:eastAsia="宋体" w:cs="宋体"/>
                <w:sz w:val="22"/>
                <w:szCs w:val="22"/>
              </w:rPr>
              <w:t>支持报警功能,内置1路报警输入和1路报警输出,支持报警联动,可在报警后触发调用预置点/巡航扫描/花样扫描/SD卡录像/触发开关量输出/客户端电子地图。</w:t>
            </w:r>
          </w:p>
          <w:p w14:paraId="3770235E">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(10)</w:t>
            </w:r>
            <w:r>
              <w:rPr>
                <w:rFonts w:hint="eastAsia" w:ascii="宋体" w:hAnsi="宋体" w:eastAsia="宋体" w:cs="宋体"/>
                <w:sz w:val="22"/>
                <w:szCs w:val="22"/>
              </w:rPr>
              <w:t>用户可以通过后端NVR或外接网络键盘远程实时操作球机进行变焦变倍、云台转动、3D定位等，通过视频监控网络，授权用户能通过局域网或外网远程监控任意监控点的图像。授权用户可通过智能交通平台软件或者IE浏览器实现远程预览现场图像、回放和下载录像资料、配置系统参数等所有管理控制功能。</w:t>
            </w:r>
          </w:p>
          <w:p w14:paraId="6B42FBAD">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3.3.10</w:t>
            </w:r>
            <w:r>
              <w:rPr>
                <w:rFonts w:hint="eastAsia" w:ascii="宋体" w:hAnsi="宋体" w:eastAsia="宋体" w:cs="宋体"/>
                <w:b/>
                <w:bCs/>
                <w:sz w:val="22"/>
                <w:szCs w:val="22"/>
              </w:rPr>
              <w:t>图片记录</w:t>
            </w:r>
          </w:p>
          <w:p w14:paraId="72A82B33">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系统记录的图片应符合以下要求：</w:t>
            </w:r>
          </w:p>
          <w:p w14:paraId="60A28932">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(1)图片格式应采用JPEG格式，JPEG图片编码应符合ISO/IEC 15444:2000的要求。</w:t>
            </w:r>
          </w:p>
          <w:p w14:paraId="559E1F2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(2)图片应具有防篡改功能。</w:t>
            </w:r>
          </w:p>
          <w:p w14:paraId="7F74ED2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(3)记录的每张图片应包含时间信息，至少精确到0.1</w:t>
            </w:r>
            <w:r>
              <w:rPr>
                <w:rFonts w:hint="eastAsia" w:ascii="宋体" w:hAnsi="宋体" w:eastAsia="宋体" w:cs="宋体"/>
                <w:sz w:val="22"/>
                <w:szCs w:val="22"/>
                <w:lang w:val="en-US" w:eastAsia="zh-CN"/>
              </w:rPr>
              <w:t>秒</w:t>
            </w:r>
            <w:r>
              <w:rPr>
                <w:rFonts w:hint="eastAsia" w:ascii="宋体" w:hAnsi="宋体" w:eastAsia="宋体" w:cs="宋体"/>
                <w:kern w:val="2"/>
                <w:sz w:val="22"/>
                <w:szCs w:val="22"/>
                <w:lang w:val="en-US" w:eastAsia="zh-CN" w:bidi="ar-SA"/>
              </w:rPr>
              <w:t>。</w:t>
            </w:r>
          </w:p>
          <w:p w14:paraId="3BF2CB94">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(4)图片记录要求应符合GA/T 832的要求。</w:t>
            </w:r>
          </w:p>
          <w:p w14:paraId="27E32C54">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(5)记录的最终图片应合成为一个图片文件，且至少应包含：时间、地点、方向、车道和设备编号等信息，设备编号规则应符合GA/T 1043的要求。</w:t>
            </w:r>
          </w:p>
          <w:p w14:paraId="0A7D4B25">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(6)合成的图片清晰度应能满足人工对车辆号牌号码认定的要求，图片不应出现红灯信号泛白、光晕等颜色失真现象；图片合成时，不得出现原始图片遗漏、错位等情形。</w:t>
            </w:r>
          </w:p>
          <w:p w14:paraId="728BCADE">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3.3.11</w:t>
            </w:r>
            <w:r>
              <w:rPr>
                <w:rFonts w:hint="eastAsia" w:ascii="宋体" w:hAnsi="宋体" w:eastAsia="宋体" w:cs="宋体"/>
                <w:b/>
                <w:bCs/>
                <w:sz w:val="22"/>
                <w:szCs w:val="22"/>
              </w:rPr>
              <w:t>数据传输</w:t>
            </w:r>
          </w:p>
          <w:p w14:paraId="05FC3D1F">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（1）数据传输要求</w:t>
            </w:r>
          </w:p>
          <w:p w14:paraId="194BBCE3">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违法自动记录系统应具备联网数据传输或现场数据下载功能。</w:t>
            </w:r>
          </w:p>
          <w:p w14:paraId="5DCDD0B4">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（2）联网数据传输</w:t>
            </w:r>
          </w:p>
          <w:p w14:paraId="7ACD2C2F">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通过网络将机动车违法信息自动传输到指定数据中心，且信息传输应具有防丢失、防篡改等功能。视频数据传输应符合GB/T 28181的要求。</w:t>
            </w:r>
          </w:p>
          <w:p w14:paraId="68B199F6">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（3）现场数据下载</w:t>
            </w:r>
          </w:p>
          <w:p w14:paraId="6804DE47">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现场将机动车违法信息人工或自动下载到存储介质中后带回数据中心，下载过程不得删改原始信息，且应自动生成下载日志信息，包括下载人</w:t>
            </w:r>
            <w:r>
              <w:rPr>
                <w:rFonts w:hint="eastAsia" w:ascii="宋体" w:hAnsi="宋体" w:eastAsia="宋体" w:cs="宋体"/>
                <w:sz w:val="22"/>
                <w:szCs w:val="22"/>
                <w:lang w:val="en-US" w:eastAsia="zh-CN"/>
              </w:rPr>
              <w:t>员</w:t>
            </w:r>
            <w:r>
              <w:rPr>
                <w:rFonts w:hint="eastAsia" w:ascii="宋体" w:hAnsi="宋体" w:eastAsia="宋体" w:cs="宋体"/>
                <w:sz w:val="22"/>
                <w:szCs w:val="22"/>
              </w:rPr>
              <w:t>、下载时间等信息。</w:t>
            </w:r>
          </w:p>
          <w:p w14:paraId="2B21DB20">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3.3.12</w:t>
            </w:r>
            <w:r>
              <w:rPr>
                <w:rFonts w:hint="eastAsia" w:ascii="宋体" w:hAnsi="宋体" w:eastAsia="宋体" w:cs="宋体"/>
                <w:b/>
                <w:bCs/>
                <w:sz w:val="22"/>
                <w:szCs w:val="22"/>
              </w:rPr>
              <w:t>录像</w:t>
            </w:r>
          </w:p>
          <w:p w14:paraId="78F8B6C4">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系统应具备录像功能，采用H.265、MPEG4或MJPEG编码标准，视频质量不低于1080P及25fps，并能确保前端存储连续录像时间不</w:t>
            </w:r>
            <w:r>
              <w:rPr>
                <w:rFonts w:hint="eastAsia" w:ascii="宋体" w:hAnsi="宋体" w:eastAsia="宋体" w:cs="宋体"/>
                <w:sz w:val="22"/>
                <w:szCs w:val="22"/>
                <w:lang w:val="en-US" w:eastAsia="zh-CN"/>
              </w:rPr>
              <w:t>少</w:t>
            </w:r>
            <w:r>
              <w:rPr>
                <w:rFonts w:hint="eastAsia" w:ascii="宋体" w:hAnsi="宋体" w:eastAsia="宋体" w:cs="宋体"/>
                <w:sz w:val="22"/>
                <w:szCs w:val="22"/>
              </w:rPr>
              <w:t>于7</w:t>
            </w:r>
            <w:r>
              <w:rPr>
                <w:rFonts w:hint="eastAsia" w:ascii="宋体" w:hAnsi="宋体" w:eastAsia="宋体" w:cs="宋体"/>
                <w:sz w:val="22"/>
                <w:szCs w:val="22"/>
                <w:lang w:val="en-US" w:eastAsia="zh-CN"/>
              </w:rPr>
              <w:t>天</w:t>
            </w:r>
            <w:r>
              <w:rPr>
                <w:rFonts w:hint="eastAsia" w:ascii="宋体" w:hAnsi="宋体" w:eastAsia="宋体" w:cs="宋体"/>
                <w:sz w:val="22"/>
                <w:szCs w:val="22"/>
              </w:rPr>
              <w:t>；录像支持OSD信息叠加，叠加的信息至少包括日期、时间（精确到秒）、监控点名称、设备编号等信息。</w:t>
            </w:r>
          </w:p>
          <w:p w14:paraId="268C16BA">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3.3.13</w:t>
            </w:r>
            <w:r>
              <w:rPr>
                <w:rFonts w:hint="eastAsia" w:ascii="宋体" w:hAnsi="宋体" w:eastAsia="宋体" w:cs="宋体"/>
                <w:b/>
                <w:bCs/>
                <w:sz w:val="22"/>
                <w:szCs w:val="22"/>
              </w:rPr>
              <w:t>图像取证设备</w:t>
            </w:r>
          </w:p>
          <w:p w14:paraId="120C4151">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图像取证设备应能清晰记录道路交通安全违法行为的证据图片。</w:t>
            </w:r>
          </w:p>
          <w:p w14:paraId="29C01C27">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3.3.14</w:t>
            </w:r>
            <w:r>
              <w:rPr>
                <w:rFonts w:hint="eastAsia" w:ascii="宋体" w:hAnsi="宋体" w:eastAsia="宋体" w:cs="宋体"/>
                <w:b/>
                <w:bCs/>
                <w:sz w:val="22"/>
                <w:szCs w:val="22"/>
              </w:rPr>
              <w:t>计时误差</w:t>
            </w:r>
          </w:p>
          <w:p w14:paraId="0939AD2B">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图像取证设备时钟与北京时间的误差不超过1.0</w:t>
            </w:r>
            <w:r>
              <w:rPr>
                <w:rFonts w:hint="eastAsia" w:ascii="宋体" w:hAnsi="宋体" w:eastAsia="宋体" w:cs="宋体"/>
                <w:sz w:val="22"/>
                <w:szCs w:val="22"/>
                <w:lang w:val="en-US" w:eastAsia="zh-CN"/>
              </w:rPr>
              <w:t>秒</w:t>
            </w:r>
            <w:r>
              <w:rPr>
                <w:rFonts w:hint="eastAsia" w:ascii="宋体" w:hAnsi="宋体" w:eastAsia="宋体" w:cs="宋体"/>
                <w:sz w:val="22"/>
                <w:szCs w:val="22"/>
              </w:rPr>
              <w:t>。</w:t>
            </w:r>
          </w:p>
          <w:p w14:paraId="6872AD04">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3.3.15</w:t>
            </w:r>
            <w:r>
              <w:rPr>
                <w:rFonts w:hint="eastAsia" w:ascii="宋体" w:hAnsi="宋体" w:eastAsia="宋体" w:cs="宋体"/>
                <w:b/>
                <w:bCs/>
                <w:sz w:val="22"/>
                <w:szCs w:val="22"/>
              </w:rPr>
              <w:t>图片数量</w:t>
            </w:r>
          </w:p>
          <w:p w14:paraId="0765A5E8">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(1)</w:t>
            </w:r>
            <w:r>
              <w:rPr>
                <w:rFonts w:hint="eastAsia" w:ascii="宋体" w:hAnsi="宋体" w:eastAsia="宋体" w:cs="宋体"/>
                <w:sz w:val="22"/>
                <w:szCs w:val="22"/>
              </w:rPr>
              <w:t>不少于2幅不同时间拍摄的机动车全景特征图片。</w:t>
            </w:r>
          </w:p>
          <w:p w14:paraId="7D975188">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(2)</w:t>
            </w:r>
            <w:r>
              <w:rPr>
                <w:rFonts w:hint="eastAsia" w:ascii="宋体" w:hAnsi="宋体" w:eastAsia="宋体" w:cs="宋体"/>
                <w:sz w:val="22"/>
                <w:szCs w:val="22"/>
              </w:rPr>
              <w:t>采用图片加视频方式取证的，应采集至少1幅机动车全景特征图片。</w:t>
            </w:r>
          </w:p>
          <w:p w14:paraId="18CF98F1">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3.3.16</w:t>
            </w:r>
            <w:r>
              <w:rPr>
                <w:rFonts w:hint="eastAsia" w:ascii="宋体" w:hAnsi="宋体" w:eastAsia="宋体" w:cs="宋体"/>
                <w:b/>
                <w:bCs/>
                <w:sz w:val="22"/>
                <w:szCs w:val="22"/>
              </w:rPr>
              <w:t>图片质量</w:t>
            </w:r>
          </w:p>
          <w:p w14:paraId="5712BCF4">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记录的图片质量应符合如下要求：</w:t>
            </w:r>
          </w:p>
          <w:p w14:paraId="3849B7AC">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(1)记录的图片应为24位真彩图像。</w:t>
            </w:r>
          </w:p>
          <w:p w14:paraId="4ECBF8D5">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(2)基于模拟视频的图片分辨率应不小于1920×1080像素点。</w:t>
            </w:r>
          </w:p>
          <w:p w14:paraId="7E99D714">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(3)基于数字成像设备的图片分辨率应不小于1920×1080像素点。</w:t>
            </w:r>
          </w:p>
          <w:p w14:paraId="4452AAB7">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3.3.17</w:t>
            </w:r>
            <w:r>
              <w:rPr>
                <w:rFonts w:hint="eastAsia" w:ascii="宋体" w:hAnsi="宋体" w:eastAsia="宋体" w:cs="宋体"/>
                <w:b/>
                <w:bCs/>
                <w:sz w:val="22"/>
                <w:szCs w:val="22"/>
              </w:rPr>
              <w:t>间隔时间</w:t>
            </w:r>
          </w:p>
          <w:p w14:paraId="007AD47A">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机动车全景特征图片的间隔时间要求如下：</w:t>
            </w:r>
          </w:p>
          <w:p w14:paraId="57011FC0">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(1)机动车行驶状态下发生的道路交通安全违法行为，间隔时间应确保机动车全景特征图片中机动车有明显的位移；</w:t>
            </w:r>
          </w:p>
          <w:p w14:paraId="70FABE76">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(2)机动车静止状态下发生的道路交通安全违法行为，间隔时间应不小于10秒。</w:t>
            </w:r>
          </w:p>
          <w:p w14:paraId="064F5D7F">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3.3.18</w:t>
            </w:r>
            <w:r>
              <w:rPr>
                <w:rFonts w:hint="eastAsia" w:ascii="宋体" w:hAnsi="宋体" w:eastAsia="宋体" w:cs="宋体"/>
                <w:b/>
                <w:bCs/>
                <w:sz w:val="22"/>
                <w:szCs w:val="22"/>
              </w:rPr>
              <w:t>叠加信息</w:t>
            </w:r>
          </w:p>
          <w:p w14:paraId="7C32003F">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基本信息：叠加在每幅图片上的信息至少应包括违法时间、违法地点、违法代码、违法行为、图像取证设备编号、防伪信息等内容。</w:t>
            </w:r>
          </w:p>
          <w:p w14:paraId="4856E667">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3.3.19</w:t>
            </w:r>
            <w:r>
              <w:rPr>
                <w:rFonts w:hint="eastAsia" w:ascii="宋体" w:hAnsi="宋体" w:eastAsia="宋体" w:cs="宋体"/>
                <w:b/>
                <w:bCs/>
                <w:sz w:val="22"/>
                <w:szCs w:val="22"/>
              </w:rPr>
              <w:t>时间信息</w:t>
            </w:r>
          </w:p>
          <w:p w14:paraId="0C572898">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图片上叠加的时间信息应符合如下要求：</w:t>
            </w:r>
          </w:p>
          <w:p w14:paraId="094378A7">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(1)对于机动车行驶过程中发生的道路交通安全违法行为，叠加在图片上的违法时间应精确到0.01秒；</w:t>
            </w:r>
          </w:p>
          <w:p w14:paraId="54AD5495">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(2)对于机动车静止状况下发生的道路交通安全违法行为，叠加在图片上的违法时间应精确到1.0秒。</w:t>
            </w:r>
          </w:p>
          <w:p w14:paraId="773DE5A0">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3.3.20</w:t>
            </w:r>
            <w:r>
              <w:rPr>
                <w:rFonts w:hint="eastAsia" w:ascii="宋体" w:hAnsi="宋体" w:eastAsia="宋体" w:cs="宋体"/>
                <w:b/>
                <w:bCs/>
                <w:sz w:val="22"/>
                <w:szCs w:val="22"/>
              </w:rPr>
              <w:t>叠加位置</w:t>
            </w:r>
          </w:p>
          <w:p w14:paraId="7D676C98">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图片上叠加的信息应不影响道路交通安全违法行为认定。</w:t>
            </w:r>
          </w:p>
          <w:p w14:paraId="5F59C6F1">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3.3.21</w:t>
            </w:r>
            <w:r>
              <w:rPr>
                <w:rFonts w:hint="eastAsia" w:ascii="宋体" w:hAnsi="宋体" w:eastAsia="宋体" w:cs="宋体"/>
                <w:b/>
                <w:bCs/>
                <w:sz w:val="22"/>
                <w:szCs w:val="22"/>
              </w:rPr>
              <w:t>证据图片</w:t>
            </w:r>
          </w:p>
          <w:p w14:paraId="3F62210A">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原始图片应集合为图片证据，图片证据集合过程中不得改变每幅图片的尺寸、像素值、色彩等原始成像内容。</w:t>
            </w:r>
          </w:p>
          <w:p w14:paraId="10DDFB7C">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3.3.22</w:t>
            </w:r>
            <w:r>
              <w:rPr>
                <w:rFonts w:hint="eastAsia" w:ascii="宋体" w:hAnsi="宋体" w:eastAsia="宋体" w:cs="宋体"/>
                <w:sz w:val="22"/>
                <w:szCs w:val="22"/>
                <w:lang w:eastAsia="zh-CN"/>
              </w:rPr>
              <w:t>存储</w:t>
            </w:r>
            <w:r>
              <w:rPr>
                <w:rFonts w:hint="eastAsia" w:ascii="宋体" w:hAnsi="宋体" w:eastAsia="宋体" w:cs="宋体"/>
                <w:b/>
                <w:bCs/>
                <w:sz w:val="22"/>
                <w:szCs w:val="22"/>
              </w:rPr>
              <w:t>格式</w:t>
            </w:r>
          </w:p>
          <w:p w14:paraId="4AF38466">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图片采用JPEG编码，以JFIF或JPEG文件格式</w:t>
            </w:r>
            <w:r>
              <w:rPr>
                <w:rFonts w:hint="eastAsia" w:ascii="宋体" w:hAnsi="宋体" w:eastAsia="宋体" w:cs="宋体"/>
                <w:sz w:val="22"/>
                <w:szCs w:val="22"/>
                <w:lang w:eastAsia="zh-CN"/>
              </w:rPr>
              <w:t>存储</w:t>
            </w:r>
            <w:r>
              <w:rPr>
                <w:rFonts w:hint="eastAsia" w:ascii="宋体" w:hAnsi="宋体" w:eastAsia="宋体" w:cs="宋体"/>
                <w:sz w:val="22"/>
                <w:szCs w:val="22"/>
                <w:lang w:val="en-US" w:eastAsia="zh-CN"/>
              </w:rPr>
              <w:t>，压缩因子应低于70。</w:t>
            </w:r>
          </w:p>
          <w:p w14:paraId="1CA68747">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3.3.23</w:t>
            </w:r>
            <w:r>
              <w:rPr>
                <w:rFonts w:hint="eastAsia" w:ascii="宋体" w:hAnsi="宋体" w:eastAsia="宋体" w:cs="宋体"/>
                <w:b/>
                <w:bCs/>
                <w:sz w:val="22"/>
                <w:szCs w:val="22"/>
              </w:rPr>
              <w:t>防伪要求</w:t>
            </w:r>
          </w:p>
          <w:p w14:paraId="68E14EAD">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每幅交通违法行为图片应包含原始防伪信息，防止原始图片在传输、</w:t>
            </w:r>
            <w:r>
              <w:rPr>
                <w:rFonts w:hint="eastAsia" w:ascii="宋体" w:hAnsi="宋体" w:eastAsia="宋体" w:cs="宋体"/>
                <w:sz w:val="22"/>
                <w:szCs w:val="22"/>
                <w:lang w:eastAsia="zh-CN"/>
              </w:rPr>
              <w:t>存储</w:t>
            </w:r>
            <w:r>
              <w:rPr>
                <w:rFonts w:hint="eastAsia" w:ascii="宋体" w:hAnsi="宋体" w:eastAsia="宋体" w:cs="宋体"/>
                <w:sz w:val="22"/>
                <w:szCs w:val="22"/>
                <w:lang w:val="en-US" w:eastAsia="zh-CN"/>
              </w:rPr>
              <w:t>和校对过程中被人为篡改。</w:t>
            </w:r>
          </w:p>
          <w:p w14:paraId="3BA2556B">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3.3.24</w:t>
            </w:r>
            <w:r>
              <w:rPr>
                <w:rFonts w:hint="eastAsia" w:ascii="宋体" w:hAnsi="宋体" w:eastAsia="宋体" w:cs="宋体"/>
                <w:b/>
                <w:bCs/>
                <w:sz w:val="22"/>
                <w:szCs w:val="22"/>
              </w:rPr>
              <w:t>自动报警</w:t>
            </w:r>
          </w:p>
          <w:p w14:paraId="073663A1">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应具备布控缉查车辆自动报警功能，当系统识别出来的车辆号牌结果属于布控车辆时，应能生成报警信息，并支持现场报警和远程报警。</w:t>
            </w:r>
          </w:p>
          <w:p w14:paraId="660338F9">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3.3.25</w:t>
            </w:r>
            <w:r>
              <w:rPr>
                <w:rFonts w:hint="eastAsia" w:ascii="宋体" w:hAnsi="宋体" w:eastAsia="宋体" w:cs="宋体"/>
                <w:b/>
                <w:bCs/>
                <w:sz w:val="22"/>
                <w:szCs w:val="22"/>
              </w:rPr>
              <w:t>图像要求</w:t>
            </w:r>
          </w:p>
          <w:p w14:paraId="779E1255">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（1）分辨率</w:t>
            </w:r>
          </w:p>
          <w:p w14:paraId="63C117D2">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应确保车辆号牌在图像中的水平分辨率不小于100个像素点，并包含车牌的完整信息。</w:t>
            </w:r>
          </w:p>
          <w:p w14:paraId="43DA0245">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（2）清晰度</w:t>
            </w:r>
          </w:p>
          <w:p w14:paraId="7E38941D">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应能满足人工对车辆类型、颜色和轮廓及装载情况认定的要求。</w:t>
            </w:r>
          </w:p>
          <w:p w14:paraId="013E9A01">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（3）编码</w:t>
            </w:r>
          </w:p>
          <w:p w14:paraId="1039575A">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eastAsia="zh-CN"/>
              </w:rPr>
              <w:t>存储</w:t>
            </w:r>
            <w:r>
              <w:rPr>
                <w:rFonts w:hint="eastAsia" w:ascii="宋体" w:hAnsi="宋体" w:eastAsia="宋体" w:cs="宋体"/>
                <w:sz w:val="22"/>
                <w:szCs w:val="22"/>
              </w:rPr>
              <w:t>的车辆图像编码应符合ISO/IEC 15444:1994的要求。</w:t>
            </w:r>
          </w:p>
          <w:p w14:paraId="0910DE7D">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（4）防篡改</w:t>
            </w:r>
          </w:p>
          <w:p w14:paraId="15EAECF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应对车辆图像文件进行防篡改保护。</w:t>
            </w:r>
          </w:p>
          <w:p w14:paraId="0F98AE8B">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3.3.26存储</w:t>
            </w:r>
            <w:r>
              <w:rPr>
                <w:rFonts w:hint="eastAsia" w:ascii="宋体" w:hAnsi="宋体" w:eastAsia="宋体" w:cs="宋体"/>
                <w:b/>
                <w:bCs/>
                <w:sz w:val="22"/>
                <w:szCs w:val="22"/>
              </w:rPr>
              <w:t>要求</w:t>
            </w:r>
          </w:p>
          <w:p w14:paraId="70F906F4">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（1）格式</w:t>
            </w:r>
          </w:p>
          <w:p w14:paraId="420D12EF">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图像文件应采用JPG格式，记录的车辆通行数据。</w:t>
            </w:r>
          </w:p>
          <w:p w14:paraId="35D47E98">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（2）数量</w:t>
            </w:r>
          </w:p>
          <w:p w14:paraId="54F462E3">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应</w:t>
            </w:r>
            <w:r>
              <w:rPr>
                <w:rFonts w:hint="eastAsia" w:ascii="宋体" w:hAnsi="宋体" w:eastAsia="宋体" w:cs="宋体"/>
                <w:sz w:val="22"/>
                <w:szCs w:val="22"/>
                <w:lang w:eastAsia="zh-CN"/>
              </w:rPr>
              <w:t>存储</w:t>
            </w:r>
            <w:r>
              <w:rPr>
                <w:rFonts w:hint="eastAsia" w:ascii="宋体" w:hAnsi="宋体" w:eastAsia="宋体" w:cs="宋体"/>
                <w:sz w:val="22"/>
                <w:szCs w:val="22"/>
              </w:rPr>
              <w:t>通行车辆的全景图像、特征图像、号牌图像各1张。当全景图像满足特征图像要求时，可</w:t>
            </w:r>
            <w:r>
              <w:rPr>
                <w:rFonts w:hint="eastAsia" w:ascii="宋体" w:hAnsi="宋体" w:eastAsia="宋体" w:cs="宋体"/>
                <w:sz w:val="22"/>
                <w:szCs w:val="22"/>
                <w:lang w:eastAsia="zh-CN"/>
              </w:rPr>
              <w:t>存储</w:t>
            </w:r>
            <w:r>
              <w:rPr>
                <w:rFonts w:hint="eastAsia" w:ascii="宋体" w:hAnsi="宋体" w:eastAsia="宋体" w:cs="宋体"/>
                <w:sz w:val="22"/>
                <w:szCs w:val="22"/>
              </w:rPr>
              <w:t>全景图像和号牌图像各1张。</w:t>
            </w:r>
          </w:p>
          <w:p w14:paraId="218CBCDB">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（3）容量</w:t>
            </w:r>
          </w:p>
          <w:p w14:paraId="68C352AD">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应确保前端</w:t>
            </w:r>
            <w:r>
              <w:rPr>
                <w:rFonts w:hint="eastAsia" w:ascii="宋体" w:hAnsi="宋体" w:eastAsia="宋体" w:cs="宋体"/>
                <w:sz w:val="22"/>
                <w:szCs w:val="22"/>
                <w:lang w:eastAsia="zh-CN"/>
              </w:rPr>
              <w:t>存储</w:t>
            </w:r>
            <w:r>
              <w:rPr>
                <w:rFonts w:hint="eastAsia" w:ascii="宋体" w:hAnsi="宋体" w:eastAsia="宋体" w:cs="宋体"/>
                <w:sz w:val="22"/>
                <w:szCs w:val="22"/>
              </w:rPr>
              <w:t>通行车辆记录数不小于30万辆，当超出最大</w:t>
            </w:r>
            <w:r>
              <w:rPr>
                <w:rFonts w:hint="eastAsia" w:ascii="宋体" w:hAnsi="宋体" w:eastAsia="宋体" w:cs="宋体"/>
                <w:sz w:val="22"/>
                <w:szCs w:val="22"/>
                <w:lang w:eastAsia="zh-CN"/>
              </w:rPr>
              <w:t>存储</w:t>
            </w:r>
            <w:r>
              <w:rPr>
                <w:rFonts w:hint="eastAsia" w:ascii="宋体" w:hAnsi="宋体" w:eastAsia="宋体" w:cs="宋体"/>
                <w:sz w:val="22"/>
                <w:szCs w:val="22"/>
              </w:rPr>
              <w:t>容量时，自动对车辆信息和图片进行循环覆盖。</w:t>
            </w:r>
          </w:p>
          <w:p w14:paraId="38805BE3">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3.3.27</w:t>
            </w:r>
            <w:r>
              <w:rPr>
                <w:rFonts w:hint="eastAsia" w:ascii="宋体" w:hAnsi="宋体" w:eastAsia="宋体" w:cs="宋体"/>
                <w:b/>
                <w:bCs/>
                <w:sz w:val="22"/>
                <w:szCs w:val="22"/>
              </w:rPr>
              <w:t>数据传输</w:t>
            </w:r>
          </w:p>
          <w:p w14:paraId="25DAB6C7">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通过网络将车辆信息上传到</w:t>
            </w:r>
            <w:r>
              <w:rPr>
                <w:rFonts w:hint="eastAsia" w:ascii="宋体" w:hAnsi="宋体" w:eastAsia="宋体" w:cs="宋体"/>
                <w:sz w:val="22"/>
                <w:szCs w:val="22"/>
                <w:lang w:val="en-US" w:eastAsia="zh-CN"/>
              </w:rPr>
              <w:t>中山</w:t>
            </w:r>
            <w:r>
              <w:rPr>
                <w:rFonts w:hint="eastAsia" w:ascii="宋体" w:hAnsi="宋体" w:eastAsia="宋体" w:cs="宋体"/>
                <w:sz w:val="22"/>
                <w:szCs w:val="22"/>
              </w:rPr>
              <w:t>市</w:t>
            </w:r>
            <w:r>
              <w:rPr>
                <w:rFonts w:hint="eastAsia" w:ascii="宋体" w:hAnsi="宋体" w:eastAsia="宋体" w:cs="宋体"/>
                <w:sz w:val="22"/>
                <w:szCs w:val="22"/>
                <w:lang w:val="en-US" w:eastAsia="zh-CN"/>
              </w:rPr>
              <w:t>公安</w:t>
            </w:r>
            <w:r>
              <w:rPr>
                <w:rFonts w:hint="eastAsia" w:ascii="宋体" w:hAnsi="宋体" w:eastAsia="宋体" w:cs="宋体"/>
                <w:sz w:val="22"/>
                <w:szCs w:val="22"/>
              </w:rPr>
              <w:t>局视频云。当网络或传输故障恢复时，系统应能自动上传未上传或上传错误的信息，且优先上传最新采集的信息。</w:t>
            </w:r>
          </w:p>
          <w:p w14:paraId="5BB938FA">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3.3.28</w:t>
            </w:r>
            <w:r>
              <w:rPr>
                <w:rFonts w:hint="eastAsia" w:ascii="宋体" w:hAnsi="宋体" w:eastAsia="宋体" w:cs="宋体"/>
                <w:b/>
                <w:bCs/>
                <w:sz w:val="22"/>
                <w:szCs w:val="22"/>
              </w:rPr>
              <w:t>运行状态管理</w:t>
            </w:r>
          </w:p>
          <w:p w14:paraId="39089F65">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系统应能支持远程调取设备运行状态信息。</w:t>
            </w:r>
          </w:p>
          <w:p w14:paraId="318189EC">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3.3.29</w:t>
            </w:r>
            <w:r>
              <w:rPr>
                <w:rFonts w:hint="eastAsia" w:ascii="宋体" w:hAnsi="宋体" w:eastAsia="宋体" w:cs="宋体"/>
                <w:b/>
                <w:bCs/>
                <w:sz w:val="22"/>
                <w:szCs w:val="22"/>
              </w:rPr>
              <w:t>数据检索</w:t>
            </w:r>
          </w:p>
          <w:p w14:paraId="0C96E3BE">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系统应具备按车辆信息检索的功能，按不同权限对数据库进行操作，并提供模糊查询、数据备份和数据打印输出功能。</w:t>
            </w:r>
          </w:p>
          <w:p w14:paraId="4D5DD0F0">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3.3.30</w:t>
            </w:r>
            <w:r>
              <w:rPr>
                <w:rFonts w:hint="eastAsia" w:ascii="宋体" w:hAnsi="宋体" w:eastAsia="宋体" w:cs="宋体"/>
                <w:b/>
                <w:bCs/>
                <w:sz w:val="22"/>
                <w:szCs w:val="22"/>
              </w:rPr>
              <w:t>时钟同步与计时误差</w:t>
            </w:r>
          </w:p>
          <w:p w14:paraId="7B5A5C8E">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系统时间应与北京时间同步，24</w:t>
            </w:r>
            <w:r>
              <w:rPr>
                <w:rFonts w:hint="eastAsia" w:ascii="宋体" w:hAnsi="宋体" w:eastAsia="宋体" w:cs="宋体"/>
                <w:sz w:val="22"/>
                <w:szCs w:val="22"/>
                <w:lang w:val="en-US" w:eastAsia="zh-CN"/>
              </w:rPr>
              <w:t>小时</w:t>
            </w:r>
            <w:r>
              <w:rPr>
                <w:rFonts w:hint="eastAsia" w:ascii="宋体" w:hAnsi="宋体" w:eastAsia="宋体" w:cs="宋体"/>
                <w:sz w:val="22"/>
                <w:szCs w:val="22"/>
              </w:rPr>
              <w:t>误差应小于1</w:t>
            </w:r>
            <w:r>
              <w:rPr>
                <w:rFonts w:hint="eastAsia" w:ascii="宋体" w:hAnsi="宋体" w:eastAsia="宋体" w:cs="宋体"/>
                <w:sz w:val="22"/>
                <w:szCs w:val="22"/>
                <w:lang w:val="en-US" w:eastAsia="zh-CN"/>
              </w:rPr>
              <w:t>秒</w:t>
            </w:r>
            <w:r>
              <w:rPr>
                <w:rFonts w:hint="eastAsia" w:ascii="宋体" w:hAnsi="宋体" w:eastAsia="宋体" w:cs="宋体"/>
                <w:sz w:val="22"/>
                <w:szCs w:val="22"/>
              </w:rPr>
              <w:t>。</w:t>
            </w:r>
          </w:p>
          <w:p w14:paraId="2C4E30C6">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3.3.31</w:t>
            </w:r>
            <w:r>
              <w:rPr>
                <w:rFonts w:hint="eastAsia" w:ascii="宋体" w:hAnsi="宋体" w:eastAsia="宋体" w:cs="宋体"/>
                <w:b/>
                <w:bCs/>
                <w:sz w:val="22"/>
                <w:szCs w:val="22"/>
              </w:rPr>
              <w:t>机动车电子标识读取与比对</w:t>
            </w:r>
          </w:p>
          <w:p w14:paraId="040F8488">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对具备机动车电子标识</w:t>
            </w:r>
            <w:r>
              <w:rPr>
                <w:rFonts w:hint="eastAsia" w:ascii="宋体" w:hAnsi="宋体" w:eastAsia="宋体" w:cs="宋体"/>
                <w:b w:val="0"/>
                <w:bCs w:val="0"/>
                <w:sz w:val="22"/>
                <w:szCs w:val="22"/>
              </w:rPr>
              <w:t>读取</w:t>
            </w:r>
            <w:r>
              <w:rPr>
                <w:rFonts w:hint="eastAsia" w:ascii="宋体" w:hAnsi="宋体" w:eastAsia="宋体" w:cs="宋体"/>
                <w:sz w:val="22"/>
                <w:szCs w:val="22"/>
              </w:rPr>
              <w:t>功能的系统，应能自动比对图像中与电子标识中的号牌信息。</w:t>
            </w:r>
          </w:p>
          <w:p w14:paraId="7D9B129D">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3.3.32</w:t>
            </w:r>
            <w:r>
              <w:rPr>
                <w:rFonts w:hint="eastAsia" w:ascii="宋体" w:hAnsi="宋体" w:eastAsia="宋体" w:cs="宋体"/>
                <w:b/>
                <w:bCs/>
                <w:sz w:val="22"/>
                <w:szCs w:val="22"/>
              </w:rPr>
              <w:t>水平分辨率</w:t>
            </w:r>
          </w:p>
          <w:p w14:paraId="4E3157FF">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成像装置水平分辨率如下：</w:t>
            </w:r>
          </w:p>
          <w:p w14:paraId="0D2142B4">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(1)</w:t>
            </w:r>
            <w:r>
              <w:rPr>
                <w:rFonts w:hint="eastAsia" w:ascii="宋体" w:hAnsi="宋体" w:eastAsia="宋体" w:cs="宋体"/>
                <w:sz w:val="22"/>
                <w:szCs w:val="22"/>
              </w:rPr>
              <w:t>水平分辨率大于等于1600且小于2400个像素点，监控范围不超过同向2车道；</w:t>
            </w:r>
          </w:p>
          <w:p w14:paraId="04D4CF9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(2)</w:t>
            </w:r>
            <w:r>
              <w:rPr>
                <w:rFonts w:hint="eastAsia" w:ascii="宋体" w:hAnsi="宋体" w:eastAsia="宋体" w:cs="宋体"/>
                <w:sz w:val="22"/>
                <w:szCs w:val="22"/>
              </w:rPr>
              <w:t>水平分辨率大于等于2400且小于3200个像素点，监控范围不超过同向3车道；</w:t>
            </w:r>
          </w:p>
          <w:p w14:paraId="790F6BE6">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(3)</w:t>
            </w:r>
            <w:r>
              <w:rPr>
                <w:rFonts w:hint="eastAsia" w:ascii="宋体" w:hAnsi="宋体" w:eastAsia="宋体" w:cs="宋体"/>
                <w:sz w:val="22"/>
                <w:szCs w:val="22"/>
              </w:rPr>
              <w:t>水平分辨率大于等于3200且小于4000个像素点，监控范围不超过同向4车道；</w:t>
            </w:r>
          </w:p>
          <w:p w14:paraId="2ECE12F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(4)</w:t>
            </w:r>
            <w:r>
              <w:rPr>
                <w:rFonts w:hint="eastAsia" w:ascii="宋体" w:hAnsi="宋体" w:eastAsia="宋体" w:cs="宋体"/>
                <w:sz w:val="22"/>
                <w:szCs w:val="22"/>
              </w:rPr>
              <w:t>水平分辨率大于等于4000个像素点，监控范围可超过同向4车道。</w:t>
            </w:r>
          </w:p>
          <w:p w14:paraId="3DF68CB9">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3.3.33</w:t>
            </w:r>
            <w:r>
              <w:rPr>
                <w:rFonts w:hint="eastAsia" w:ascii="宋体" w:hAnsi="宋体" w:eastAsia="宋体" w:cs="宋体"/>
                <w:b/>
                <w:bCs/>
                <w:sz w:val="22"/>
                <w:szCs w:val="22"/>
              </w:rPr>
              <w:t>水平扫描线</w:t>
            </w:r>
          </w:p>
          <w:p w14:paraId="2B94EBC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成像装置输出图像的视频中心水平扫描线应不小于800TVL。</w:t>
            </w:r>
          </w:p>
          <w:p w14:paraId="30B1A255">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3.3.34</w:t>
            </w:r>
            <w:r>
              <w:rPr>
                <w:rFonts w:hint="eastAsia" w:ascii="宋体" w:hAnsi="宋体" w:eastAsia="宋体" w:cs="宋体"/>
                <w:b/>
                <w:bCs/>
                <w:sz w:val="22"/>
                <w:szCs w:val="22"/>
              </w:rPr>
              <w:t>车身颜色还原性</w:t>
            </w:r>
          </w:p>
          <w:p w14:paraId="35B010C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成像装置的车身颜色还原性在6500k色温时平均色彩还原误差应不高于15，在其他色温时平均色彩还原误差应不高于20。</w:t>
            </w:r>
          </w:p>
          <w:p w14:paraId="1406A946">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3.3.35</w:t>
            </w:r>
            <w:r>
              <w:rPr>
                <w:rFonts w:hint="eastAsia" w:ascii="宋体" w:hAnsi="宋体" w:eastAsia="宋体" w:cs="宋体"/>
                <w:b/>
                <w:bCs/>
                <w:sz w:val="22"/>
                <w:szCs w:val="22"/>
              </w:rPr>
              <w:t>号牌最低照度</w:t>
            </w:r>
          </w:p>
          <w:p w14:paraId="19223505">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成像装置能分辨车辆号牌的最低照度应不高于0.5lux/F1.2。</w:t>
            </w:r>
          </w:p>
          <w:p w14:paraId="495D0CB3">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3.3.36</w:t>
            </w:r>
            <w:r>
              <w:rPr>
                <w:rFonts w:hint="eastAsia" w:ascii="宋体" w:hAnsi="宋体" w:eastAsia="宋体" w:cs="宋体"/>
                <w:b/>
                <w:bCs/>
                <w:sz w:val="22"/>
                <w:szCs w:val="22"/>
              </w:rPr>
              <w:t>几何失真</w:t>
            </w:r>
          </w:p>
          <w:p w14:paraId="651B7ED3">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成像装置的几何失真应小于等于5%。</w:t>
            </w:r>
          </w:p>
          <w:p w14:paraId="63EAD7FF">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3.3.37</w:t>
            </w:r>
            <w:r>
              <w:rPr>
                <w:rFonts w:hint="eastAsia" w:ascii="宋体" w:hAnsi="宋体" w:eastAsia="宋体" w:cs="宋体"/>
                <w:b/>
                <w:bCs/>
                <w:sz w:val="22"/>
                <w:szCs w:val="22"/>
              </w:rPr>
              <w:t>外部接口</w:t>
            </w:r>
          </w:p>
          <w:p w14:paraId="744D99AE">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成像装置应具备与外部设备连接的接口，包含RJ45接口、RS485/232接口、TTL电平或者IO输出接口，SD卡或者USB接口，其中RJ45网口不少于1个，RS485/232接口不少于1个，TTL电平或者IO输出接口不少于1个，SD卡或者USB接口不少于1个。</w:t>
            </w:r>
          </w:p>
          <w:p w14:paraId="734ECE17">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3.3.38</w:t>
            </w:r>
            <w:r>
              <w:rPr>
                <w:rFonts w:hint="eastAsia" w:ascii="宋体" w:hAnsi="宋体" w:eastAsia="宋体" w:cs="宋体"/>
                <w:b/>
                <w:bCs/>
                <w:sz w:val="22"/>
                <w:szCs w:val="22"/>
              </w:rPr>
              <w:t>自动校时功能</w:t>
            </w:r>
          </w:p>
          <w:p w14:paraId="27330C28">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系统应具有自动校时功能。24小时内系统设备的计时误差应不超过1.0秒。系统能定时自动与系统中心管理平台的时间同步。每天应与系统中心管理平台进行至少一次设备时钟校准，并应具有自动校时失败或异常时报警功能。</w:t>
            </w:r>
          </w:p>
          <w:p w14:paraId="5A74D207">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3.3.39</w:t>
            </w:r>
            <w:r>
              <w:rPr>
                <w:rFonts w:hint="eastAsia" w:ascii="宋体" w:hAnsi="宋体" w:eastAsia="宋体" w:cs="宋体"/>
                <w:b/>
                <w:bCs/>
                <w:sz w:val="22"/>
                <w:szCs w:val="22"/>
              </w:rPr>
              <w:t>数据存储功能</w:t>
            </w:r>
          </w:p>
          <w:p w14:paraId="04FDF8E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系统应能对所记录的交通违法信息、交通流信息、交通事件信息、运行状态信息、日志信息等进行存储，存储时间至少为7天。所存储的信息在保存7天后，自动被新的信息覆盖。</w:t>
            </w:r>
          </w:p>
          <w:p w14:paraId="79819E36">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3.3.40</w:t>
            </w:r>
            <w:r>
              <w:rPr>
                <w:rFonts w:hint="eastAsia" w:ascii="宋体" w:hAnsi="宋体" w:eastAsia="宋体" w:cs="宋体"/>
                <w:b/>
                <w:bCs/>
                <w:sz w:val="22"/>
                <w:szCs w:val="22"/>
              </w:rPr>
              <w:t>设备管理功能</w:t>
            </w:r>
          </w:p>
          <w:p w14:paraId="4E04D7C7">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（1）系统应具有权限管理功能：</w:t>
            </w:r>
          </w:p>
          <w:p w14:paraId="1746C8A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应能够针对不同对象分配不同类型的使用权限。支持分级用户管理和权限细分，支持不同级别用户访问权限限制。</w:t>
            </w:r>
          </w:p>
          <w:p w14:paraId="326D54E0">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（2）系统应具有远程参数设置功能：</w:t>
            </w:r>
          </w:p>
          <w:p w14:paraId="2413E3D7">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可在系统中心管理平台对指定前端设备进行参数远程配置。设置的参数有设备信息、设备参数、传输参数以及网络IP地址等。</w:t>
            </w:r>
          </w:p>
          <w:p w14:paraId="08C0196C">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（3）系统应具有自动检测及报警功能：</w:t>
            </w:r>
          </w:p>
          <w:p w14:paraId="6CC5AA99">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可</w:t>
            </w:r>
            <w:r>
              <w:rPr>
                <w:rFonts w:hint="eastAsia" w:ascii="宋体" w:hAnsi="宋体" w:eastAsia="宋体" w:cs="宋体"/>
                <w:sz w:val="22"/>
                <w:szCs w:val="22"/>
              </w:rPr>
              <w:t>自动监测系统主要设备和运行软件的工作状态。能通过软硬件自动检测系统设备故障并恢复正常工作，能自动侦错报错。具有断电自动重启动</w:t>
            </w:r>
            <w:r>
              <w:rPr>
                <w:rFonts w:hint="eastAsia" w:ascii="宋体" w:hAnsi="宋体" w:eastAsia="宋体" w:cs="宋体"/>
                <w:sz w:val="22"/>
                <w:szCs w:val="22"/>
                <w:lang w:val="en-US" w:eastAsia="zh-CN"/>
              </w:rPr>
              <w:t>功能</w:t>
            </w:r>
            <w:r>
              <w:rPr>
                <w:rFonts w:hint="eastAsia" w:ascii="宋体" w:hAnsi="宋体" w:eastAsia="宋体" w:cs="宋体"/>
                <w:sz w:val="22"/>
                <w:szCs w:val="22"/>
              </w:rPr>
              <w:t>。能自动向系统中心管理平台发送故障信息并报警。检测并上报的运行状况信息至少包括：正常、建设中、维修中、网络不通、远程服务故障、摄像设备故障、检测设备故障、辅助照明设备异常等，且上报检测故障时间应</w:t>
            </w:r>
            <w:r>
              <w:rPr>
                <w:rFonts w:hint="eastAsia" w:ascii="宋体" w:hAnsi="宋体" w:eastAsia="宋体" w:cs="宋体"/>
                <w:sz w:val="22"/>
                <w:szCs w:val="22"/>
                <w:lang w:val="en-US" w:eastAsia="zh-CN"/>
              </w:rPr>
              <w:t>不</w:t>
            </w:r>
            <w:r>
              <w:rPr>
                <w:rFonts w:hint="eastAsia" w:ascii="宋体" w:hAnsi="宋体" w:eastAsia="宋体" w:cs="宋体"/>
                <w:sz w:val="22"/>
                <w:szCs w:val="22"/>
              </w:rPr>
              <w:t>大于60秒。</w:t>
            </w:r>
          </w:p>
          <w:p w14:paraId="3B90A5B9">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（4）系统应具有日志记录功能</w:t>
            </w:r>
          </w:p>
          <w:p w14:paraId="7255F1CA">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可</w:t>
            </w:r>
            <w:r>
              <w:rPr>
                <w:rFonts w:hint="eastAsia" w:ascii="宋体" w:hAnsi="宋体" w:eastAsia="宋体" w:cs="宋体"/>
                <w:sz w:val="22"/>
                <w:szCs w:val="22"/>
              </w:rPr>
              <w:t>自动记录用户操作日志、运行状况日志、网络状态日志等，还能记录因设备或者网络状态改变（重启、或者重新连接）、主要软件发生重启或故障等事件日志。</w:t>
            </w:r>
          </w:p>
          <w:p w14:paraId="71A95C39">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（5）系统应具有远程重启设置功能</w:t>
            </w:r>
          </w:p>
          <w:p w14:paraId="2D887A7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可在监控系统管理平台对指定前端设备进行远程重启设置。</w:t>
            </w:r>
          </w:p>
          <w:p w14:paraId="1BAA4AAD">
            <w:pPr>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（6）前端控制机具有防盗功能</w:t>
            </w:r>
          </w:p>
          <w:p w14:paraId="1DCF12D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应采用防护等级IP66</w:t>
            </w:r>
            <w:r>
              <w:rPr>
                <w:rFonts w:hint="eastAsia" w:ascii="宋体" w:hAnsi="宋体" w:eastAsia="宋体" w:cs="宋体"/>
                <w:sz w:val="22"/>
                <w:szCs w:val="22"/>
                <w:lang w:val="en-US" w:eastAsia="zh-CN"/>
              </w:rPr>
              <w:t>及</w:t>
            </w:r>
            <w:r>
              <w:rPr>
                <w:rFonts w:hint="eastAsia" w:ascii="宋体" w:hAnsi="宋体" w:eastAsia="宋体" w:cs="宋体"/>
                <w:sz w:val="22"/>
                <w:szCs w:val="22"/>
              </w:rPr>
              <w:t>以上</w:t>
            </w:r>
            <w:r>
              <w:rPr>
                <w:rFonts w:hint="eastAsia" w:ascii="宋体" w:hAnsi="宋体" w:eastAsia="宋体" w:cs="宋体"/>
                <w:sz w:val="22"/>
                <w:szCs w:val="22"/>
                <w:lang w:val="en-US" w:eastAsia="zh-CN"/>
              </w:rPr>
              <w:t>的</w:t>
            </w:r>
            <w:r>
              <w:rPr>
                <w:rFonts w:hint="eastAsia" w:ascii="宋体" w:hAnsi="宋体" w:eastAsia="宋体" w:cs="宋体"/>
                <w:sz w:val="22"/>
                <w:szCs w:val="22"/>
              </w:rPr>
              <w:t>特制机箱，能有效防止暴力破坏。机箱应具有防盗报警功能，当机箱受到外力破坏时，前端监控球机</w:t>
            </w:r>
            <w:r>
              <w:rPr>
                <w:rFonts w:hint="eastAsia" w:ascii="宋体" w:hAnsi="宋体" w:eastAsia="宋体" w:cs="宋体"/>
                <w:sz w:val="22"/>
                <w:szCs w:val="22"/>
                <w:lang w:val="en-US" w:eastAsia="zh-CN"/>
              </w:rPr>
              <w:t>可</w:t>
            </w:r>
            <w:r>
              <w:rPr>
                <w:rFonts w:hint="eastAsia" w:ascii="宋体" w:hAnsi="宋体" w:eastAsia="宋体" w:cs="宋体"/>
                <w:sz w:val="22"/>
                <w:szCs w:val="22"/>
              </w:rPr>
              <w:t>进行视频录像。</w:t>
            </w:r>
          </w:p>
          <w:p w14:paraId="10B3195B">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3.3.41</w:t>
            </w:r>
            <w:r>
              <w:rPr>
                <w:rFonts w:hint="eastAsia" w:ascii="宋体" w:hAnsi="宋体" w:eastAsia="宋体" w:cs="宋体"/>
                <w:b/>
                <w:bCs/>
                <w:sz w:val="22"/>
                <w:szCs w:val="22"/>
              </w:rPr>
              <w:t>辅助功能</w:t>
            </w:r>
          </w:p>
          <w:p w14:paraId="79DEB664">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(1)可</w:t>
            </w:r>
            <w:r>
              <w:rPr>
                <w:rFonts w:hint="eastAsia" w:ascii="宋体" w:hAnsi="宋体" w:eastAsia="宋体" w:cs="宋体"/>
                <w:sz w:val="22"/>
                <w:szCs w:val="22"/>
              </w:rPr>
              <w:t>通过网络传输系统连接监控系统管理平台，接入监控系统管理平台的视频监控手动违法抓拍取证子系统，</w:t>
            </w:r>
            <w:r>
              <w:rPr>
                <w:rFonts w:hint="eastAsia" w:ascii="宋体" w:hAnsi="宋体" w:eastAsia="宋体" w:cs="宋体"/>
                <w:sz w:val="22"/>
                <w:szCs w:val="22"/>
                <w:lang w:val="en-US" w:eastAsia="zh-CN"/>
              </w:rPr>
              <w:t>可</w:t>
            </w:r>
            <w:r>
              <w:rPr>
                <w:rFonts w:hint="eastAsia" w:ascii="宋体" w:hAnsi="宋体" w:eastAsia="宋体" w:cs="宋体"/>
                <w:sz w:val="22"/>
                <w:szCs w:val="22"/>
              </w:rPr>
              <w:t>实现视频监控手动违法抓拍取证的辅助功能。</w:t>
            </w:r>
          </w:p>
          <w:p w14:paraId="3C978A0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(2)</w:t>
            </w:r>
            <w:r>
              <w:rPr>
                <w:rFonts w:hint="eastAsia" w:ascii="宋体" w:hAnsi="宋体" w:eastAsia="宋体" w:cs="宋体"/>
                <w:sz w:val="22"/>
                <w:szCs w:val="22"/>
              </w:rPr>
              <w:t>客户端</w:t>
            </w:r>
            <w:r>
              <w:rPr>
                <w:rFonts w:hint="eastAsia" w:ascii="宋体" w:hAnsi="宋体" w:eastAsia="宋体" w:cs="宋体"/>
                <w:sz w:val="22"/>
                <w:szCs w:val="22"/>
                <w:lang w:val="en-US" w:eastAsia="zh-CN"/>
              </w:rPr>
              <w:t>可</w:t>
            </w:r>
            <w:r>
              <w:rPr>
                <w:rFonts w:hint="eastAsia" w:ascii="宋体" w:hAnsi="宋体" w:eastAsia="宋体" w:cs="宋体"/>
                <w:sz w:val="22"/>
                <w:szCs w:val="22"/>
              </w:rPr>
              <w:t>通过操控监控系统管理平台实现远程控制一体化高清高速球型抓拍摄像机对监控区域进行实时视频监控。客户端可以实时浏览监控区域高清视频信息，对监测区域内机动车交通违法行为进行手动抓拍取证。</w:t>
            </w:r>
          </w:p>
          <w:p w14:paraId="242CB301">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3.3.42</w:t>
            </w:r>
            <w:r>
              <w:rPr>
                <w:rFonts w:hint="eastAsia" w:ascii="宋体" w:hAnsi="宋体" w:eastAsia="宋体" w:cs="宋体"/>
                <w:b/>
                <w:bCs/>
                <w:sz w:val="22"/>
                <w:szCs w:val="22"/>
              </w:rPr>
              <w:t>实时视频监控功能</w:t>
            </w:r>
          </w:p>
          <w:p w14:paraId="1CD3AC45">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(1)系统应能对监测区域内的预置点位（根据操作员设定）实现实时视频监控，并自动记录交通视频信息。</w:t>
            </w:r>
          </w:p>
          <w:p w14:paraId="0EC83743">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(2)执行手动抓拍后的高速球型摄像机在无操作15分钟后（根据操作员设定），可自动恢复到预置点位进行实现实时视频监控。</w:t>
            </w:r>
          </w:p>
          <w:p w14:paraId="4D485A5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(3)可实现交通视频信息实时预览、录像、回放等功能。</w:t>
            </w:r>
          </w:p>
          <w:p w14:paraId="6979CCC7">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(4)可实现手动录像、连续录像、定时录像、动态录像、事件录像、联动报警录像等多种录像方式。</w:t>
            </w:r>
          </w:p>
          <w:p w14:paraId="3ED222F8">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(5)可实现逐帧回放，快速播放，慢速播放，常规播放。</w:t>
            </w:r>
          </w:p>
          <w:p w14:paraId="0BB9315B">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(6)支持录像回放抓拍功能：录像回放时发现交通违法行为可进行图片抓拍，导出交通违法信息。</w:t>
            </w:r>
          </w:p>
          <w:p w14:paraId="78242C3F">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(7)视频图像质量要求达到DB11/T384.5：图像质量要求与评价方法所规定“优”等水平。</w:t>
            </w:r>
          </w:p>
          <w:p w14:paraId="325D3236">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(8)视频信号格式与编码按照DB11/T384.2要求采用H.265或MEPG4的图像编码格式。</w:t>
            </w:r>
          </w:p>
          <w:p w14:paraId="52250B8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sz w:val="22"/>
                <w:szCs w:val="22"/>
                <w:lang w:val="en-US" w:eastAsia="zh-CN"/>
              </w:rPr>
              <w:t>(9)视频图像输出分辨率不小于1920×1080，帧率不低于25fps。</w:t>
            </w:r>
          </w:p>
        </w:tc>
        <w:tc>
          <w:tcPr>
            <w:tcW w:w="1208" w:type="dxa"/>
          </w:tcPr>
          <w:p w14:paraId="5833487E">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0D2C466B">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6DBBCA70">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7982EDCC">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1824F98D">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4A9606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0" w:type="dxa"/>
            <w:vAlign w:val="center"/>
          </w:tcPr>
          <w:p w14:paraId="112BBEAD">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val="0"/>
                <w:bCs w:val="0"/>
                <w:color w:val="auto"/>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660" w:type="dxa"/>
          </w:tcPr>
          <w:p w14:paraId="367FD1AB">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094F19D3">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2C20487C">
            <w:pPr>
              <w:pStyle w:val="7"/>
              <w:pageBreakBefore w:val="0"/>
              <w:widowControl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3.4</w:t>
            </w:r>
            <w:r>
              <w:rPr>
                <w:rFonts w:hint="eastAsia" w:ascii="宋体" w:hAnsi="宋体" w:eastAsia="宋体" w:cs="宋体"/>
                <w:b/>
                <w:bCs/>
                <w:sz w:val="22"/>
                <w:szCs w:val="22"/>
              </w:rPr>
              <w:t>现场环境补光要求</w:t>
            </w:r>
          </w:p>
          <w:p w14:paraId="61797710">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3.4.1</w:t>
            </w:r>
            <w:r>
              <w:rPr>
                <w:rFonts w:hint="eastAsia" w:ascii="宋体" w:hAnsi="宋体" w:eastAsia="宋体" w:cs="宋体"/>
                <w:b/>
                <w:bCs/>
                <w:sz w:val="22"/>
                <w:szCs w:val="22"/>
              </w:rPr>
              <w:t>车辆卡口补光设置要求</w:t>
            </w:r>
          </w:p>
          <w:p w14:paraId="30CA779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须符合《GA/T 1202-2022交通技术监控成像补光装置通用技术条件》要求。</w:t>
            </w:r>
          </w:p>
          <w:p w14:paraId="3F9978C1">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 xml:space="preserve">3.4.2 </w:t>
            </w:r>
            <w:r>
              <w:rPr>
                <w:rFonts w:hint="eastAsia" w:ascii="宋体" w:hAnsi="宋体" w:eastAsia="宋体" w:cs="宋体"/>
                <w:b/>
                <w:bCs/>
                <w:sz w:val="22"/>
                <w:szCs w:val="22"/>
              </w:rPr>
              <w:t>LED成像补光频闪暖光灯</w:t>
            </w:r>
          </w:p>
          <w:p w14:paraId="648D7A12">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应</w:t>
            </w:r>
            <w:r>
              <w:rPr>
                <w:rFonts w:hint="eastAsia" w:ascii="宋体" w:hAnsi="宋体" w:eastAsia="宋体" w:cs="宋体"/>
                <w:sz w:val="22"/>
                <w:szCs w:val="22"/>
              </w:rPr>
              <w:t>采用高清摄像设备实现高清晰成像，在夜间或者光线昏暗时（环境照度低于100Lux时）应采用辅助照明设备进行补光，调整监控现场环境的光度，以获取最佳的抓拍环境，</w:t>
            </w:r>
            <w:r>
              <w:rPr>
                <w:rFonts w:hint="eastAsia" w:ascii="宋体" w:hAnsi="宋体" w:eastAsia="宋体" w:cs="宋体"/>
                <w:sz w:val="22"/>
                <w:szCs w:val="22"/>
                <w:lang w:eastAsia="zh-CN"/>
              </w:rPr>
              <w:t>更好地</w:t>
            </w:r>
            <w:r>
              <w:rPr>
                <w:rFonts w:hint="eastAsia" w:ascii="宋体" w:hAnsi="宋体" w:eastAsia="宋体" w:cs="宋体"/>
                <w:sz w:val="22"/>
                <w:szCs w:val="22"/>
              </w:rPr>
              <w:t>拍摄出清晰的车辆全景图像，有效提高车辆图像捕获率和识别准确率。同时还应考虑辅助照明设备的灯光对驾驶员的影响，要求减少不良眩光所引起的刺眼、视觉疲劳与视线干扰等，最大程度将灯光对驾驶员的影响降到最低。</w:t>
            </w:r>
          </w:p>
          <w:p w14:paraId="61C2FEF8">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辅助照明设备的基本要求如下：</w:t>
            </w:r>
          </w:p>
          <w:p w14:paraId="0C18510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在监控的各条车道上同时设置1套辅助照明设备。</w:t>
            </w:r>
          </w:p>
          <w:p w14:paraId="35985559">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辅助照明设备</w:t>
            </w:r>
            <w:r>
              <w:rPr>
                <w:rFonts w:hint="eastAsia" w:ascii="宋体" w:hAnsi="宋体" w:eastAsia="宋体" w:cs="宋体"/>
                <w:sz w:val="22"/>
                <w:szCs w:val="22"/>
                <w:lang w:val="en-US" w:eastAsia="zh-CN"/>
              </w:rPr>
              <w:t>应</w:t>
            </w:r>
            <w:r>
              <w:rPr>
                <w:rFonts w:hint="eastAsia" w:ascii="宋体" w:hAnsi="宋体" w:eastAsia="宋体" w:cs="宋体"/>
                <w:sz w:val="22"/>
                <w:szCs w:val="22"/>
              </w:rPr>
              <w:t>采用LED（智能型）防眩补光照明设备，设备要求：低功耗、色温温暖、高亮度</w:t>
            </w:r>
            <w:r>
              <w:rPr>
                <w:rFonts w:hint="eastAsia" w:ascii="宋体" w:hAnsi="宋体" w:eastAsia="宋体" w:cs="宋体"/>
                <w:sz w:val="22"/>
                <w:szCs w:val="22"/>
                <w:lang w:eastAsia="zh-CN"/>
              </w:rPr>
              <w:t>。</w:t>
            </w:r>
          </w:p>
          <w:p w14:paraId="6EB56E44">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(3)</w:t>
            </w:r>
            <w:r>
              <w:rPr>
                <w:rFonts w:hint="eastAsia" w:ascii="宋体" w:hAnsi="宋体" w:eastAsia="宋体" w:cs="宋体"/>
                <w:sz w:val="22"/>
                <w:szCs w:val="22"/>
              </w:rPr>
              <w:t>辅助照明设备</w:t>
            </w:r>
            <w:r>
              <w:rPr>
                <w:rFonts w:hint="eastAsia" w:ascii="宋体" w:hAnsi="宋体" w:eastAsia="宋体" w:cs="宋体"/>
                <w:sz w:val="22"/>
                <w:szCs w:val="22"/>
                <w:lang w:val="en-US" w:eastAsia="zh-CN"/>
              </w:rPr>
              <w:t>应</w:t>
            </w:r>
            <w:r>
              <w:rPr>
                <w:rFonts w:hint="eastAsia" w:ascii="宋体" w:hAnsi="宋体" w:eastAsia="宋体" w:cs="宋体"/>
                <w:sz w:val="22"/>
                <w:szCs w:val="22"/>
              </w:rPr>
              <w:t>具有自动光感应功能、自动光补偿修正功能</w:t>
            </w:r>
            <w:r>
              <w:rPr>
                <w:rFonts w:hint="eastAsia" w:ascii="宋体" w:hAnsi="宋体" w:eastAsia="宋体" w:cs="宋体"/>
                <w:sz w:val="22"/>
                <w:szCs w:val="22"/>
                <w:lang w:eastAsia="zh-CN"/>
              </w:rPr>
              <w:t>。</w:t>
            </w:r>
          </w:p>
          <w:p w14:paraId="2D08FD0A">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(4)</w:t>
            </w:r>
            <w:r>
              <w:rPr>
                <w:rFonts w:hint="eastAsia" w:ascii="宋体" w:hAnsi="宋体" w:eastAsia="宋体" w:cs="宋体"/>
                <w:sz w:val="22"/>
                <w:szCs w:val="22"/>
              </w:rPr>
              <w:t>辅助照明设备</w:t>
            </w:r>
            <w:r>
              <w:rPr>
                <w:rFonts w:hint="eastAsia" w:ascii="宋体" w:hAnsi="宋体" w:eastAsia="宋体" w:cs="宋体"/>
                <w:sz w:val="22"/>
                <w:szCs w:val="22"/>
                <w:lang w:val="en-US" w:eastAsia="zh-CN"/>
              </w:rPr>
              <w:t>应</w:t>
            </w:r>
            <w:r>
              <w:rPr>
                <w:rFonts w:hint="eastAsia" w:ascii="宋体" w:hAnsi="宋体" w:eastAsia="宋体" w:cs="宋体"/>
                <w:sz w:val="22"/>
                <w:szCs w:val="22"/>
              </w:rPr>
              <w:t>具有防眩目功能</w:t>
            </w:r>
            <w:r>
              <w:rPr>
                <w:rFonts w:hint="eastAsia" w:ascii="宋体" w:hAnsi="宋体" w:eastAsia="宋体" w:cs="宋体"/>
                <w:sz w:val="22"/>
                <w:szCs w:val="22"/>
                <w:lang w:eastAsia="zh-CN"/>
              </w:rPr>
              <w:t>。</w:t>
            </w:r>
          </w:p>
          <w:p w14:paraId="555010C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(5)设备要求</w:t>
            </w:r>
            <w:r>
              <w:rPr>
                <w:rFonts w:hint="eastAsia" w:ascii="宋体" w:hAnsi="宋体" w:eastAsia="宋体" w:cs="宋体"/>
                <w:sz w:val="22"/>
                <w:szCs w:val="22"/>
              </w:rPr>
              <w:t>稳定性高，工作寿命长，光的单向性好，杂光少，节能环保。</w:t>
            </w:r>
          </w:p>
          <w:p w14:paraId="55C3DF2E">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3.4.3</w:t>
            </w:r>
            <w:r>
              <w:rPr>
                <w:rFonts w:hint="eastAsia" w:ascii="宋体" w:hAnsi="宋体" w:eastAsia="宋体" w:cs="宋体"/>
                <w:b/>
                <w:bCs/>
                <w:sz w:val="22"/>
                <w:szCs w:val="22"/>
              </w:rPr>
              <w:t>多功能补光灯</w:t>
            </w:r>
          </w:p>
          <w:p w14:paraId="5D49279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在监控的各条车道上同时设置1套多功能补光灯。</w:t>
            </w:r>
          </w:p>
          <w:p w14:paraId="205AA86B">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辅助照明设备</w:t>
            </w:r>
            <w:r>
              <w:rPr>
                <w:rFonts w:hint="eastAsia" w:ascii="宋体" w:hAnsi="宋体" w:eastAsia="宋体" w:cs="宋体"/>
                <w:sz w:val="22"/>
                <w:szCs w:val="22"/>
                <w:lang w:val="en-US" w:eastAsia="zh-CN"/>
              </w:rPr>
              <w:t>应</w:t>
            </w:r>
            <w:r>
              <w:rPr>
                <w:rFonts w:hint="eastAsia" w:ascii="宋体" w:hAnsi="宋体" w:eastAsia="宋体" w:cs="宋体"/>
                <w:sz w:val="22"/>
                <w:szCs w:val="22"/>
              </w:rPr>
              <w:t>具有防眩目功能；稳定性高，工作寿命长，光的单向性好，杂光少，节能环保。</w:t>
            </w:r>
          </w:p>
          <w:p w14:paraId="4699ABE4">
            <w:pPr>
              <w:pStyle w:val="5"/>
              <w:pageBreakBefore w:val="0"/>
              <w:widowControl w:val="0"/>
              <w:numPr>
                <w:ilvl w:val="2"/>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bookmarkStart w:id="6" w:name="_Toc173501782"/>
            <w:r>
              <w:rPr>
                <w:rFonts w:hint="eastAsia" w:ascii="宋体" w:hAnsi="宋体" w:eastAsia="宋体" w:cs="宋体"/>
                <w:b/>
                <w:bCs/>
                <w:kern w:val="2"/>
                <w:sz w:val="22"/>
                <w:szCs w:val="22"/>
                <w:lang w:val="en-US" w:eastAsia="zh-CN" w:bidi="ar-SA"/>
              </w:rPr>
              <w:t>4.</w:t>
            </w:r>
            <w:r>
              <w:rPr>
                <w:rFonts w:hint="eastAsia" w:ascii="宋体" w:hAnsi="宋体" w:eastAsia="宋体" w:cs="宋体"/>
                <w:sz w:val="22"/>
                <w:szCs w:val="22"/>
              </w:rPr>
              <w:t>视频图像文字标注</w:t>
            </w:r>
            <w:bookmarkEnd w:id="6"/>
          </w:p>
          <w:p w14:paraId="2668C849">
            <w:pPr>
              <w:pStyle w:val="7"/>
              <w:pageBreakBefore w:val="0"/>
              <w:widowControl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4.1</w:t>
            </w:r>
            <w:r>
              <w:rPr>
                <w:rFonts w:hint="eastAsia" w:ascii="宋体" w:hAnsi="宋体" w:eastAsia="宋体" w:cs="宋体"/>
                <w:b/>
                <w:bCs/>
                <w:sz w:val="22"/>
                <w:szCs w:val="22"/>
              </w:rPr>
              <w:t>标注的字符</w:t>
            </w:r>
          </w:p>
          <w:p w14:paraId="1292D77A">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标注时，一般不采用图片镶嵌方式标注，除个别确无法用中文标注的情况外，应采用24×24点阵简体中文汉字（字符集采用GB18030-2000《信息技术信息交换用汉字编码字符集基本集的扩充》）和数字、字母、符号标注。</w:t>
            </w:r>
          </w:p>
          <w:p w14:paraId="4F77DCEE">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汉字要求字体为标准宋体，正方形，无空心、下划线、粗体等修饰，颜色为白色。字符标注要求100%透明，即除了组成字符的点线图案外，字符空白处能正常显示原图像、图片的信息。</w:t>
            </w:r>
          </w:p>
          <w:p w14:paraId="77BC84E1">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sz w:val="22"/>
                <w:szCs w:val="22"/>
              </w:rPr>
              <w:t>标注用汉字标准大小为图像或图片长和宽中较短边的1/15，要求误差不超过文字标准大小的1/20</w:t>
            </w:r>
            <w:r>
              <w:rPr>
                <w:rFonts w:hint="eastAsia" w:ascii="宋体" w:hAnsi="宋体" w:eastAsia="宋体" w:cs="宋体"/>
                <w:sz w:val="22"/>
                <w:szCs w:val="22"/>
                <w:lang w:eastAsia="zh-CN"/>
              </w:rPr>
              <w:t>。</w:t>
            </w:r>
          </w:p>
          <w:p w14:paraId="7D1D1FBC">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小号汉字大小为标准汉字大小的2/3。半角符号高度与汉字一致，宽度为汉字的一半，字间距为0。</w:t>
            </w:r>
          </w:p>
          <w:p w14:paraId="7596D07F">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未特别注明时，标注内容均采用上述标准汉字尺寸。</w:t>
            </w:r>
          </w:p>
          <w:p w14:paraId="3043D687">
            <w:pPr>
              <w:pStyle w:val="7"/>
              <w:pageBreakBefore w:val="0"/>
              <w:widowControl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4.2</w:t>
            </w:r>
            <w:r>
              <w:rPr>
                <w:rFonts w:hint="eastAsia" w:ascii="宋体" w:hAnsi="宋体" w:eastAsia="宋体" w:cs="宋体"/>
                <w:b/>
                <w:bCs/>
                <w:sz w:val="22"/>
                <w:szCs w:val="22"/>
              </w:rPr>
              <w:t>标注的内容</w:t>
            </w:r>
          </w:p>
          <w:p w14:paraId="2BAA451F">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4.2.1</w:t>
            </w:r>
            <w:r>
              <w:rPr>
                <w:rFonts w:hint="eastAsia" w:ascii="宋体" w:hAnsi="宋体" w:eastAsia="宋体" w:cs="宋体"/>
                <w:b/>
                <w:bCs/>
                <w:sz w:val="22"/>
                <w:szCs w:val="22"/>
              </w:rPr>
              <w:t>上传过程的标注内容</w:t>
            </w:r>
          </w:p>
          <w:p w14:paraId="408F235B">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上传过程是指在图像产生地将图像逐级传输到上级机关的过程，该部分信息内容主要包括图像产生的地理位置信息和图像生成设备的技术属性信息及时间信息等。</w:t>
            </w:r>
          </w:p>
          <w:p w14:paraId="5EBD6407">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（1）地点信息</w:t>
            </w:r>
          </w:p>
          <w:p w14:paraId="36E189E0">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用于标识图像产生地的本地信息，即在辖区内的当地称谓。地点信息应不多于16个字符。</w:t>
            </w:r>
          </w:p>
          <w:p w14:paraId="6E44A6F1">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在视频会议系统中，如果辖区内存在多个视频会议室或桌面视频会议终端时，需要标注各会议室或桌面终端的位置。若辖区内只有单一会议室或桌面终端时，不需标注地点信息；会议室内有多个摄像机时，可以不对每个摄像机单独进行标识。</w:t>
            </w:r>
          </w:p>
          <w:p w14:paraId="469C2D2D">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图像产生的地点分为交叉路口</w:t>
            </w:r>
            <w:r>
              <w:rPr>
                <w:rFonts w:hint="eastAsia" w:ascii="宋体" w:hAnsi="宋体" w:eastAsia="宋体" w:cs="宋体"/>
                <w:sz w:val="22"/>
                <w:szCs w:val="22"/>
                <w:lang w:val="en-US" w:eastAsia="zh-CN"/>
              </w:rPr>
              <w:t>和其他</w:t>
            </w:r>
            <w:r>
              <w:rPr>
                <w:rFonts w:hint="eastAsia" w:ascii="宋体" w:hAnsi="宋体" w:eastAsia="宋体" w:cs="宋体"/>
                <w:sz w:val="22"/>
                <w:szCs w:val="22"/>
              </w:rPr>
              <w:t>位置两类。</w:t>
            </w:r>
          </w:p>
          <w:p w14:paraId="4AA464C1">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（2）交叉路口</w:t>
            </w:r>
          </w:p>
          <w:p w14:paraId="23B1CA02">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命名方式采用AAA－BBBn格式，其中AAA为主干道名称，BBB为次干道名称，n为数字表示的该路口的摄像机编号，如果只有1个摄像机，不需要标识n。无法分清主、次干道时，AAA为东西方向道路名，BBB为南北方向道路名。如东西方向路口两边为不同路口时，取路口朝东方向路名，南北方向路口两边为不同路口时，取路口朝南方向路名。多叉路口选取主要两个方向的路名。</w:t>
            </w:r>
          </w:p>
          <w:p w14:paraId="723C1C32">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（3）</w:t>
            </w:r>
            <w:r>
              <w:rPr>
                <w:rFonts w:hint="eastAsia" w:ascii="宋体" w:hAnsi="宋体" w:eastAsia="宋体" w:cs="宋体"/>
                <w:b/>
                <w:bCs/>
                <w:sz w:val="22"/>
                <w:szCs w:val="22"/>
                <w:lang w:val="en-US" w:eastAsia="zh-CN"/>
              </w:rPr>
              <w:t>其他</w:t>
            </w:r>
            <w:r>
              <w:rPr>
                <w:rFonts w:hint="eastAsia" w:ascii="宋体" w:hAnsi="宋体" w:eastAsia="宋体" w:cs="宋体"/>
                <w:b/>
                <w:bCs/>
                <w:sz w:val="22"/>
                <w:szCs w:val="22"/>
              </w:rPr>
              <w:t>位置</w:t>
            </w:r>
          </w:p>
          <w:p w14:paraId="512F7D0C">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命名采用AAA－BBBn方式，其中AAA所在道路名或单位、广场名，BBB为进一步详细描述，n表示该处第n个摄像机,如只有1个，</w:t>
            </w:r>
            <w:r>
              <w:rPr>
                <w:rFonts w:hint="eastAsia" w:ascii="宋体" w:hAnsi="宋体" w:eastAsia="宋体" w:cs="宋体"/>
                <w:sz w:val="22"/>
                <w:szCs w:val="22"/>
                <w:lang w:val="en-US" w:eastAsia="zh-CN"/>
              </w:rPr>
              <w:t>则</w:t>
            </w:r>
            <w:r>
              <w:rPr>
                <w:rFonts w:hint="eastAsia" w:ascii="宋体" w:hAnsi="宋体" w:eastAsia="宋体" w:cs="宋体"/>
                <w:sz w:val="22"/>
                <w:szCs w:val="22"/>
              </w:rPr>
              <w:t>不需要列在命名中。</w:t>
            </w:r>
          </w:p>
          <w:p w14:paraId="2524DE75">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进行地点信息标注时，AAA、BBB长度应不多于6个汉字。</w:t>
            </w:r>
          </w:p>
          <w:p w14:paraId="1C5AB264">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4.2.2</w:t>
            </w:r>
            <w:r>
              <w:rPr>
                <w:rFonts w:hint="eastAsia" w:ascii="宋体" w:hAnsi="宋体" w:eastAsia="宋体" w:cs="宋体"/>
                <w:b/>
                <w:bCs/>
                <w:sz w:val="22"/>
                <w:szCs w:val="22"/>
              </w:rPr>
              <w:t>辖区信息</w:t>
            </w:r>
          </w:p>
          <w:p w14:paraId="07B8ED13">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图像或图片产生地所在辖区，包括省（</w:t>
            </w:r>
            <w:r>
              <w:rPr>
                <w:rFonts w:hint="eastAsia" w:ascii="宋体" w:hAnsi="宋体" w:eastAsia="宋体" w:cs="宋体"/>
                <w:sz w:val="22"/>
                <w:szCs w:val="22"/>
                <w:lang w:eastAsia="zh-CN"/>
              </w:rPr>
              <w:t>自治区、直辖市</w:t>
            </w:r>
            <w:r>
              <w:rPr>
                <w:rFonts w:hint="eastAsia" w:ascii="宋体" w:hAnsi="宋体" w:eastAsia="宋体" w:cs="宋体"/>
                <w:sz w:val="22"/>
                <w:szCs w:val="22"/>
              </w:rPr>
              <w:t>）、市地、县（市、区）、乡（镇、街道）信息等。</w:t>
            </w:r>
          </w:p>
          <w:p w14:paraId="42BFBD48">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对于县及县以上的辖区信息根据GB/T2260全国县及县以上行政区划代码表中命名方法逐级定义。县以下的辖区信息根据行政区划情况自行命名定义。</w:t>
            </w:r>
          </w:p>
          <w:p w14:paraId="3F58898B">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标注文字应不多于5个汉字。在标注时，去掉“省</w:t>
            </w:r>
            <w:r>
              <w:rPr>
                <w:rFonts w:hint="eastAsia" w:ascii="宋体" w:hAnsi="宋体" w:eastAsia="宋体" w:cs="宋体"/>
                <w:sz w:val="22"/>
                <w:szCs w:val="22"/>
                <w:lang w:eastAsia="zh-CN"/>
              </w:rPr>
              <w:t>”“</w:t>
            </w:r>
            <w:r>
              <w:rPr>
                <w:rFonts w:hint="eastAsia" w:ascii="宋体" w:hAnsi="宋体" w:eastAsia="宋体" w:cs="宋体"/>
                <w:sz w:val="22"/>
                <w:szCs w:val="22"/>
              </w:rPr>
              <w:t>县</w:t>
            </w:r>
            <w:r>
              <w:rPr>
                <w:rFonts w:hint="eastAsia" w:ascii="宋体" w:hAnsi="宋体" w:eastAsia="宋体" w:cs="宋体"/>
                <w:sz w:val="22"/>
                <w:szCs w:val="22"/>
                <w:lang w:eastAsia="zh-CN"/>
              </w:rPr>
              <w:t>”“</w:t>
            </w:r>
            <w:r>
              <w:rPr>
                <w:rFonts w:hint="eastAsia" w:ascii="宋体" w:hAnsi="宋体" w:eastAsia="宋体" w:cs="宋体"/>
                <w:sz w:val="22"/>
                <w:szCs w:val="22"/>
              </w:rPr>
              <w:t>市</w:t>
            </w:r>
            <w:r>
              <w:rPr>
                <w:rFonts w:hint="eastAsia" w:ascii="宋体" w:hAnsi="宋体" w:eastAsia="宋体" w:cs="宋体"/>
                <w:sz w:val="22"/>
                <w:szCs w:val="22"/>
                <w:lang w:eastAsia="zh-CN"/>
              </w:rPr>
              <w:t>”“</w:t>
            </w:r>
            <w:r>
              <w:rPr>
                <w:rFonts w:hint="eastAsia" w:ascii="宋体" w:hAnsi="宋体" w:eastAsia="宋体" w:cs="宋体"/>
                <w:sz w:val="22"/>
                <w:szCs w:val="22"/>
              </w:rPr>
              <w:t>区</w:t>
            </w:r>
            <w:r>
              <w:rPr>
                <w:rFonts w:hint="eastAsia" w:ascii="宋体" w:hAnsi="宋体" w:eastAsia="宋体" w:cs="宋体"/>
                <w:sz w:val="22"/>
                <w:szCs w:val="22"/>
                <w:lang w:eastAsia="zh-CN"/>
              </w:rPr>
              <w:t>”“</w:t>
            </w:r>
            <w:r>
              <w:rPr>
                <w:rFonts w:hint="eastAsia" w:ascii="宋体" w:hAnsi="宋体" w:eastAsia="宋体" w:cs="宋体"/>
                <w:sz w:val="22"/>
                <w:szCs w:val="22"/>
              </w:rPr>
              <w:t>X族自治X</w:t>
            </w:r>
            <w:r>
              <w:rPr>
                <w:rFonts w:hint="eastAsia" w:ascii="宋体" w:hAnsi="宋体" w:eastAsia="宋体" w:cs="宋体"/>
                <w:sz w:val="22"/>
                <w:szCs w:val="22"/>
                <w:lang w:eastAsia="zh-CN"/>
              </w:rPr>
              <w:t>”“</w:t>
            </w:r>
            <w:r>
              <w:rPr>
                <w:rFonts w:hint="eastAsia" w:ascii="宋体" w:hAnsi="宋体" w:eastAsia="宋体" w:cs="宋体"/>
                <w:sz w:val="22"/>
                <w:szCs w:val="22"/>
              </w:rPr>
              <w:t>盟</w:t>
            </w:r>
            <w:r>
              <w:rPr>
                <w:rFonts w:hint="eastAsia" w:ascii="宋体" w:hAnsi="宋体" w:eastAsia="宋体" w:cs="宋体"/>
                <w:sz w:val="22"/>
                <w:szCs w:val="22"/>
                <w:lang w:eastAsia="zh-CN"/>
              </w:rPr>
              <w:t>”“</w:t>
            </w:r>
            <w:r>
              <w:rPr>
                <w:rFonts w:hint="eastAsia" w:ascii="宋体" w:hAnsi="宋体" w:eastAsia="宋体" w:cs="宋体"/>
                <w:sz w:val="22"/>
                <w:szCs w:val="22"/>
              </w:rPr>
              <w:t>旗</w:t>
            </w:r>
            <w:r>
              <w:rPr>
                <w:rFonts w:hint="eastAsia" w:ascii="宋体" w:hAnsi="宋体" w:eastAsia="宋体" w:cs="宋体"/>
                <w:sz w:val="22"/>
                <w:szCs w:val="22"/>
                <w:lang w:eastAsia="zh-CN"/>
              </w:rPr>
              <w:t>”“</w:t>
            </w:r>
            <w:r>
              <w:rPr>
                <w:rFonts w:hint="eastAsia" w:ascii="宋体" w:hAnsi="宋体" w:eastAsia="宋体" w:cs="宋体"/>
                <w:sz w:val="22"/>
                <w:szCs w:val="22"/>
              </w:rPr>
              <w:t>图”等。名称由单个汉字和上述文字组成的标注全名</w:t>
            </w:r>
            <w:r>
              <w:rPr>
                <w:rFonts w:hint="eastAsia" w:ascii="宋体" w:hAnsi="宋体" w:eastAsia="宋体" w:cs="宋体"/>
                <w:sz w:val="22"/>
                <w:szCs w:val="22"/>
                <w:lang w:eastAsia="zh-CN"/>
              </w:rPr>
              <w:t>，</w:t>
            </w:r>
            <w:r>
              <w:rPr>
                <w:rFonts w:hint="eastAsia" w:ascii="宋体" w:hAnsi="宋体" w:eastAsia="宋体" w:cs="宋体"/>
                <w:sz w:val="22"/>
                <w:szCs w:val="22"/>
              </w:rPr>
              <w:t>如龙口市、恭城瑶族自治县、滦县应分别标注为龙口、恭城、滦县。</w:t>
            </w:r>
          </w:p>
          <w:p w14:paraId="152691FE">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4.2.3</w:t>
            </w:r>
            <w:r>
              <w:rPr>
                <w:rFonts w:hint="eastAsia" w:ascii="宋体" w:hAnsi="宋体" w:eastAsia="宋体" w:cs="宋体"/>
                <w:b/>
                <w:bCs/>
                <w:sz w:val="22"/>
                <w:szCs w:val="22"/>
              </w:rPr>
              <w:t>时间信息</w:t>
            </w:r>
          </w:p>
          <w:p w14:paraId="048206AB">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图像或图片产生时的准确时间，为北京时间（即GMT+8:00），格式形如“YYYY-MM-DD hh:mm:ss”，其中YYYY为4位数字，表示年；MM为2位数字，表示月；DD为2位数字，表示日；hh为2位数字，以24小时制表示小时；mm为2位数字，表示分钟；ss为2位数字，表示秒。月、日、时、分、秒中数值不足10前置0补齐。如“2007-07-17 15:21:01”。</w:t>
            </w:r>
          </w:p>
          <w:p w14:paraId="42808A0A">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4.2.4</w:t>
            </w:r>
            <w:r>
              <w:rPr>
                <w:rFonts w:hint="eastAsia" w:ascii="宋体" w:hAnsi="宋体" w:eastAsia="宋体" w:cs="宋体"/>
                <w:b/>
                <w:bCs/>
                <w:sz w:val="22"/>
                <w:szCs w:val="22"/>
              </w:rPr>
              <w:t>摄像机信息</w:t>
            </w:r>
          </w:p>
          <w:p w14:paraId="3033ADF3">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根据摄像机是否可控，可以分别标注“动</w:t>
            </w:r>
            <w:r>
              <w:rPr>
                <w:rFonts w:hint="eastAsia" w:ascii="宋体" w:hAnsi="宋体" w:eastAsia="宋体" w:cs="宋体"/>
                <w:sz w:val="22"/>
                <w:szCs w:val="22"/>
                <w:lang w:eastAsia="zh-CN"/>
              </w:rPr>
              <w:t>”“</w:t>
            </w:r>
            <w:r>
              <w:rPr>
                <w:rFonts w:hint="eastAsia" w:ascii="宋体" w:hAnsi="宋体" w:eastAsia="宋体" w:cs="宋体"/>
                <w:sz w:val="22"/>
                <w:szCs w:val="22"/>
              </w:rPr>
              <w:t>固”。</w:t>
            </w:r>
          </w:p>
          <w:p w14:paraId="0476F019">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根据摄像机类型为枪式、球形、</w:t>
            </w:r>
            <w:r>
              <w:rPr>
                <w:rFonts w:hint="eastAsia" w:ascii="宋体" w:hAnsi="宋体" w:eastAsia="宋体" w:cs="宋体"/>
                <w:sz w:val="22"/>
                <w:szCs w:val="22"/>
                <w:lang w:eastAsia="zh-CN"/>
              </w:rPr>
              <w:t>其他</w:t>
            </w:r>
            <w:r>
              <w:rPr>
                <w:rFonts w:hint="eastAsia" w:ascii="宋体" w:hAnsi="宋体" w:eastAsia="宋体" w:cs="宋体"/>
                <w:sz w:val="22"/>
                <w:szCs w:val="22"/>
              </w:rPr>
              <w:t>，可以分别标注“枪</w:t>
            </w:r>
            <w:r>
              <w:rPr>
                <w:rFonts w:hint="eastAsia" w:ascii="宋体" w:hAnsi="宋体" w:eastAsia="宋体" w:cs="宋体"/>
                <w:sz w:val="22"/>
                <w:szCs w:val="22"/>
                <w:lang w:eastAsia="zh-CN"/>
              </w:rPr>
              <w:t>”“</w:t>
            </w:r>
            <w:r>
              <w:rPr>
                <w:rFonts w:hint="eastAsia" w:ascii="宋体" w:hAnsi="宋体" w:eastAsia="宋体" w:cs="宋体"/>
                <w:sz w:val="22"/>
                <w:szCs w:val="22"/>
              </w:rPr>
              <w:t>球</w:t>
            </w:r>
            <w:r>
              <w:rPr>
                <w:rFonts w:hint="eastAsia" w:ascii="宋体" w:hAnsi="宋体" w:eastAsia="宋体" w:cs="宋体"/>
                <w:sz w:val="22"/>
                <w:szCs w:val="22"/>
                <w:lang w:eastAsia="zh-CN"/>
              </w:rPr>
              <w:t>”“</w:t>
            </w:r>
            <w:r>
              <w:rPr>
                <w:rFonts w:hint="eastAsia" w:ascii="宋体" w:hAnsi="宋体" w:eastAsia="宋体" w:cs="宋体"/>
                <w:sz w:val="22"/>
                <w:szCs w:val="22"/>
              </w:rPr>
              <w:t>曲”。</w:t>
            </w:r>
          </w:p>
          <w:p w14:paraId="263AB7C4">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根据摄像机安装位置在室内、室外，可以分别标注“内</w:t>
            </w:r>
            <w:r>
              <w:rPr>
                <w:rFonts w:hint="eastAsia" w:ascii="宋体" w:hAnsi="宋体" w:eastAsia="宋体" w:cs="宋体"/>
                <w:sz w:val="22"/>
                <w:szCs w:val="22"/>
                <w:lang w:eastAsia="zh-CN"/>
              </w:rPr>
              <w:t>”“</w:t>
            </w:r>
            <w:r>
              <w:rPr>
                <w:rFonts w:hint="eastAsia" w:ascii="宋体" w:hAnsi="宋体" w:eastAsia="宋体" w:cs="宋体"/>
                <w:sz w:val="22"/>
                <w:szCs w:val="22"/>
              </w:rPr>
              <w:t>外”。</w:t>
            </w:r>
          </w:p>
          <w:p w14:paraId="12A1FB82">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根据摄像机用途为治安、交通、重点部位，可以分别标注“治</w:t>
            </w:r>
            <w:r>
              <w:rPr>
                <w:rFonts w:hint="eastAsia" w:ascii="宋体" w:hAnsi="宋体" w:eastAsia="宋体" w:cs="宋体"/>
                <w:sz w:val="22"/>
                <w:szCs w:val="22"/>
                <w:lang w:eastAsia="zh-CN"/>
              </w:rPr>
              <w:t>”“</w:t>
            </w:r>
            <w:r>
              <w:rPr>
                <w:rFonts w:hint="eastAsia" w:ascii="宋体" w:hAnsi="宋体" w:eastAsia="宋体" w:cs="宋体"/>
                <w:sz w:val="22"/>
                <w:szCs w:val="22"/>
              </w:rPr>
              <w:t>路</w:t>
            </w:r>
            <w:r>
              <w:rPr>
                <w:rFonts w:hint="eastAsia" w:ascii="宋体" w:hAnsi="宋体" w:eastAsia="宋体" w:cs="宋体"/>
                <w:sz w:val="22"/>
                <w:szCs w:val="22"/>
                <w:lang w:eastAsia="zh-CN"/>
              </w:rPr>
              <w:t>”“</w:t>
            </w:r>
            <w:r>
              <w:rPr>
                <w:rFonts w:hint="eastAsia" w:ascii="宋体" w:hAnsi="宋体" w:eastAsia="宋体" w:cs="宋体"/>
                <w:sz w:val="22"/>
                <w:szCs w:val="22"/>
              </w:rPr>
              <w:t>重”。</w:t>
            </w:r>
          </w:p>
          <w:p w14:paraId="78DB8A0E">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根据监视方位，可以分别标注“东</w:t>
            </w:r>
            <w:r>
              <w:rPr>
                <w:rFonts w:hint="eastAsia" w:ascii="宋体" w:hAnsi="宋体" w:eastAsia="宋体" w:cs="宋体"/>
                <w:sz w:val="22"/>
                <w:szCs w:val="22"/>
                <w:lang w:eastAsia="zh-CN"/>
              </w:rPr>
              <w:t>”“</w:t>
            </w:r>
            <w:r>
              <w:rPr>
                <w:rFonts w:hint="eastAsia" w:ascii="宋体" w:hAnsi="宋体" w:eastAsia="宋体" w:cs="宋体"/>
                <w:sz w:val="22"/>
                <w:szCs w:val="22"/>
              </w:rPr>
              <w:t>南</w:t>
            </w:r>
            <w:r>
              <w:rPr>
                <w:rFonts w:hint="eastAsia" w:ascii="宋体" w:hAnsi="宋体" w:eastAsia="宋体" w:cs="宋体"/>
                <w:sz w:val="22"/>
                <w:szCs w:val="22"/>
                <w:lang w:eastAsia="zh-CN"/>
              </w:rPr>
              <w:t>”“</w:t>
            </w:r>
            <w:r>
              <w:rPr>
                <w:rFonts w:hint="eastAsia" w:ascii="宋体" w:hAnsi="宋体" w:eastAsia="宋体" w:cs="宋体"/>
                <w:sz w:val="22"/>
                <w:szCs w:val="22"/>
              </w:rPr>
              <w:t>西</w:t>
            </w:r>
            <w:r>
              <w:rPr>
                <w:rFonts w:hint="eastAsia" w:ascii="宋体" w:hAnsi="宋体" w:eastAsia="宋体" w:cs="宋体"/>
                <w:sz w:val="22"/>
                <w:szCs w:val="22"/>
                <w:lang w:eastAsia="zh-CN"/>
              </w:rPr>
              <w:t>”“</w:t>
            </w:r>
            <w:r>
              <w:rPr>
                <w:rFonts w:hint="eastAsia" w:ascii="宋体" w:hAnsi="宋体" w:eastAsia="宋体" w:cs="宋体"/>
                <w:sz w:val="22"/>
                <w:szCs w:val="22"/>
              </w:rPr>
              <w:t>北”。</w:t>
            </w:r>
          </w:p>
          <w:p w14:paraId="265D965D">
            <w:pPr>
              <w:pStyle w:val="7"/>
              <w:pageBreakBefore w:val="0"/>
              <w:widowControl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4.3</w:t>
            </w:r>
            <w:r>
              <w:rPr>
                <w:rFonts w:hint="eastAsia" w:ascii="宋体" w:hAnsi="宋体" w:eastAsia="宋体" w:cs="宋体"/>
                <w:b/>
                <w:bCs/>
                <w:sz w:val="22"/>
                <w:szCs w:val="22"/>
              </w:rPr>
              <w:t>标注方法</w:t>
            </w:r>
          </w:p>
          <w:p w14:paraId="5D188217">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4.3.1</w:t>
            </w:r>
            <w:r>
              <w:rPr>
                <w:rFonts w:hint="eastAsia" w:ascii="宋体" w:hAnsi="宋体" w:eastAsia="宋体" w:cs="宋体"/>
                <w:b/>
                <w:bCs/>
                <w:sz w:val="22"/>
                <w:szCs w:val="22"/>
              </w:rPr>
              <w:t>标注区域</w:t>
            </w:r>
          </w:p>
          <w:p w14:paraId="58B65B98">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信息标注区域设置，如下图所示。</w:t>
            </w:r>
          </w:p>
          <w:p w14:paraId="71FB1DA2">
            <w:pPr>
              <w:pStyle w:val="2"/>
              <w:keepNext/>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cs="宋体"/>
                <w:sz w:val="22"/>
                <w:szCs w:val="22"/>
              </w:rPr>
            </w:pPr>
            <w:r>
              <w:rPr>
                <w:rFonts w:hint="eastAsia" w:ascii="宋体" w:hAnsi="宋体" w:eastAsia="宋体" w:cs="宋体"/>
                <w:position w:val="-122"/>
                <w:sz w:val="22"/>
                <w:szCs w:val="22"/>
              </w:rPr>
              <w:drawing>
                <wp:inline distT="0" distB="0" distL="0" distR="0">
                  <wp:extent cx="4151630" cy="3764280"/>
                  <wp:effectExtent l="0" t="0" r="1270" b="7620"/>
                  <wp:docPr id="2" name="IM 8"/>
                  <wp:cNvGraphicFramePr/>
                  <a:graphic xmlns:a="http://schemas.openxmlformats.org/drawingml/2006/main">
                    <a:graphicData uri="http://schemas.openxmlformats.org/drawingml/2006/picture">
                      <pic:pic xmlns:pic="http://schemas.openxmlformats.org/drawingml/2006/picture">
                        <pic:nvPicPr>
                          <pic:cNvPr id="2" name="IM 8"/>
                          <pic:cNvPicPr/>
                        </pic:nvPicPr>
                        <pic:blipFill>
                          <a:blip r:embed="rId7"/>
                          <a:stretch>
                            <a:fillRect/>
                          </a:stretch>
                        </pic:blipFill>
                        <pic:spPr>
                          <a:xfrm>
                            <a:off x="0" y="0"/>
                            <a:ext cx="4151630" cy="3764280"/>
                          </a:xfrm>
                          <a:prstGeom prst="rect">
                            <a:avLst/>
                          </a:prstGeom>
                        </pic:spPr>
                      </pic:pic>
                    </a:graphicData>
                  </a:graphic>
                </wp:inline>
              </w:drawing>
            </w:r>
          </w:p>
          <w:p w14:paraId="5AECFCCD">
            <w:pPr>
              <w:pStyle w:val="10"/>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sz w:val="22"/>
                <w:szCs w:val="22"/>
              </w:rPr>
            </w:pPr>
            <w:r>
              <w:rPr>
                <w:rFonts w:hint="eastAsia" w:ascii="宋体" w:hAnsi="宋体" w:eastAsia="宋体" w:cs="宋体"/>
                <w:sz w:val="22"/>
                <w:szCs w:val="22"/>
              </w:rPr>
              <w:t>图</w:t>
            </w:r>
            <w:r>
              <w:rPr>
                <w:rFonts w:hint="eastAsia" w:ascii="宋体" w:hAnsi="宋体" w:eastAsia="宋体" w:cs="宋体"/>
                <w:sz w:val="22"/>
                <w:szCs w:val="22"/>
                <w:lang w:val="en-US" w:eastAsia="zh-CN"/>
              </w:rPr>
              <w:t xml:space="preserve">3 </w:t>
            </w:r>
            <w:r>
              <w:rPr>
                <w:rFonts w:hint="eastAsia" w:ascii="宋体" w:hAnsi="宋体" w:eastAsia="宋体" w:cs="宋体"/>
                <w:sz w:val="22"/>
                <w:szCs w:val="22"/>
              </w:rPr>
              <w:t>标注区域示意图</w:t>
            </w:r>
          </w:p>
          <w:p w14:paraId="2A71B045">
            <w:pPr>
              <w:pStyle w:val="7"/>
              <w:pageBreakBefore w:val="0"/>
              <w:widowControl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4.4</w:t>
            </w:r>
            <w:r>
              <w:rPr>
                <w:rFonts w:hint="eastAsia" w:ascii="宋体" w:hAnsi="宋体" w:eastAsia="宋体" w:cs="宋体"/>
                <w:b/>
                <w:bCs/>
                <w:sz w:val="22"/>
                <w:szCs w:val="22"/>
              </w:rPr>
              <w:t>上传过程信息的标注方法</w:t>
            </w:r>
          </w:p>
          <w:p w14:paraId="59B25157">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4.4.1</w:t>
            </w:r>
            <w:r>
              <w:rPr>
                <w:rFonts w:hint="eastAsia" w:ascii="宋体" w:hAnsi="宋体" w:eastAsia="宋体" w:cs="宋体"/>
                <w:b/>
                <w:bCs/>
                <w:sz w:val="22"/>
                <w:szCs w:val="22"/>
              </w:rPr>
              <w:t>地点信息标注方法</w:t>
            </w:r>
          </w:p>
          <w:p w14:paraId="6EB48CD5">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地点信息标注在右下角，字符下沿距底边缘为1个汉字，最右边字符距右边缘为1个汉字。基层所队从小区监控中心接入监控图像时，小区监控中心可标注地点信息，也可以根据实际情况由基层所队标注。各级机关直接接入的摄像机，其地点信息由直接接入图像的机关标注。</w:t>
            </w:r>
          </w:p>
          <w:p w14:paraId="1ADC6FD0">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4.4.2</w:t>
            </w:r>
            <w:r>
              <w:rPr>
                <w:rFonts w:hint="eastAsia" w:ascii="宋体" w:hAnsi="宋体" w:eastAsia="宋体" w:cs="宋体"/>
                <w:b/>
                <w:bCs/>
                <w:sz w:val="22"/>
                <w:szCs w:val="22"/>
              </w:rPr>
              <w:t>辖区信息标注方法</w:t>
            </w:r>
          </w:p>
          <w:p w14:paraId="132D86FD">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图像中，辖区信息标注由各级机关共同完成。在地点信息的标注之上，逐级标注。</w:t>
            </w:r>
          </w:p>
          <w:p w14:paraId="5DCC7B18">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各级进行辖区信息标注时，所标的注辖区信息最右边字符应保持与右边缘1个汉字距离，下沿与下级机关标注文字的上沿距离为0.1个标准汉字宽度（派出所标注时，文字下沿与地点信息文字的上沿距离为0.2个标注汉字宽度）。</w:t>
            </w:r>
          </w:p>
          <w:p w14:paraId="795EF879">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本级的辖区信息仅在上传给上级机关的图像上进行标注。</w:t>
            </w:r>
          </w:p>
          <w:p w14:paraId="37CEE594">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4.4.3</w:t>
            </w:r>
            <w:r>
              <w:rPr>
                <w:rFonts w:hint="eastAsia" w:ascii="宋体" w:hAnsi="宋体" w:eastAsia="宋体" w:cs="宋体"/>
                <w:b/>
                <w:bCs/>
                <w:sz w:val="22"/>
                <w:szCs w:val="22"/>
              </w:rPr>
              <w:t>时间信息的标注方法</w:t>
            </w:r>
          </w:p>
          <w:p w14:paraId="02EC48FD">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采用小号字，标注在右上角，与屏上边缘1个汉字距离，字符串尾与右边缘1个汉字距离。</w:t>
            </w:r>
          </w:p>
          <w:p w14:paraId="034B1CBA">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4.4.4</w:t>
            </w:r>
            <w:r>
              <w:rPr>
                <w:rFonts w:hint="eastAsia" w:ascii="宋体" w:hAnsi="宋体" w:eastAsia="宋体" w:cs="宋体"/>
                <w:b/>
                <w:bCs/>
                <w:sz w:val="22"/>
                <w:szCs w:val="22"/>
              </w:rPr>
              <w:t>摄像机信息的标注方法</w:t>
            </w:r>
          </w:p>
          <w:p w14:paraId="5B59698C">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标注在左下角，与左边缘、下边缘均为1个汉字距离，按照摄像机是否可控、类型（枪式、球形、</w:t>
            </w:r>
            <w:r>
              <w:rPr>
                <w:rFonts w:hint="eastAsia" w:ascii="宋体" w:hAnsi="宋体" w:eastAsia="宋体" w:cs="宋体"/>
                <w:sz w:val="22"/>
                <w:szCs w:val="22"/>
                <w:lang w:val="en-US" w:eastAsia="zh-CN"/>
              </w:rPr>
              <w:t>其他</w:t>
            </w:r>
            <w:r>
              <w:rPr>
                <w:rFonts w:hint="eastAsia" w:ascii="宋体" w:hAnsi="宋体" w:eastAsia="宋体" w:cs="宋体"/>
                <w:sz w:val="22"/>
                <w:szCs w:val="22"/>
              </w:rPr>
              <w:t>）、用途的顺序标注，不同类别的附加信息间保持距离以0.5个小字号汉字大小为准。此信息由图像提供单位标注。摄像机信息长度应不多于15个汉字。</w:t>
            </w:r>
          </w:p>
          <w:p w14:paraId="50D012CC">
            <w:pPr>
              <w:pStyle w:val="7"/>
              <w:pageBreakBefore w:val="0"/>
              <w:widowControl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4.5</w:t>
            </w:r>
            <w:r>
              <w:rPr>
                <w:rFonts w:hint="eastAsia" w:ascii="宋体" w:hAnsi="宋体" w:eastAsia="宋体" w:cs="宋体"/>
                <w:b/>
                <w:bCs/>
                <w:sz w:val="22"/>
                <w:szCs w:val="22"/>
              </w:rPr>
              <w:t>标注说明</w:t>
            </w:r>
          </w:p>
          <w:p w14:paraId="489A828C">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按照中山市公安局交通警察支队的交通监控设备标准，可按以下方式进行视频图像文字标注（详情可参照《GA/T 751-2008视频图像文字标注标准》）：</w:t>
            </w:r>
          </w:p>
          <w:p w14:paraId="697ECCC2">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日期时间显示（“年月日”格式，不显示“星期”）</w:t>
            </w:r>
            <w:r>
              <w:rPr>
                <w:rFonts w:hint="eastAsia" w:ascii="宋体" w:hAnsi="宋体" w:eastAsia="宋体" w:cs="宋体"/>
                <w:sz w:val="22"/>
                <w:szCs w:val="22"/>
                <w:lang w:eastAsia="zh-CN"/>
              </w:rPr>
              <w:t>。</w:t>
            </w:r>
          </w:p>
          <w:p w14:paraId="00AB7F4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监控地点所在城市</w:t>
            </w:r>
            <w:r>
              <w:rPr>
                <w:rFonts w:hint="eastAsia" w:ascii="宋体" w:hAnsi="宋体" w:eastAsia="宋体" w:cs="宋体"/>
                <w:sz w:val="22"/>
                <w:szCs w:val="22"/>
                <w:lang w:eastAsia="zh-CN"/>
              </w:rPr>
              <w:t>。</w:t>
            </w:r>
          </w:p>
          <w:p w14:paraId="31A1043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(3)</w:t>
            </w:r>
            <w:r>
              <w:rPr>
                <w:rFonts w:hint="eastAsia" w:ascii="宋体" w:hAnsi="宋体" w:eastAsia="宋体" w:cs="宋体"/>
                <w:sz w:val="22"/>
                <w:szCs w:val="22"/>
              </w:rPr>
              <w:t>监控地点所属辖区</w:t>
            </w:r>
            <w:r>
              <w:rPr>
                <w:rFonts w:hint="eastAsia" w:ascii="宋体" w:hAnsi="宋体" w:eastAsia="宋体" w:cs="宋体"/>
                <w:sz w:val="22"/>
                <w:szCs w:val="22"/>
                <w:lang w:eastAsia="zh-CN"/>
              </w:rPr>
              <w:t>。</w:t>
            </w:r>
          </w:p>
          <w:p w14:paraId="0C813F99">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37" w:leftChars="208" w:firstLine="0" w:firstLineChars="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(4)</w:t>
            </w:r>
            <w:r>
              <w:rPr>
                <w:rFonts w:hint="eastAsia" w:ascii="宋体" w:hAnsi="宋体" w:eastAsia="宋体" w:cs="宋体"/>
                <w:sz w:val="22"/>
                <w:szCs w:val="22"/>
              </w:rPr>
              <w:t>监控地点详细描述（如有明确监控方向，需标注设备坐向）</w:t>
            </w:r>
            <w:r>
              <w:rPr>
                <w:rFonts w:hint="eastAsia" w:ascii="宋体" w:hAnsi="宋体" w:eastAsia="宋体" w:cs="宋体"/>
                <w:sz w:val="22"/>
                <w:szCs w:val="22"/>
                <w:lang w:eastAsia="zh-CN"/>
              </w:rPr>
              <w:t>。</w:t>
            </w:r>
            <w:r>
              <w:rPr>
                <w:rFonts w:hint="eastAsia" w:ascii="宋体" w:hAnsi="宋体" w:eastAsia="宋体" w:cs="宋体"/>
                <w:kern w:val="2"/>
                <w:sz w:val="22"/>
                <w:szCs w:val="22"/>
                <w:lang w:val="en-US" w:eastAsia="zh-CN" w:bidi="ar-SA"/>
              </w:rPr>
              <w:t>(5)</w:t>
            </w:r>
            <w:r>
              <w:rPr>
                <w:rFonts w:hint="eastAsia" w:ascii="宋体" w:hAnsi="宋体" w:eastAsia="宋体" w:cs="宋体"/>
                <w:sz w:val="22"/>
                <w:szCs w:val="22"/>
              </w:rPr>
              <w:t>监控设备类型（固定枪为“固枪外路”，球机为“动球外路”）</w:t>
            </w:r>
            <w:r>
              <w:rPr>
                <w:rFonts w:hint="eastAsia" w:ascii="宋体" w:hAnsi="宋体" w:eastAsia="宋体" w:cs="宋体"/>
                <w:sz w:val="22"/>
                <w:szCs w:val="22"/>
                <w:lang w:eastAsia="zh-CN"/>
              </w:rPr>
              <w:t>。</w:t>
            </w:r>
          </w:p>
          <w:p w14:paraId="0C248844">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注：字符叠加均选择“不透明，不闪烁”模式，如可选择颜色，则统一为白色。</w:t>
            </w:r>
          </w:p>
          <w:p w14:paraId="4D4C5875">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视频专网设有专用对时服务器，</w:t>
            </w:r>
            <w:r>
              <w:rPr>
                <w:rFonts w:hint="eastAsia" w:ascii="宋体" w:hAnsi="宋体" w:eastAsia="宋体" w:cs="宋体"/>
                <w:sz w:val="22"/>
                <w:szCs w:val="22"/>
                <w:lang w:val="en-US" w:eastAsia="zh-CN"/>
              </w:rPr>
              <w:t>根据</w:t>
            </w:r>
            <w:r>
              <w:rPr>
                <w:rFonts w:hint="eastAsia" w:ascii="宋体" w:hAnsi="宋体" w:eastAsia="宋体" w:cs="宋体"/>
                <w:sz w:val="22"/>
                <w:szCs w:val="22"/>
              </w:rPr>
              <w:t>支队提供的服务器地址对相关设备进行统一对时。</w:t>
            </w:r>
          </w:p>
          <w:p w14:paraId="64F67599">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rPr>
            </w:pPr>
            <w:r>
              <w:rPr>
                <w:rFonts w:hint="eastAsia" w:ascii="宋体" w:hAnsi="宋体" w:eastAsia="宋体" w:cs="宋体"/>
                <w:sz w:val="22"/>
                <w:szCs w:val="22"/>
              </w:rPr>
              <w:t>每个监控设备需登记好安装的地理位置（GPS经纬度，即WGS84），并提交交警部门进行备案。</w:t>
            </w:r>
          </w:p>
        </w:tc>
        <w:tc>
          <w:tcPr>
            <w:tcW w:w="1208" w:type="dxa"/>
          </w:tcPr>
          <w:p w14:paraId="0BF1E7E9">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0D7BFC46">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2BE1B36B">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03C92280">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69CE4DD1">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3FE955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0" w:type="dxa"/>
            <w:vAlign w:val="center"/>
          </w:tcPr>
          <w:p w14:paraId="0EE4A6A6">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val="0"/>
                <w:bCs w:val="0"/>
                <w:color w:val="auto"/>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660" w:type="dxa"/>
          </w:tcPr>
          <w:p w14:paraId="2AFB16EF">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15FDDB33">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0A9CAFA4">
            <w:pPr>
              <w:pStyle w:val="5"/>
              <w:pageBreakBefore w:val="0"/>
              <w:numPr>
                <w:ilvl w:val="2"/>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bookmarkStart w:id="7" w:name="_Toc173501783"/>
            <w:r>
              <w:rPr>
                <w:rFonts w:hint="eastAsia" w:ascii="宋体" w:hAnsi="宋体" w:eastAsia="宋体" w:cs="宋体"/>
                <w:b/>
                <w:bCs/>
                <w:kern w:val="2"/>
                <w:sz w:val="22"/>
                <w:szCs w:val="22"/>
                <w:lang w:val="en-US" w:eastAsia="zh-CN" w:bidi="ar-SA"/>
              </w:rPr>
              <w:t>5.</w:t>
            </w:r>
            <w:r>
              <w:rPr>
                <w:rFonts w:hint="eastAsia" w:ascii="宋体" w:hAnsi="宋体" w:eastAsia="宋体" w:cs="宋体"/>
                <w:sz w:val="22"/>
                <w:szCs w:val="22"/>
              </w:rPr>
              <w:t>系统主要性能指标</w:t>
            </w:r>
            <w:bookmarkEnd w:id="7"/>
          </w:p>
          <w:p w14:paraId="140E3A25">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5.1</w:t>
            </w:r>
            <w:r>
              <w:rPr>
                <w:rFonts w:hint="eastAsia" w:ascii="宋体" w:hAnsi="宋体" w:eastAsia="宋体" w:cs="宋体"/>
                <w:b/>
                <w:bCs/>
                <w:sz w:val="22"/>
                <w:szCs w:val="22"/>
              </w:rPr>
              <w:t>闯红灯电子警察抓拍系统</w:t>
            </w:r>
            <w:r>
              <w:rPr>
                <w:rFonts w:hint="eastAsia" w:ascii="宋体" w:hAnsi="宋体" w:eastAsia="宋体" w:cs="宋体"/>
                <w:b/>
                <w:bCs/>
                <w:sz w:val="22"/>
                <w:szCs w:val="22"/>
                <w:lang w:val="en-US" w:eastAsia="zh-CN"/>
              </w:rPr>
              <w:t>技术</w:t>
            </w:r>
            <w:r>
              <w:rPr>
                <w:rFonts w:hint="eastAsia" w:ascii="宋体" w:hAnsi="宋体" w:eastAsia="宋体" w:cs="宋体"/>
                <w:b/>
                <w:bCs/>
                <w:sz w:val="22"/>
                <w:szCs w:val="22"/>
              </w:rPr>
              <w:t>指标要求</w:t>
            </w:r>
          </w:p>
          <w:tbl>
            <w:tblPr>
              <w:tblStyle w:val="18"/>
              <w:tblW w:w="7658" w:type="dxa"/>
              <w:jc w:val="center"/>
              <w:tblLayout w:type="fixed"/>
              <w:tblCellMar>
                <w:top w:w="0" w:type="dxa"/>
                <w:left w:w="108" w:type="dxa"/>
                <w:bottom w:w="0" w:type="dxa"/>
                <w:right w:w="108" w:type="dxa"/>
              </w:tblCellMar>
            </w:tblPr>
            <w:tblGrid>
              <w:gridCol w:w="852"/>
              <w:gridCol w:w="1031"/>
              <w:gridCol w:w="1758"/>
              <w:gridCol w:w="4017"/>
            </w:tblGrid>
            <w:tr w14:paraId="39A6189A">
              <w:tblPrEx>
                <w:tblCellMar>
                  <w:top w:w="0" w:type="dxa"/>
                  <w:left w:w="108" w:type="dxa"/>
                  <w:bottom w:w="0" w:type="dxa"/>
                  <w:right w:w="108" w:type="dxa"/>
                </w:tblCellMar>
              </w:tblPrEx>
              <w:trPr>
                <w:trHeight w:val="590" w:hRule="atLeast"/>
                <w:tblHeader/>
                <w:jc w:val="center"/>
              </w:trPr>
              <w:tc>
                <w:tcPr>
                  <w:tcW w:w="852" w:type="dxa"/>
                  <w:tcBorders>
                    <w:top w:val="single" w:color="auto" w:sz="4" w:space="0"/>
                    <w:left w:val="single" w:color="auto" w:sz="4" w:space="0"/>
                    <w:bottom w:val="single" w:color="auto" w:sz="4" w:space="0"/>
                    <w:right w:val="single" w:color="auto" w:sz="4" w:space="0"/>
                  </w:tcBorders>
                  <w:shd w:val="clear" w:color="000000" w:fill="BEBEBE"/>
                  <w:vAlign w:val="center"/>
                </w:tcPr>
                <w:p w14:paraId="41FA8E1F">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序号</w:t>
                  </w:r>
                </w:p>
              </w:tc>
              <w:tc>
                <w:tcPr>
                  <w:tcW w:w="2789" w:type="dxa"/>
                  <w:gridSpan w:val="2"/>
                  <w:tcBorders>
                    <w:top w:val="single" w:color="auto" w:sz="4" w:space="0"/>
                    <w:left w:val="nil"/>
                    <w:bottom w:val="single" w:color="auto" w:sz="4" w:space="0"/>
                    <w:right w:val="single" w:color="auto" w:sz="4" w:space="0"/>
                  </w:tcBorders>
                  <w:shd w:val="clear" w:color="000000" w:fill="BEBEBE"/>
                  <w:vAlign w:val="center"/>
                </w:tcPr>
                <w:p w14:paraId="634D2CEA">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指标项</w:t>
                  </w:r>
                </w:p>
              </w:tc>
              <w:tc>
                <w:tcPr>
                  <w:tcW w:w="4017" w:type="dxa"/>
                  <w:tcBorders>
                    <w:top w:val="single" w:color="auto" w:sz="4" w:space="0"/>
                    <w:left w:val="nil"/>
                    <w:bottom w:val="single" w:color="auto" w:sz="4" w:space="0"/>
                    <w:right w:val="single" w:color="auto" w:sz="4" w:space="0"/>
                  </w:tcBorders>
                  <w:shd w:val="clear" w:color="000000" w:fill="BEBEBE"/>
                  <w:vAlign w:val="center"/>
                </w:tcPr>
                <w:p w14:paraId="3CA78E2E">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参数及要求</w:t>
                  </w:r>
                </w:p>
              </w:tc>
            </w:tr>
            <w:tr w14:paraId="17073FA4">
              <w:tblPrEx>
                <w:tblCellMar>
                  <w:top w:w="0" w:type="dxa"/>
                  <w:left w:w="108" w:type="dxa"/>
                  <w:bottom w:w="0" w:type="dxa"/>
                  <w:right w:w="108" w:type="dxa"/>
                </w:tblCellMar>
              </w:tblPrEx>
              <w:trPr>
                <w:trHeight w:val="368" w:hRule="atLeast"/>
                <w:jc w:val="center"/>
              </w:trPr>
              <w:tc>
                <w:tcPr>
                  <w:tcW w:w="852" w:type="dxa"/>
                  <w:vMerge w:val="restart"/>
                  <w:tcBorders>
                    <w:top w:val="nil"/>
                    <w:left w:val="single" w:color="auto" w:sz="4" w:space="0"/>
                    <w:bottom w:val="single" w:color="auto" w:sz="4" w:space="0"/>
                    <w:right w:val="single" w:color="auto" w:sz="4" w:space="0"/>
                  </w:tcBorders>
                  <w:shd w:val="clear" w:color="auto" w:fill="auto"/>
                  <w:vAlign w:val="center"/>
                </w:tcPr>
                <w:p w14:paraId="2B2D6320">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031" w:type="dxa"/>
                  <w:vMerge w:val="restart"/>
                  <w:tcBorders>
                    <w:top w:val="nil"/>
                    <w:left w:val="single" w:color="auto" w:sz="4" w:space="0"/>
                    <w:bottom w:val="single" w:color="auto" w:sz="4" w:space="0"/>
                    <w:right w:val="single" w:color="auto" w:sz="4" w:space="0"/>
                  </w:tcBorders>
                  <w:shd w:val="clear" w:color="auto" w:fill="auto"/>
                  <w:vAlign w:val="center"/>
                </w:tcPr>
                <w:p w14:paraId="172CAE9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检测要求</w:t>
                  </w:r>
                </w:p>
              </w:tc>
              <w:tc>
                <w:tcPr>
                  <w:tcW w:w="1758" w:type="dxa"/>
                  <w:tcBorders>
                    <w:top w:val="nil"/>
                    <w:left w:val="nil"/>
                    <w:bottom w:val="single" w:color="auto" w:sz="4" w:space="0"/>
                    <w:right w:val="single" w:color="auto" w:sz="4" w:space="0"/>
                  </w:tcBorders>
                  <w:shd w:val="clear" w:color="auto" w:fill="auto"/>
                  <w:vAlign w:val="center"/>
                </w:tcPr>
                <w:p w14:paraId="525D3C1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车辆检测方式</w:t>
                  </w:r>
                </w:p>
              </w:tc>
              <w:tc>
                <w:tcPr>
                  <w:tcW w:w="4017" w:type="dxa"/>
                  <w:tcBorders>
                    <w:top w:val="nil"/>
                    <w:left w:val="nil"/>
                    <w:bottom w:val="single" w:color="auto" w:sz="4" w:space="0"/>
                    <w:right w:val="single" w:color="auto" w:sz="4" w:space="0"/>
                  </w:tcBorders>
                  <w:shd w:val="clear" w:color="auto" w:fill="auto"/>
                  <w:vAlign w:val="center"/>
                </w:tcPr>
                <w:p w14:paraId="6AE9C7C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高清视频检测</w:t>
                  </w:r>
                </w:p>
              </w:tc>
            </w:tr>
            <w:tr w14:paraId="09BE1652">
              <w:tblPrEx>
                <w:tblCellMar>
                  <w:top w:w="0" w:type="dxa"/>
                  <w:left w:w="108" w:type="dxa"/>
                  <w:bottom w:w="0" w:type="dxa"/>
                  <w:right w:w="108" w:type="dxa"/>
                </w:tblCellMar>
              </w:tblPrEx>
              <w:trPr>
                <w:trHeight w:val="368" w:hRule="atLeast"/>
                <w:jc w:val="center"/>
              </w:trPr>
              <w:tc>
                <w:tcPr>
                  <w:tcW w:w="852" w:type="dxa"/>
                  <w:vMerge w:val="continue"/>
                  <w:tcBorders>
                    <w:top w:val="nil"/>
                    <w:left w:val="single" w:color="auto" w:sz="4" w:space="0"/>
                    <w:bottom w:val="single" w:color="auto" w:sz="4" w:space="0"/>
                    <w:right w:val="single" w:color="auto" w:sz="4" w:space="0"/>
                  </w:tcBorders>
                  <w:vAlign w:val="center"/>
                </w:tcPr>
                <w:p w14:paraId="27D29C1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auto" w:sz="4" w:space="0"/>
                    <w:right w:val="single" w:color="auto" w:sz="4" w:space="0"/>
                  </w:tcBorders>
                  <w:vAlign w:val="center"/>
                </w:tcPr>
                <w:p w14:paraId="199B92D0">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72A23E1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车辆图像捕获率</w:t>
                  </w:r>
                </w:p>
              </w:tc>
              <w:tc>
                <w:tcPr>
                  <w:tcW w:w="4017" w:type="dxa"/>
                  <w:tcBorders>
                    <w:top w:val="nil"/>
                    <w:left w:val="nil"/>
                    <w:bottom w:val="single" w:color="auto" w:sz="4" w:space="0"/>
                    <w:right w:val="single" w:color="auto" w:sz="4" w:space="0"/>
                  </w:tcBorders>
                  <w:shd w:val="clear" w:color="auto" w:fill="auto"/>
                  <w:vAlign w:val="center"/>
                </w:tcPr>
                <w:p w14:paraId="425BEFA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≥99%</w:t>
                  </w:r>
                </w:p>
              </w:tc>
            </w:tr>
            <w:tr w14:paraId="3CCE8DF9">
              <w:tblPrEx>
                <w:tblCellMar>
                  <w:top w:w="0" w:type="dxa"/>
                  <w:left w:w="108" w:type="dxa"/>
                  <w:bottom w:w="0" w:type="dxa"/>
                  <w:right w:w="108" w:type="dxa"/>
                </w:tblCellMar>
              </w:tblPrEx>
              <w:trPr>
                <w:trHeight w:val="368" w:hRule="atLeast"/>
                <w:jc w:val="center"/>
              </w:trPr>
              <w:tc>
                <w:tcPr>
                  <w:tcW w:w="852" w:type="dxa"/>
                  <w:vMerge w:val="restart"/>
                  <w:tcBorders>
                    <w:top w:val="nil"/>
                    <w:left w:val="single" w:color="auto" w:sz="4" w:space="0"/>
                    <w:bottom w:val="single" w:color="auto" w:sz="4" w:space="0"/>
                    <w:right w:val="single" w:color="auto" w:sz="4" w:space="0"/>
                  </w:tcBorders>
                  <w:shd w:val="clear" w:color="auto" w:fill="auto"/>
                  <w:vAlign w:val="center"/>
                </w:tcPr>
                <w:p w14:paraId="2D6A4EA5">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1031" w:type="dxa"/>
                  <w:vMerge w:val="restart"/>
                  <w:tcBorders>
                    <w:top w:val="nil"/>
                    <w:left w:val="single" w:color="auto" w:sz="4" w:space="0"/>
                    <w:bottom w:val="single" w:color="000000" w:sz="4" w:space="0"/>
                    <w:right w:val="single" w:color="auto" w:sz="4" w:space="0"/>
                  </w:tcBorders>
                  <w:shd w:val="clear" w:color="auto" w:fill="auto"/>
                  <w:vAlign w:val="center"/>
                </w:tcPr>
                <w:p w14:paraId="7F2E106A">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机动车号</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牌自动识</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别</w:t>
                  </w:r>
                </w:p>
              </w:tc>
              <w:tc>
                <w:tcPr>
                  <w:tcW w:w="1758" w:type="dxa"/>
                  <w:tcBorders>
                    <w:top w:val="nil"/>
                    <w:left w:val="nil"/>
                    <w:bottom w:val="single" w:color="auto" w:sz="4" w:space="0"/>
                    <w:right w:val="single" w:color="auto" w:sz="4" w:space="0"/>
                  </w:tcBorders>
                  <w:shd w:val="clear" w:color="auto" w:fill="auto"/>
                  <w:vAlign w:val="center"/>
                </w:tcPr>
                <w:p w14:paraId="7F02BBB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可识别的号牌结构</w:t>
                  </w:r>
                </w:p>
              </w:tc>
              <w:tc>
                <w:tcPr>
                  <w:tcW w:w="4017" w:type="dxa"/>
                  <w:tcBorders>
                    <w:top w:val="nil"/>
                    <w:left w:val="nil"/>
                    <w:bottom w:val="single" w:color="auto" w:sz="4" w:space="0"/>
                    <w:right w:val="single" w:color="auto" w:sz="4" w:space="0"/>
                  </w:tcBorders>
                  <w:shd w:val="clear" w:color="auto" w:fill="auto"/>
                  <w:vAlign w:val="center"/>
                </w:tcPr>
                <w:p w14:paraId="60A43437">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应符合GA/T 833</w:t>
                  </w:r>
                </w:p>
              </w:tc>
            </w:tr>
            <w:tr w14:paraId="1A648B9B">
              <w:tblPrEx>
                <w:tblCellMar>
                  <w:top w:w="0" w:type="dxa"/>
                  <w:left w:w="108" w:type="dxa"/>
                  <w:bottom w:w="0" w:type="dxa"/>
                  <w:right w:w="108" w:type="dxa"/>
                </w:tblCellMar>
              </w:tblPrEx>
              <w:trPr>
                <w:trHeight w:val="368" w:hRule="atLeast"/>
                <w:jc w:val="center"/>
              </w:trPr>
              <w:tc>
                <w:tcPr>
                  <w:tcW w:w="852" w:type="dxa"/>
                  <w:vMerge w:val="continue"/>
                  <w:tcBorders>
                    <w:top w:val="nil"/>
                    <w:left w:val="single" w:color="auto" w:sz="4" w:space="0"/>
                    <w:bottom w:val="single" w:color="auto" w:sz="4" w:space="0"/>
                    <w:right w:val="single" w:color="auto" w:sz="4" w:space="0"/>
                  </w:tcBorders>
                  <w:vAlign w:val="center"/>
                </w:tcPr>
                <w:p w14:paraId="3A7257B9">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1F782245">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676E124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可识别的号牌字符</w:t>
                  </w:r>
                </w:p>
              </w:tc>
              <w:tc>
                <w:tcPr>
                  <w:tcW w:w="4017" w:type="dxa"/>
                  <w:tcBorders>
                    <w:top w:val="nil"/>
                    <w:left w:val="nil"/>
                    <w:bottom w:val="single" w:color="auto" w:sz="4" w:space="0"/>
                    <w:right w:val="single" w:color="auto" w:sz="4" w:space="0"/>
                  </w:tcBorders>
                  <w:shd w:val="clear" w:color="auto" w:fill="auto"/>
                  <w:vAlign w:val="center"/>
                </w:tcPr>
                <w:p w14:paraId="57764B8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应符合GA/T 833</w:t>
                  </w:r>
                </w:p>
              </w:tc>
            </w:tr>
            <w:tr w14:paraId="3920C01E">
              <w:tblPrEx>
                <w:tblCellMar>
                  <w:top w:w="0" w:type="dxa"/>
                  <w:left w:w="108" w:type="dxa"/>
                  <w:bottom w:w="0" w:type="dxa"/>
                  <w:right w:w="108" w:type="dxa"/>
                </w:tblCellMar>
              </w:tblPrEx>
              <w:trPr>
                <w:trHeight w:val="368" w:hRule="atLeast"/>
                <w:jc w:val="center"/>
              </w:trPr>
              <w:tc>
                <w:tcPr>
                  <w:tcW w:w="852" w:type="dxa"/>
                  <w:vMerge w:val="continue"/>
                  <w:tcBorders>
                    <w:top w:val="nil"/>
                    <w:left w:val="single" w:color="auto" w:sz="4" w:space="0"/>
                    <w:bottom w:val="single" w:color="auto" w:sz="4" w:space="0"/>
                    <w:right w:val="single" w:color="auto" w:sz="4" w:space="0"/>
                  </w:tcBorders>
                  <w:vAlign w:val="center"/>
                </w:tcPr>
                <w:p w14:paraId="6D420249">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18FA1F6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5577F50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可识别的号牌颜色</w:t>
                  </w:r>
                </w:p>
              </w:tc>
              <w:tc>
                <w:tcPr>
                  <w:tcW w:w="4017" w:type="dxa"/>
                  <w:tcBorders>
                    <w:top w:val="nil"/>
                    <w:left w:val="nil"/>
                    <w:bottom w:val="single" w:color="auto" w:sz="4" w:space="0"/>
                    <w:right w:val="single" w:color="auto" w:sz="4" w:space="0"/>
                  </w:tcBorders>
                  <w:shd w:val="clear" w:color="auto" w:fill="auto"/>
                  <w:vAlign w:val="center"/>
                </w:tcPr>
                <w:p w14:paraId="5C76187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应符合GA/T 833</w:t>
                  </w:r>
                </w:p>
              </w:tc>
            </w:tr>
            <w:tr w14:paraId="3F05775E">
              <w:tblPrEx>
                <w:tblCellMar>
                  <w:top w:w="0" w:type="dxa"/>
                  <w:left w:w="108" w:type="dxa"/>
                  <w:bottom w:w="0" w:type="dxa"/>
                  <w:right w:w="108" w:type="dxa"/>
                </w:tblCellMar>
              </w:tblPrEx>
              <w:trPr>
                <w:trHeight w:val="368" w:hRule="atLeast"/>
                <w:jc w:val="center"/>
              </w:trPr>
              <w:tc>
                <w:tcPr>
                  <w:tcW w:w="852" w:type="dxa"/>
                  <w:vMerge w:val="continue"/>
                  <w:tcBorders>
                    <w:top w:val="nil"/>
                    <w:left w:val="single" w:color="auto" w:sz="4" w:space="0"/>
                    <w:bottom w:val="single" w:color="auto" w:sz="4" w:space="0"/>
                    <w:right w:val="single" w:color="auto" w:sz="4" w:space="0"/>
                  </w:tcBorders>
                  <w:vAlign w:val="center"/>
                </w:tcPr>
                <w:p w14:paraId="0634E73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73730FB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18251B59">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号牌识别时间</w:t>
                  </w:r>
                </w:p>
              </w:tc>
              <w:tc>
                <w:tcPr>
                  <w:tcW w:w="4017" w:type="dxa"/>
                  <w:tcBorders>
                    <w:top w:val="nil"/>
                    <w:left w:val="nil"/>
                    <w:bottom w:val="single" w:color="auto" w:sz="4" w:space="0"/>
                    <w:right w:val="single" w:color="auto" w:sz="4" w:space="0"/>
                  </w:tcBorders>
                  <w:shd w:val="clear" w:color="auto" w:fill="auto"/>
                  <w:vAlign w:val="center"/>
                </w:tcPr>
                <w:p w14:paraId="6A6CA877">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≤0.04秒</w:t>
                  </w:r>
                </w:p>
              </w:tc>
            </w:tr>
            <w:tr w14:paraId="0524E640">
              <w:tblPrEx>
                <w:tblCellMar>
                  <w:top w:w="0" w:type="dxa"/>
                  <w:left w:w="108" w:type="dxa"/>
                  <w:bottom w:w="0" w:type="dxa"/>
                  <w:right w:w="108" w:type="dxa"/>
                </w:tblCellMar>
              </w:tblPrEx>
              <w:trPr>
                <w:trHeight w:val="727" w:hRule="atLeast"/>
                <w:jc w:val="center"/>
              </w:trPr>
              <w:tc>
                <w:tcPr>
                  <w:tcW w:w="852" w:type="dxa"/>
                  <w:vMerge w:val="continue"/>
                  <w:tcBorders>
                    <w:top w:val="nil"/>
                    <w:left w:val="single" w:color="auto" w:sz="4" w:space="0"/>
                    <w:bottom w:val="single" w:color="auto" w:sz="4" w:space="0"/>
                    <w:right w:val="single" w:color="auto" w:sz="4" w:space="0"/>
                  </w:tcBorders>
                  <w:vAlign w:val="center"/>
                </w:tcPr>
                <w:p w14:paraId="4060CEB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24C8927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5944DE1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号牌识别准确率</w:t>
                  </w:r>
                </w:p>
              </w:tc>
              <w:tc>
                <w:tcPr>
                  <w:tcW w:w="4017" w:type="dxa"/>
                  <w:tcBorders>
                    <w:top w:val="nil"/>
                    <w:left w:val="nil"/>
                    <w:bottom w:val="single" w:color="auto" w:sz="4" w:space="0"/>
                    <w:right w:val="single" w:color="auto" w:sz="4" w:space="0"/>
                  </w:tcBorders>
                  <w:shd w:val="clear" w:color="auto" w:fill="auto"/>
                  <w:vAlign w:val="center"/>
                </w:tcPr>
                <w:p w14:paraId="6B45906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白天车辆号牌识别准确率≥95%；夜间车辆号牌识别准确率≥92%</w:t>
                  </w:r>
                  <w:r>
                    <w:rPr>
                      <w:rFonts w:hint="eastAsia" w:ascii="宋体" w:hAnsi="宋体" w:eastAsia="宋体" w:cs="宋体"/>
                      <w:color w:val="000000"/>
                      <w:kern w:val="0"/>
                      <w:sz w:val="22"/>
                      <w:szCs w:val="22"/>
                      <w:lang w:eastAsia="zh-CN"/>
                    </w:rPr>
                    <w:t>。</w:t>
                  </w:r>
                </w:p>
              </w:tc>
            </w:tr>
            <w:tr w14:paraId="1E3C3064">
              <w:tblPrEx>
                <w:tblCellMar>
                  <w:top w:w="0" w:type="dxa"/>
                  <w:left w:w="108" w:type="dxa"/>
                  <w:bottom w:w="0" w:type="dxa"/>
                  <w:right w:w="108" w:type="dxa"/>
                </w:tblCellMar>
              </w:tblPrEx>
              <w:trPr>
                <w:trHeight w:val="727" w:hRule="atLeast"/>
                <w:jc w:val="center"/>
              </w:trPr>
              <w:tc>
                <w:tcPr>
                  <w:tcW w:w="852" w:type="dxa"/>
                  <w:vMerge w:val="restart"/>
                  <w:tcBorders>
                    <w:top w:val="nil"/>
                    <w:left w:val="single" w:color="auto" w:sz="4" w:space="0"/>
                    <w:bottom w:val="single" w:color="000000" w:sz="4" w:space="0"/>
                    <w:right w:val="single" w:color="auto" w:sz="4" w:space="0"/>
                  </w:tcBorders>
                  <w:shd w:val="clear" w:color="auto" w:fill="auto"/>
                  <w:vAlign w:val="center"/>
                </w:tcPr>
                <w:p w14:paraId="519FB479">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1031" w:type="dxa"/>
                  <w:vMerge w:val="restart"/>
                  <w:tcBorders>
                    <w:top w:val="nil"/>
                    <w:left w:val="single" w:color="auto" w:sz="4" w:space="0"/>
                    <w:bottom w:val="single" w:color="000000" w:sz="4" w:space="0"/>
                    <w:right w:val="single" w:color="auto" w:sz="4" w:space="0"/>
                  </w:tcBorders>
                  <w:shd w:val="clear" w:color="auto" w:fill="auto"/>
                  <w:vAlign w:val="center"/>
                </w:tcPr>
                <w:p w14:paraId="536AB53B">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交通违法行为记录</w:t>
                  </w:r>
                </w:p>
              </w:tc>
              <w:tc>
                <w:tcPr>
                  <w:tcW w:w="1758" w:type="dxa"/>
                  <w:tcBorders>
                    <w:top w:val="nil"/>
                    <w:left w:val="nil"/>
                    <w:bottom w:val="single" w:color="auto" w:sz="4" w:space="0"/>
                    <w:right w:val="single" w:color="auto" w:sz="4" w:space="0"/>
                  </w:tcBorders>
                  <w:shd w:val="clear" w:color="auto" w:fill="auto"/>
                  <w:vAlign w:val="center"/>
                </w:tcPr>
                <w:p w14:paraId="177346B9">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闯红灯行为记录</w:t>
                  </w:r>
                </w:p>
              </w:tc>
              <w:tc>
                <w:tcPr>
                  <w:tcW w:w="4017" w:type="dxa"/>
                  <w:tcBorders>
                    <w:top w:val="nil"/>
                    <w:left w:val="nil"/>
                    <w:bottom w:val="single" w:color="auto" w:sz="4" w:space="0"/>
                    <w:right w:val="single" w:color="auto" w:sz="4" w:space="0"/>
                  </w:tcBorders>
                  <w:shd w:val="clear" w:color="auto" w:fill="auto"/>
                  <w:vAlign w:val="center"/>
                </w:tcPr>
                <w:p w14:paraId="17CFC80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应记录车辆违法过程中至少3张车辆后部全景图像，</w:t>
                  </w:r>
                  <w:r>
                    <w:rPr>
                      <w:rFonts w:hint="eastAsia" w:ascii="宋体" w:hAnsi="宋体" w:eastAsia="宋体" w:cs="宋体"/>
                      <w:sz w:val="22"/>
                      <w:szCs w:val="22"/>
                    </w:rPr>
                    <w:t>图片应符合GA/T 832的要求</w:t>
                  </w:r>
                  <w:r>
                    <w:rPr>
                      <w:rFonts w:hint="eastAsia" w:ascii="宋体" w:hAnsi="宋体" w:eastAsia="宋体" w:cs="宋体"/>
                      <w:sz w:val="22"/>
                      <w:szCs w:val="22"/>
                      <w:lang w:eastAsia="zh-CN"/>
                    </w:rPr>
                    <w:t>，</w:t>
                  </w:r>
                  <w:r>
                    <w:rPr>
                      <w:rFonts w:hint="eastAsia" w:ascii="宋体" w:hAnsi="宋体" w:eastAsia="宋体" w:cs="宋体"/>
                      <w:color w:val="000000"/>
                      <w:kern w:val="0"/>
                      <w:sz w:val="22"/>
                      <w:szCs w:val="22"/>
                    </w:rPr>
                    <w:t>捕获率应不小于90%，记录有效率应不小于80%</w:t>
                  </w:r>
                  <w:r>
                    <w:rPr>
                      <w:rFonts w:hint="eastAsia" w:ascii="宋体" w:hAnsi="宋体" w:eastAsia="宋体" w:cs="宋体"/>
                      <w:color w:val="000000"/>
                      <w:kern w:val="0"/>
                      <w:sz w:val="22"/>
                      <w:szCs w:val="22"/>
                      <w:lang w:eastAsia="zh-CN"/>
                    </w:rPr>
                    <w:t>。</w:t>
                  </w:r>
                </w:p>
              </w:tc>
            </w:tr>
            <w:tr w14:paraId="5CAACDEE">
              <w:tblPrEx>
                <w:tblCellMar>
                  <w:top w:w="0" w:type="dxa"/>
                  <w:left w:w="108" w:type="dxa"/>
                  <w:bottom w:w="0" w:type="dxa"/>
                  <w:right w:w="108" w:type="dxa"/>
                </w:tblCellMar>
              </w:tblPrEx>
              <w:trPr>
                <w:trHeight w:val="625"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7F2C56E7">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6EB4DF6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373E1089">
                  <w:pPr>
                    <w:pageBreakBefore w:val="0"/>
                    <w:widowControl/>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机动车不按规定驶入导向车道行为记录</w:t>
                  </w:r>
                </w:p>
              </w:tc>
              <w:tc>
                <w:tcPr>
                  <w:tcW w:w="4017" w:type="dxa"/>
                  <w:tcBorders>
                    <w:top w:val="nil"/>
                    <w:left w:val="nil"/>
                    <w:bottom w:val="single" w:color="auto" w:sz="4" w:space="0"/>
                    <w:right w:val="single" w:color="auto" w:sz="4" w:space="0"/>
                  </w:tcBorders>
                  <w:shd w:val="clear" w:color="auto" w:fill="auto"/>
                  <w:vAlign w:val="center"/>
                </w:tcPr>
                <w:p w14:paraId="21F7E0C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应记录车辆违法过程中至少3张车辆后部全景图像，</w:t>
                  </w:r>
                  <w:r>
                    <w:rPr>
                      <w:rFonts w:hint="eastAsia" w:ascii="宋体" w:hAnsi="宋体" w:eastAsia="宋体" w:cs="宋体"/>
                      <w:sz w:val="22"/>
                      <w:szCs w:val="22"/>
                    </w:rPr>
                    <w:t>图片应符合GA/T 832的要求</w:t>
                  </w:r>
                  <w:r>
                    <w:rPr>
                      <w:rFonts w:hint="eastAsia" w:ascii="宋体" w:hAnsi="宋体" w:eastAsia="宋体" w:cs="宋体"/>
                      <w:sz w:val="22"/>
                      <w:szCs w:val="22"/>
                      <w:lang w:eastAsia="zh-CN"/>
                    </w:rPr>
                    <w:t>，</w:t>
                  </w:r>
                  <w:r>
                    <w:rPr>
                      <w:rFonts w:hint="eastAsia" w:ascii="宋体" w:hAnsi="宋体" w:eastAsia="宋体" w:cs="宋体"/>
                      <w:color w:val="000000"/>
                      <w:kern w:val="0"/>
                      <w:sz w:val="22"/>
                      <w:szCs w:val="22"/>
                    </w:rPr>
                    <w:t>捕获率应不小于80%，记录有效率应不小于80%</w:t>
                  </w:r>
                  <w:r>
                    <w:rPr>
                      <w:rFonts w:hint="eastAsia" w:ascii="宋体" w:hAnsi="宋体" w:eastAsia="宋体" w:cs="宋体"/>
                      <w:color w:val="000000"/>
                      <w:kern w:val="0"/>
                      <w:sz w:val="22"/>
                      <w:szCs w:val="22"/>
                      <w:lang w:eastAsia="zh-CN"/>
                    </w:rPr>
                    <w:t>。</w:t>
                  </w:r>
                </w:p>
              </w:tc>
            </w:tr>
            <w:tr w14:paraId="6EC8F28E">
              <w:tblPrEx>
                <w:tblCellMar>
                  <w:top w:w="0" w:type="dxa"/>
                  <w:left w:w="108" w:type="dxa"/>
                  <w:bottom w:w="0" w:type="dxa"/>
                  <w:right w:w="108" w:type="dxa"/>
                </w:tblCellMar>
              </w:tblPrEx>
              <w:trPr>
                <w:trHeight w:val="727"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220EA88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158F2ED0">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3D6146A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逆向行驶行为记录</w:t>
                  </w:r>
                </w:p>
              </w:tc>
              <w:tc>
                <w:tcPr>
                  <w:tcW w:w="4017" w:type="dxa"/>
                  <w:tcBorders>
                    <w:top w:val="nil"/>
                    <w:left w:val="nil"/>
                    <w:bottom w:val="single" w:color="auto" w:sz="4" w:space="0"/>
                    <w:right w:val="single" w:color="auto" w:sz="4" w:space="0"/>
                  </w:tcBorders>
                  <w:shd w:val="clear" w:color="auto" w:fill="auto"/>
                  <w:vAlign w:val="center"/>
                </w:tcPr>
                <w:p w14:paraId="3C2CC60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应记录车辆违法过程中至少2张车辆后部全景图像，捕获率应不小于80%，记录有效率应不小于80%</w:t>
                  </w:r>
                  <w:r>
                    <w:rPr>
                      <w:rFonts w:hint="eastAsia" w:ascii="宋体" w:hAnsi="宋体" w:eastAsia="宋体" w:cs="宋体"/>
                      <w:color w:val="000000"/>
                      <w:kern w:val="0"/>
                      <w:sz w:val="22"/>
                      <w:szCs w:val="22"/>
                      <w:lang w:eastAsia="zh-CN"/>
                    </w:rPr>
                    <w:t>。</w:t>
                  </w:r>
                </w:p>
              </w:tc>
            </w:tr>
            <w:tr w14:paraId="4C0CD54F">
              <w:tblPrEx>
                <w:tblCellMar>
                  <w:top w:w="0" w:type="dxa"/>
                  <w:left w:w="108" w:type="dxa"/>
                  <w:bottom w:w="0" w:type="dxa"/>
                  <w:right w:w="108" w:type="dxa"/>
                </w:tblCellMar>
              </w:tblPrEx>
              <w:trPr>
                <w:trHeight w:val="1085"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42981EF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2806C0C9">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27C4F2E9">
                  <w:pPr>
                    <w:pageBreakBefore w:val="0"/>
                    <w:widowControl/>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跨越禁止跨越同向车行道分界线行为记录</w:t>
                  </w:r>
                </w:p>
              </w:tc>
              <w:tc>
                <w:tcPr>
                  <w:tcW w:w="4017" w:type="dxa"/>
                  <w:tcBorders>
                    <w:top w:val="nil"/>
                    <w:left w:val="nil"/>
                    <w:bottom w:val="single" w:color="auto" w:sz="4" w:space="0"/>
                    <w:right w:val="single" w:color="auto" w:sz="4" w:space="0"/>
                  </w:tcBorders>
                  <w:shd w:val="clear" w:color="auto" w:fill="auto"/>
                  <w:vAlign w:val="center"/>
                </w:tcPr>
                <w:p w14:paraId="365FFD6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应记录车辆违法过程中至少2张车辆后部全景图像，捕获率应不小于80%，记录有效率应不小于80%</w:t>
                  </w:r>
                  <w:r>
                    <w:rPr>
                      <w:rFonts w:hint="eastAsia" w:ascii="宋体" w:hAnsi="宋体" w:eastAsia="宋体" w:cs="宋体"/>
                      <w:color w:val="000000"/>
                      <w:kern w:val="0"/>
                      <w:sz w:val="22"/>
                      <w:szCs w:val="22"/>
                      <w:lang w:eastAsia="zh-CN"/>
                    </w:rPr>
                    <w:t>。</w:t>
                  </w:r>
                </w:p>
              </w:tc>
            </w:tr>
            <w:tr w14:paraId="045E8BCC">
              <w:tblPrEx>
                <w:tblCellMar>
                  <w:top w:w="0" w:type="dxa"/>
                  <w:left w:w="108" w:type="dxa"/>
                  <w:bottom w:w="0" w:type="dxa"/>
                  <w:right w:w="108" w:type="dxa"/>
                </w:tblCellMar>
              </w:tblPrEx>
              <w:trPr>
                <w:trHeight w:val="2160"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3A682A39">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6CECD59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3A08208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记录文本信息内容</w:t>
                  </w:r>
                </w:p>
              </w:tc>
              <w:tc>
                <w:tcPr>
                  <w:tcW w:w="4017" w:type="dxa"/>
                  <w:tcBorders>
                    <w:top w:val="nil"/>
                    <w:left w:val="nil"/>
                    <w:bottom w:val="single" w:color="auto" w:sz="4" w:space="0"/>
                    <w:right w:val="single" w:color="auto" w:sz="4" w:space="0"/>
                  </w:tcBorders>
                  <w:shd w:val="clear" w:color="auto" w:fill="auto"/>
                  <w:vAlign w:val="center"/>
                </w:tcPr>
                <w:p w14:paraId="1D573F1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文本信息：应包括交通安全违法日期、时间、地点、方向、车道号、交通违法代码、图像取证设备编号、号牌号码、号牌颜色、车型、防伪等信息。机动车交通安全违法信息写入关联数据库，并能够将交通安全违法日期、时间、地点、方向、图像取证设备编号、防伪等相关文本信息叠加到图片上</w:t>
                  </w:r>
                  <w:r>
                    <w:rPr>
                      <w:rFonts w:hint="eastAsia" w:ascii="宋体" w:hAnsi="宋体" w:eastAsia="宋体" w:cs="宋体"/>
                      <w:color w:val="000000"/>
                      <w:kern w:val="0"/>
                      <w:sz w:val="22"/>
                      <w:szCs w:val="22"/>
                      <w:lang w:eastAsia="zh-CN"/>
                    </w:rPr>
                    <w:t>。</w:t>
                  </w:r>
                </w:p>
              </w:tc>
            </w:tr>
            <w:tr w14:paraId="659E1BA9">
              <w:tblPrEx>
                <w:tblCellMar>
                  <w:top w:w="0" w:type="dxa"/>
                  <w:left w:w="108" w:type="dxa"/>
                  <w:bottom w:w="0" w:type="dxa"/>
                  <w:right w:w="108" w:type="dxa"/>
                </w:tblCellMar>
              </w:tblPrEx>
              <w:trPr>
                <w:trHeight w:val="368" w:hRule="atLeast"/>
                <w:jc w:val="center"/>
              </w:trPr>
              <w:tc>
                <w:tcPr>
                  <w:tcW w:w="852" w:type="dxa"/>
                  <w:vMerge w:val="restart"/>
                  <w:tcBorders>
                    <w:top w:val="nil"/>
                    <w:left w:val="single" w:color="auto" w:sz="4" w:space="0"/>
                    <w:bottom w:val="single" w:color="000000" w:sz="4" w:space="0"/>
                    <w:right w:val="single" w:color="auto" w:sz="4" w:space="0"/>
                  </w:tcBorders>
                  <w:shd w:val="clear" w:color="auto" w:fill="auto"/>
                  <w:vAlign w:val="center"/>
                </w:tcPr>
                <w:p w14:paraId="034D795C">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1031" w:type="dxa"/>
                  <w:vMerge w:val="restart"/>
                  <w:tcBorders>
                    <w:top w:val="nil"/>
                    <w:left w:val="single" w:color="auto" w:sz="4" w:space="0"/>
                    <w:bottom w:val="single" w:color="000000" w:sz="4" w:space="0"/>
                    <w:right w:val="single" w:color="auto" w:sz="4" w:space="0"/>
                  </w:tcBorders>
                  <w:shd w:val="clear" w:color="auto" w:fill="auto"/>
                  <w:vAlign w:val="center"/>
                </w:tcPr>
                <w:p w14:paraId="1A55AC48">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交通流信息记录</w:t>
                  </w:r>
                </w:p>
              </w:tc>
              <w:tc>
                <w:tcPr>
                  <w:tcW w:w="1758" w:type="dxa"/>
                  <w:tcBorders>
                    <w:top w:val="nil"/>
                    <w:left w:val="nil"/>
                    <w:bottom w:val="single" w:color="auto" w:sz="4" w:space="0"/>
                    <w:right w:val="single" w:color="auto" w:sz="4" w:space="0"/>
                  </w:tcBorders>
                  <w:shd w:val="clear" w:color="auto" w:fill="auto"/>
                  <w:vAlign w:val="center"/>
                </w:tcPr>
                <w:p w14:paraId="177293D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采集数据类型</w:t>
                  </w:r>
                </w:p>
              </w:tc>
              <w:tc>
                <w:tcPr>
                  <w:tcW w:w="4017" w:type="dxa"/>
                  <w:tcBorders>
                    <w:top w:val="nil"/>
                    <w:left w:val="nil"/>
                    <w:bottom w:val="single" w:color="auto" w:sz="4" w:space="0"/>
                    <w:right w:val="single" w:color="auto" w:sz="4" w:space="0"/>
                  </w:tcBorders>
                  <w:shd w:val="clear" w:color="auto" w:fill="auto"/>
                  <w:vAlign w:val="center"/>
                </w:tcPr>
                <w:p w14:paraId="096B660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交通流量、平均车速、占有率、车型、车辆时距等</w:t>
                  </w:r>
                  <w:r>
                    <w:rPr>
                      <w:rFonts w:hint="eastAsia" w:ascii="宋体" w:hAnsi="宋体" w:eastAsia="宋体" w:cs="宋体"/>
                      <w:color w:val="000000"/>
                      <w:kern w:val="0"/>
                      <w:sz w:val="22"/>
                      <w:szCs w:val="22"/>
                      <w:lang w:eastAsia="zh-CN"/>
                    </w:rPr>
                    <w:t>。</w:t>
                  </w:r>
                </w:p>
              </w:tc>
            </w:tr>
            <w:tr w14:paraId="14B5F887">
              <w:tblPrEx>
                <w:tblCellMar>
                  <w:top w:w="0" w:type="dxa"/>
                  <w:left w:w="108" w:type="dxa"/>
                  <w:bottom w:w="0" w:type="dxa"/>
                  <w:right w:w="108" w:type="dxa"/>
                </w:tblCellMar>
              </w:tblPrEx>
              <w:trPr>
                <w:trHeight w:val="368"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5153218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540D2FD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vMerge w:val="restart"/>
                  <w:tcBorders>
                    <w:top w:val="nil"/>
                    <w:left w:val="single" w:color="auto" w:sz="4" w:space="0"/>
                    <w:bottom w:val="single" w:color="000000" w:sz="4" w:space="0"/>
                    <w:right w:val="single" w:color="auto" w:sz="4" w:space="0"/>
                  </w:tcBorders>
                  <w:shd w:val="clear" w:color="auto" w:fill="auto"/>
                  <w:vAlign w:val="center"/>
                </w:tcPr>
                <w:p w14:paraId="0170F81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数据采集精度误差范围</w:t>
                  </w:r>
                </w:p>
              </w:tc>
              <w:tc>
                <w:tcPr>
                  <w:tcW w:w="4017" w:type="dxa"/>
                  <w:tcBorders>
                    <w:top w:val="nil"/>
                    <w:left w:val="nil"/>
                    <w:bottom w:val="single" w:color="auto" w:sz="4" w:space="0"/>
                    <w:right w:val="single" w:color="auto" w:sz="4" w:space="0"/>
                  </w:tcBorders>
                  <w:shd w:val="clear" w:color="auto" w:fill="auto"/>
                  <w:vAlign w:val="center"/>
                </w:tcPr>
                <w:p w14:paraId="20515C3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交通流量检测精度误差范围：≤±5%</w:t>
                  </w:r>
                  <w:r>
                    <w:rPr>
                      <w:rFonts w:hint="eastAsia" w:ascii="宋体" w:hAnsi="宋体" w:eastAsia="宋体" w:cs="宋体"/>
                      <w:color w:val="000000"/>
                      <w:kern w:val="0"/>
                      <w:sz w:val="22"/>
                      <w:szCs w:val="22"/>
                      <w:lang w:eastAsia="zh-CN"/>
                    </w:rPr>
                    <w:t>。</w:t>
                  </w:r>
                </w:p>
              </w:tc>
            </w:tr>
            <w:tr w14:paraId="2FAD3BF8">
              <w:tblPrEx>
                <w:tblCellMar>
                  <w:top w:w="0" w:type="dxa"/>
                  <w:left w:w="108" w:type="dxa"/>
                  <w:bottom w:w="0" w:type="dxa"/>
                  <w:right w:w="108" w:type="dxa"/>
                </w:tblCellMar>
              </w:tblPrEx>
              <w:trPr>
                <w:trHeight w:val="368"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1E9D7C3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60CE592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vMerge w:val="continue"/>
                  <w:tcBorders>
                    <w:top w:val="nil"/>
                    <w:left w:val="single" w:color="auto" w:sz="4" w:space="0"/>
                    <w:bottom w:val="single" w:color="000000" w:sz="4" w:space="0"/>
                    <w:right w:val="single" w:color="auto" w:sz="4" w:space="0"/>
                  </w:tcBorders>
                  <w:vAlign w:val="center"/>
                </w:tcPr>
                <w:p w14:paraId="3EE75120">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4017" w:type="dxa"/>
                  <w:tcBorders>
                    <w:top w:val="nil"/>
                    <w:left w:val="nil"/>
                    <w:bottom w:val="single" w:color="auto" w:sz="4" w:space="0"/>
                    <w:right w:val="single" w:color="auto" w:sz="4" w:space="0"/>
                  </w:tcBorders>
                  <w:shd w:val="clear" w:color="auto" w:fill="auto"/>
                  <w:vAlign w:val="center"/>
                </w:tcPr>
                <w:p w14:paraId="0997D9C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时间占有率检测精度误差范围：≤±2%</w:t>
                  </w:r>
                  <w:r>
                    <w:rPr>
                      <w:rFonts w:hint="eastAsia" w:ascii="宋体" w:hAnsi="宋体" w:eastAsia="宋体" w:cs="宋体"/>
                      <w:color w:val="000000"/>
                      <w:kern w:val="0"/>
                      <w:sz w:val="22"/>
                      <w:szCs w:val="22"/>
                      <w:lang w:eastAsia="zh-CN"/>
                    </w:rPr>
                    <w:t>。</w:t>
                  </w:r>
                </w:p>
              </w:tc>
            </w:tr>
            <w:tr w14:paraId="75C800B0">
              <w:tblPrEx>
                <w:tblCellMar>
                  <w:top w:w="0" w:type="dxa"/>
                  <w:left w:w="108" w:type="dxa"/>
                  <w:bottom w:w="0" w:type="dxa"/>
                  <w:right w:w="108" w:type="dxa"/>
                </w:tblCellMar>
              </w:tblPrEx>
              <w:trPr>
                <w:trHeight w:val="368"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12B4D5B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013929F7">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vMerge w:val="continue"/>
                  <w:tcBorders>
                    <w:top w:val="nil"/>
                    <w:left w:val="single" w:color="auto" w:sz="4" w:space="0"/>
                    <w:bottom w:val="single" w:color="000000" w:sz="4" w:space="0"/>
                    <w:right w:val="single" w:color="auto" w:sz="4" w:space="0"/>
                  </w:tcBorders>
                  <w:vAlign w:val="center"/>
                </w:tcPr>
                <w:p w14:paraId="7D10486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4017" w:type="dxa"/>
                  <w:tcBorders>
                    <w:top w:val="nil"/>
                    <w:left w:val="nil"/>
                    <w:bottom w:val="single" w:color="auto" w:sz="4" w:space="0"/>
                    <w:right w:val="single" w:color="auto" w:sz="4" w:space="0"/>
                  </w:tcBorders>
                  <w:shd w:val="clear" w:color="auto" w:fill="auto"/>
                  <w:vAlign w:val="center"/>
                </w:tcPr>
                <w:p w14:paraId="261A221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车辆时距检测精度误差范围：≤±5%</w:t>
                  </w:r>
                  <w:r>
                    <w:rPr>
                      <w:rFonts w:hint="eastAsia" w:ascii="宋体" w:hAnsi="宋体" w:eastAsia="宋体" w:cs="宋体"/>
                      <w:color w:val="000000"/>
                      <w:kern w:val="0"/>
                      <w:sz w:val="22"/>
                      <w:szCs w:val="22"/>
                      <w:lang w:eastAsia="zh-CN"/>
                    </w:rPr>
                    <w:t>。</w:t>
                  </w:r>
                </w:p>
              </w:tc>
            </w:tr>
            <w:tr w14:paraId="6B7C3649">
              <w:tblPrEx>
                <w:tblCellMar>
                  <w:top w:w="0" w:type="dxa"/>
                  <w:left w:w="108" w:type="dxa"/>
                  <w:bottom w:w="0" w:type="dxa"/>
                  <w:right w:w="108" w:type="dxa"/>
                </w:tblCellMar>
              </w:tblPrEx>
              <w:trPr>
                <w:trHeight w:val="368"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64B9849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10D7D8C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vMerge w:val="continue"/>
                  <w:tcBorders>
                    <w:top w:val="nil"/>
                    <w:left w:val="single" w:color="auto" w:sz="4" w:space="0"/>
                    <w:bottom w:val="single" w:color="000000" w:sz="4" w:space="0"/>
                    <w:right w:val="single" w:color="auto" w:sz="4" w:space="0"/>
                  </w:tcBorders>
                  <w:vAlign w:val="center"/>
                </w:tcPr>
                <w:p w14:paraId="26F44FC0">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4017" w:type="dxa"/>
                  <w:tcBorders>
                    <w:top w:val="nil"/>
                    <w:left w:val="nil"/>
                    <w:bottom w:val="single" w:color="auto" w:sz="4" w:space="0"/>
                    <w:right w:val="single" w:color="auto" w:sz="4" w:space="0"/>
                  </w:tcBorders>
                  <w:shd w:val="clear" w:color="auto" w:fill="auto"/>
                  <w:vAlign w:val="center"/>
                </w:tcPr>
                <w:p w14:paraId="0ECE3B9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平均速度检测精度误差范围：≤±5%</w:t>
                  </w:r>
                  <w:r>
                    <w:rPr>
                      <w:rFonts w:hint="eastAsia" w:ascii="宋体" w:hAnsi="宋体" w:eastAsia="宋体" w:cs="宋体"/>
                      <w:color w:val="000000"/>
                      <w:kern w:val="0"/>
                      <w:sz w:val="22"/>
                      <w:szCs w:val="22"/>
                      <w:lang w:eastAsia="zh-CN"/>
                    </w:rPr>
                    <w:t>。</w:t>
                  </w:r>
                </w:p>
              </w:tc>
            </w:tr>
            <w:tr w14:paraId="3F3DC943">
              <w:tblPrEx>
                <w:tblCellMar>
                  <w:top w:w="0" w:type="dxa"/>
                  <w:left w:w="108" w:type="dxa"/>
                  <w:bottom w:w="0" w:type="dxa"/>
                  <w:right w:w="108" w:type="dxa"/>
                </w:tblCellMar>
              </w:tblPrEx>
              <w:trPr>
                <w:trHeight w:val="556"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150456B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5DF0F208">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59E6ED2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车辆类型分类</w:t>
                  </w:r>
                </w:p>
              </w:tc>
              <w:tc>
                <w:tcPr>
                  <w:tcW w:w="4017" w:type="dxa"/>
                  <w:tcBorders>
                    <w:top w:val="nil"/>
                    <w:left w:val="nil"/>
                    <w:bottom w:val="single" w:color="auto" w:sz="4" w:space="0"/>
                    <w:right w:val="single" w:color="auto" w:sz="4" w:space="0"/>
                  </w:tcBorders>
                  <w:shd w:val="clear" w:color="auto" w:fill="auto"/>
                  <w:vAlign w:val="center"/>
                </w:tcPr>
                <w:p w14:paraId="2774F22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应至少能够区分摩托车、小型车、中型车、大型车四种</w:t>
                  </w:r>
                  <w:r>
                    <w:rPr>
                      <w:rFonts w:hint="eastAsia" w:ascii="宋体" w:hAnsi="宋体" w:eastAsia="宋体" w:cs="宋体"/>
                      <w:color w:val="000000"/>
                      <w:kern w:val="0"/>
                      <w:sz w:val="22"/>
                      <w:szCs w:val="22"/>
                      <w:lang w:val="en-US" w:eastAsia="zh-CN"/>
                    </w:rPr>
                    <w:t>类型</w:t>
                  </w:r>
                  <w:r>
                    <w:rPr>
                      <w:rFonts w:hint="eastAsia" w:ascii="宋体" w:hAnsi="宋体" w:eastAsia="宋体" w:cs="宋体"/>
                      <w:color w:val="000000"/>
                      <w:kern w:val="0"/>
                      <w:sz w:val="22"/>
                      <w:szCs w:val="22"/>
                      <w:lang w:eastAsia="zh-CN"/>
                    </w:rPr>
                    <w:t>。</w:t>
                  </w:r>
                </w:p>
              </w:tc>
            </w:tr>
            <w:tr w14:paraId="2C25CCB3">
              <w:tblPrEx>
                <w:tblCellMar>
                  <w:top w:w="0" w:type="dxa"/>
                  <w:left w:w="108" w:type="dxa"/>
                  <w:bottom w:w="0" w:type="dxa"/>
                  <w:right w:w="108" w:type="dxa"/>
                </w:tblCellMar>
              </w:tblPrEx>
              <w:trPr>
                <w:trHeight w:val="727"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7FABFB17">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7434781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7E888D9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交通流信息查询统计</w:t>
                  </w:r>
                </w:p>
              </w:tc>
              <w:tc>
                <w:tcPr>
                  <w:tcW w:w="4017" w:type="dxa"/>
                  <w:tcBorders>
                    <w:top w:val="nil"/>
                    <w:left w:val="nil"/>
                    <w:bottom w:val="single" w:color="auto" w:sz="4" w:space="0"/>
                    <w:right w:val="single" w:color="auto" w:sz="4" w:space="0"/>
                  </w:tcBorders>
                  <w:shd w:val="clear" w:color="auto" w:fill="auto"/>
                  <w:vAlign w:val="center"/>
                </w:tcPr>
                <w:p w14:paraId="59B8E3C0">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应可按不同车道和不同时段进行车辆流量统计，并以柱状图、饼图等多种形式输出。</w:t>
                  </w:r>
                </w:p>
              </w:tc>
            </w:tr>
            <w:tr w14:paraId="6ECD7BE9">
              <w:tblPrEx>
                <w:tblCellMar>
                  <w:top w:w="0" w:type="dxa"/>
                  <w:left w:w="108" w:type="dxa"/>
                  <w:bottom w:w="0" w:type="dxa"/>
                  <w:right w:w="108" w:type="dxa"/>
                </w:tblCellMar>
              </w:tblPrEx>
              <w:trPr>
                <w:trHeight w:val="727"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5B538BA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42C65C99">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3C678DC8">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记录模式</w:t>
                  </w:r>
                </w:p>
              </w:tc>
              <w:tc>
                <w:tcPr>
                  <w:tcW w:w="4017" w:type="dxa"/>
                  <w:tcBorders>
                    <w:top w:val="nil"/>
                    <w:left w:val="nil"/>
                    <w:bottom w:val="single" w:color="auto" w:sz="4" w:space="0"/>
                    <w:right w:val="single" w:color="auto" w:sz="4" w:space="0"/>
                  </w:tcBorders>
                  <w:shd w:val="clear" w:color="auto" w:fill="auto"/>
                  <w:vAlign w:val="center"/>
                </w:tcPr>
                <w:p w14:paraId="0D957E7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应记录车辆后部全景图像和号牌特写图片，叠加相关信息</w:t>
                  </w:r>
                  <w:r>
                    <w:rPr>
                      <w:rFonts w:hint="eastAsia" w:ascii="宋体" w:hAnsi="宋体" w:eastAsia="宋体" w:cs="宋体"/>
                      <w:color w:val="000000"/>
                      <w:kern w:val="0"/>
                      <w:sz w:val="22"/>
                      <w:szCs w:val="22"/>
                      <w:lang w:eastAsia="zh-CN"/>
                    </w:rPr>
                    <w:t>。</w:t>
                  </w:r>
                </w:p>
              </w:tc>
            </w:tr>
            <w:tr w14:paraId="0B4371C7">
              <w:tblPrEx>
                <w:tblCellMar>
                  <w:top w:w="0" w:type="dxa"/>
                  <w:left w:w="108" w:type="dxa"/>
                  <w:bottom w:w="0" w:type="dxa"/>
                  <w:right w:w="108" w:type="dxa"/>
                </w:tblCellMar>
              </w:tblPrEx>
              <w:trPr>
                <w:trHeight w:val="368" w:hRule="atLeast"/>
                <w:jc w:val="center"/>
              </w:trPr>
              <w:tc>
                <w:tcPr>
                  <w:tcW w:w="852" w:type="dxa"/>
                  <w:vMerge w:val="restart"/>
                  <w:tcBorders>
                    <w:top w:val="nil"/>
                    <w:left w:val="single" w:color="auto" w:sz="4" w:space="0"/>
                    <w:bottom w:val="single" w:color="000000" w:sz="4" w:space="0"/>
                    <w:right w:val="single" w:color="auto" w:sz="4" w:space="0"/>
                  </w:tcBorders>
                  <w:shd w:val="clear" w:color="auto" w:fill="auto"/>
                  <w:vAlign w:val="center"/>
                </w:tcPr>
                <w:p w14:paraId="0F025DB0">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1031" w:type="dxa"/>
                  <w:vMerge w:val="restart"/>
                  <w:tcBorders>
                    <w:top w:val="nil"/>
                    <w:left w:val="single" w:color="auto" w:sz="4" w:space="0"/>
                    <w:bottom w:val="single" w:color="000000" w:sz="4" w:space="0"/>
                    <w:right w:val="single" w:color="auto" w:sz="4" w:space="0"/>
                  </w:tcBorders>
                  <w:shd w:val="clear" w:color="auto" w:fill="auto"/>
                  <w:vAlign w:val="center"/>
                </w:tcPr>
                <w:p w14:paraId="4850DD6C">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图像及图片要求</w:t>
                  </w:r>
                </w:p>
              </w:tc>
              <w:tc>
                <w:tcPr>
                  <w:tcW w:w="1758" w:type="dxa"/>
                  <w:tcBorders>
                    <w:top w:val="nil"/>
                    <w:left w:val="nil"/>
                    <w:bottom w:val="single" w:color="auto" w:sz="4" w:space="0"/>
                    <w:right w:val="single" w:color="auto" w:sz="4" w:space="0"/>
                  </w:tcBorders>
                  <w:shd w:val="clear" w:color="auto" w:fill="auto"/>
                  <w:vAlign w:val="center"/>
                </w:tcPr>
                <w:p w14:paraId="2849B84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单幅图片分辨率</w:t>
                  </w:r>
                </w:p>
              </w:tc>
              <w:tc>
                <w:tcPr>
                  <w:tcW w:w="4017" w:type="dxa"/>
                  <w:tcBorders>
                    <w:top w:val="nil"/>
                    <w:left w:val="nil"/>
                    <w:bottom w:val="single" w:color="auto" w:sz="4" w:space="0"/>
                    <w:right w:val="single" w:color="auto" w:sz="4" w:space="0"/>
                  </w:tcBorders>
                  <w:shd w:val="clear" w:color="auto" w:fill="auto"/>
                  <w:vAlign w:val="center"/>
                </w:tcPr>
                <w:p w14:paraId="6A2E645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≥4096×2160</w:t>
                  </w:r>
                  <w:r>
                    <w:rPr>
                      <w:rFonts w:hint="eastAsia" w:ascii="宋体" w:hAnsi="宋体" w:eastAsia="宋体" w:cs="宋体"/>
                      <w:color w:val="000000"/>
                      <w:kern w:val="0"/>
                      <w:sz w:val="22"/>
                      <w:szCs w:val="22"/>
                      <w:lang w:eastAsia="zh-CN"/>
                    </w:rPr>
                    <w:t>。</w:t>
                  </w:r>
                </w:p>
              </w:tc>
            </w:tr>
            <w:tr w14:paraId="17FDCA0A">
              <w:tblPrEx>
                <w:tblCellMar>
                  <w:top w:w="0" w:type="dxa"/>
                  <w:left w:w="108" w:type="dxa"/>
                  <w:bottom w:w="0" w:type="dxa"/>
                  <w:right w:w="108" w:type="dxa"/>
                </w:tblCellMar>
              </w:tblPrEx>
              <w:trPr>
                <w:trHeight w:val="368"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02D52D1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476095B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1C34587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图像编码</w:t>
                  </w:r>
                </w:p>
              </w:tc>
              <w:tc>
                <w:tcPr>
                  <w:tcW w:w="4017" w:type="dxa"/>
                  <w:tcBorders>
                    <w:top w:val="nil"/>
                    <w:left w:val="nil"/>
                    <w:bottom w:val="single" w:color="auto" w:sz="4" w:space="0"/>
                    <w:right w:val="single" w:color="auto" w:sz="4" w:space="0"/>
                  </w:tcBorders>
                  <w:shd w:val="clear" w:color="auto" w:fill="auto"/>
                  <w:vAlign w:val="center"/>
                </w:tcPr>
                <w:p w14:paraId="534D4CB0">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符合ISO/IEC 15444:2000的要求</w:t>
                  </w:r>
                  <w:r>
                    <w:rPr>
                      <w:rFonts w:hint="eastAsia" w:ascii="宋体" w:hAnsi="宋体" w:eastAsia="宋体" w:cs="宋体"/>
                      <w:color w:val="000000"/>
                      <w:kern w:val="0"/>
                      <w:sz w:val="22"/>
                      <w:szCs w:val="22"/>
                      <w:lang w:eastAsia="zh-CN"/>
                    </w:rPr>
                    <w:t>。</w:t>
                  </w:r>
                </w:p>
              </w:tc>
            </w:tr>
            <w:tr w14:paraId="43E4A0D1">
              <w:tblPrEx>
                <w:tblCellMar>
                  <w:top w:w="0" w:type="dxa"/>
                  <w:left w:w="108" w:type="dxa"/>
                  <w:bottom w:w="0" w:type="dxa"/>
                  <w:right w:w="108" w:type="dxa"/>
                </w:tblCellMar>
              </w:tblPrEx>
              <w:trPr>
                <w:trHeight w:val="368"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3F9710A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6196F45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3BCC96A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sz w:val="22"/>
                      <w:szCs w:val="22"/>
                      <w:lang w:eastAsia="zh-CN"/>
                    </w:rPr>
                    <w:t>存储</w:t>
                  </w:r>
                  <w:r>
                    <w:rPr>
                      <w:rFonts w:hint="eastAsia" w:ascii="宋体" w:hAnsi="宋体" w:eastAsia="宋体" w:cs="宋体"/>
                      <w:color w:val="000000"/>
                      <w:kern w:val="0"/>
                      <w:sz w:val="22"/>
                      <w:szCs w:val="22"/>
                    </w:rPr>
                    <w:t>格式</w:t>
                  </w:r>
                </w:p>
              </w:tc>
              <w:tc>
                <w:tcPr>
                  <w:tcW w:w="4017" w:type="dxa"/>
                  <w:tcBorders>
                    <w:top w:val="nil"/>
                    <w:left w:val="nil"/>
                    <w:bottom w:val="single" w:color="auto" w:sz="4" w:space="0"/>
                    <w:right w:val="single" w:color="auto" w:sz="4" w:space="0"/>
                  </w:tcBorders>
                  <w:shd w:val="clear" w:color="auto" w:fill="auto"/>
                  <w:vAlign w:val="center"/>
                </w:tcPr>
                <w:p w14:paraId="1F42FBE7">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采用JPEG文件格式</w:t>
                  </w:r>
                  <w:r>
                    <w:rPr>
                      <w:rFonts w:hint="eastAsia" w:ascii="宋体" w:hAnsi="宋体" w:eastAsia="宋体" w:cs="宋体"/>
                      <w:sz w:val="22"/>
                      <w:szCs w:val="22"/>
                      <w:lang w:eastAsia="zh-CN"/>
                    </w:rPr>
                    <w:t>存储</w:t>
                  </w:r>
                  <w:r>
                    <w:rPr>
                      <w:rFonts w:hint="eastAsia" w:ascii="宋体" w:hAnsi="宋体" w:eastAsia="宋体" w:cs="宋体"/>
                      <w:color w:val="000000"/>
                      <w:kern w:val="0"/>
                      <w:sz w:val="22"/>
                      <w:szCs w:val="22"/>
                    </w:rPr>
                    <w:t>，压缩因子低于70。</w:t>
                  </w:r>
                </w:p>
              </w:tc>
            </w:tr>
            <w:tr w14:paraId="3C978C73">
              <w:tblPrEx>
                <w:tblCellMar>
                  <w:top w:w="0" w:type="dxa"/>
                  <w:left w:w="108" w:type="dxa"/>
                  <w:bottom w:w="0" w:type="dxa"/>
                  <w:right w:w="108" w:type="dxa"/>
                </w:tblCellMar>
              </w:tblPrEx>
              <w:trPr>
                <w:trHeight w:val="727" w:hRule="atLeast"/>
                <w:jc w:val="center"/>
              </w:trPr>
              <w:tc>
                <w:tcPr>
                  <w:tcW w:w="852" w:type="dxa"/>
                  <w:vMerge w:val="restart"/>
                  <w:tcBorders>
                    <w:top w:val="nil"/>
                    <w:left w:val="single" w:color="auto" w:sz="4" w:space="0"/>
                    <w:bottom w:val="single" w:color="000000" w:sz="4" w:space="0"/>
                    <w:right w:val="single" w:color="auto" w:sz="4" w:space="0"/>
                  </w:tcBorders>
                  <w:shd w:val="clear" w:color="auto" w:fill="auto"/>
                  <w:vAlign w:val="center"/>
                </w:tcPr>
                <w:p w14:paraId="2E025316">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1031" w:type="dxa"/>
                  <w:vMerge w:val="restart"/>
                  <w:tcBorders>
                    <w:top w:val="nil"/>
                    <w:left w:val="single" w:color="auto" w:sz="4" w:space="0"/>
                    <w:bottom w:val="single" w:color="000000" w:sz="4" w:space="0"/>
                    <w:right w:val="single" w:color="auto" w:sz="4" w:space="0"/>
                  </w:tcBorders>
                  <w:shd w:val="clear" w:color="auto" w:fill="auto"/>
                  <w:vAlign w:val="center"/>
                </w:tcPr>
                <w:p w14:paraId="25FE7440">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数据存储</w:t>
                  </w:r>
                </w:p>
              </w:tc>
              <w:tc>
                <w:tcPr>
                  <w:tcW w:w="1758" w:type="dxa"/>
                  <w:tcBorders>
                    <w:top w:val="nil"/>
                    <w:left w:val="nil"/>
                    <w:bottom w:val="single" w:color="auto" w:sz="4" w:space="0"/>
                    <w:right w:val="single" w:color="auto" w:sz="4" w:space="0"/>
                  </w:tcBorders>
                  <w:shd w:val="clear" w:color="auto" w:fill="auto"/>
                  <w:vAlign w:val="center"/>
                </w:tcPr>
                <w:p w14:paraId="6B4A3E2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交通安全违法信息</w:t>
                  </w:r>
                </w:p>
              </w:tc>
              <w:tc>
                <w:tcPr>
                  <w:tcW w:w="4017" w:type="dxa"/>
                  <w:tcBorders>
                    <w:top w:val="nil"/>
                    <w:left w:val="nil"/>
                    <w:bottom w:val="single" w:color="auto" w:sz="4" w:space="0"/>
                    <w:right w:val="single" w:color="auto" w:sz="4" w:space="0"/>
                  </w:tcBorders>
                  <w:shd w:val="clear" w:color="auto" w:fill="auto"/>
                  <w:vAlign w:val="center"/>
                </w:tcPr>
                <w:p w14:paraId="5402C90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系统前端设备应能够存储≥7天的车辆交通安全违法信息数据</w:t>
                  </w:r>
                  <w:r>
                    <w:rPr>
                      <w:rFonts w:hint="eastAsia" w:ascii="宋体" w:hAnsi="宋体" w:eastAsia="宋体" w:cs="宋体"/>
                      <w:color w:val="000000"/>
                      <w:kern w:val="0"/>
                      <w:sz w:val="22"/>
                      <w:szCs w:val="22"/>
                      <w:lang w:eastAsia="zh-CN"/>
                    </w:rPr>
                    <w:t>。</w:t>
                  </w:r>
                </w:p>
              </w:tc>
            </w:tr>
            <w:tr w14:paraId="2404C547">
              <w:tblPrEx>
                <w:tblCellMar>
                  <w:top w:w="0" w:type="dxa"/>
                  <w:left w:w="108" w:type="dxa"/>
                  <w:bottom w:w="0" w:type="dxa"/>
                  <w:right w:w="108" w:type="dxa"/>
                </w:tblCellMar>
              </w:tblPrEx>
              <w:trPr>
                <w:trHeight w:val="727"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78B68768">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35A3EF6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1652B7A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车辆通行信息</w:t>
                  </w:r>
                </w:p>
              </w:tc>
              <w:tc>
                <w:tcPr>
                  <w:tcW w:w="4017" w:type="dxa"/>
                  <w:tcBorders>
                    <w:top w:val="nil"/>
                    <w:left w:val="nil"/>
                    <w:bottom w:val="single" w:color="auto" w:sz="4" w:space="0"/>
                    <w:right w:val="single" w:color="auto" w:sz="4" w:space="0"/>
                  </w:tcBorders>
                  <w:shd w:val="clear" w:color="auto" w:fill="auto"/>
                  <w:vAlign w:val="center"/>
                </w:tcPr>
                <w:p w14:paraId="5502890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系统前端设备应能够存储≥7天的车辆通行信息数据</w:t>
                  </w:r>
                  <w:r>
                    <w:rPr>
                      <w:rFonts w:hint="eastAsia" w:ascii="宋体" w:hAnsi="宋体" w:eastAsia="宋体" w:cs="宋体"/>
                      <w:color w:val="000000"/>
                      <w:kern w:val="0"/>
                      <w:sz w:val="22"/>
                      <w:szCs w:val="22"/>
                      <w:lang w:eastAsia="zh-CN"/>
                    </w:rPr>
                    <w:t>。</w:t>
                  </w:r>
                </w:p>
              </w:tc>
            </w:tr>
            <w:tr w14:paraId="30C4B8CA">
              <w:tblPrEx>
                <w:tblCellMar>
                  <w:top w:w="0" w:type="dxa"/>
                  <w:left w:w="108" w:type="dxa"/>
                  <w:bottom w:w="0" w:type="dxa"/>
                  <w:right w:w="108" w:type="dxa"/>
                </w:tblCellMar>
              </w:tblPrEx>
              <w:trPr>
                <w:trHeight w:val="368"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7C14916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2DBDD46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0457231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交通流信息</w:t>
                  </w:r>
                </w:p>
              </w:tc>
              <w:tc>
                <w:tcPr>
                  <w:tcW w:w="4017" w:type="dxa"/>
                  <w:tcBorders>
                    <w:top w:val="nil"/>
                    <w:left w:val="nil"/>
                    <w:bottom w:val="single" w:color="auto" w:sz="4" w:space="0"/>
                    <w:right w:val="single" w:color="auto" w:sz="4" w:space="0"/>
                  </w:tcBorders>
                  <w:shd w:val="clear" w:color="auto" w:fill="auto"/>
                  <w:vAlign w:val="center"/>
                </w:tcPr>
                <w:p w14:paraId="26F8AE4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系统前端设备应能够存储≥7天的交通流信息数据</w:t>
                  </w:r>
                  <w:r>
                    <w:rPr>
                      <w:rFonts w:hint="eastAsia" w:ascii="宋体" w:hAnsi="宋体" w:eastAsia="宋体" w:cs="宋体"/>
                      <w:color w:val="000000"/>
                      <w:kern w:val="0"/>
                      <w:sz w:val="22"/>
                      <w:szCs w:val="22"/>
                      <w:lang w:eastAsia="zh-CN"/>
                    </w:rPr>
                    <w:t>。</w:t>
                  </w:r>
                </w:p>
              </w:tc>
            </w:tr>
            <w:tr w14:paraId="11FA8EC5">
              <w:tblPrEx>
                <w:tblCellMar>
                  <w:top w:w="0" w:type="dxa"/>
                  <w:left w:w="108" w:type="dxa"/>
                  <w:bottom w:w="0" w:type="dxa"/>
                  <w:right w:w="108" w:type="dxa"/>
                </w:tblCellMar>
              </w:tblPrEx>
              <w:trPr>
                <w:trHeight w:val="727"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68429060">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2AEB3E0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4B2A6B9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交通事件信息</w:t>
                  </w:r>
                </w:p>
              </w:tc>
              <w:tc>
                <w:tcPr>
                  <w:tcW w:w="4017" w:type="dxa"/>
                  <w:tcBorders>
                    <w:top w:val="nil"/>
                    <w:left w:val="nil"/>
                    <w:bottom w:val="single" w:color="auto" w:sz="4" w:space="0"/>
                    <w:right w:val="single" w:color="auto" w:sz="4" w:space="0"/>
                  </w:tcBorders>
                  <w:shd w:val="clear" w:color="auto" w:fill="auto"/>
                  <w:vAlign w:val="center"/>
                </w:tcPr>
                <w:p w14:paraId="0125FF2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系统前端设备应能够存储≥7天的交通事件信息数据</w:t>
                  </w:r>
                  <w:r>
                    <w:rPr>
                      <w:rFonts w:hint="eastAsia" w:ascii="宋体" w:hAnsi="宋体" w:eastAsia="宋体" w:cs="宋体"/>
                      <w:color w:val="000000"/>
                      <w:kern w:val="0"/>
                      <w:sz w:val="22"/>
                      <w:szCs w:val="22"/>
                      <w:lang w:eastAsia="zh-CN"/>
                    </w:rPr>
                    <w:t>。</w:t>
                  </w:r>
                </w:p>
              </w:tc>
            </w:tr>
            <w:tr w14:paraId="2EA556CF">
              <w:tblPrEx>
                <w:tblCellMar>
                  <w:top w:w="0" w:type="dxa"/>
                  <w:left w:w="108" w:type="dxa"/>
                  <w:bottom w:w="0" w:type="dxa"/>
                  <w:right w:w="108" w:type="dxa"/>
                </w:tblCellMar>
              </w:tblPrEx>
              <w:trPr>
                <w:trHeight w:val="368"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55CF51E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41559C8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370AEE1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其他</w:t>
                  </w:r>
                  <w:r>
                    <w:rPr>
                      <w:rFonts w:hint="eastAsia" w:ascii="宋体" w:hAnsi="宋体" w:eastAsia="宋体" w:cs="宋体"/>
                      <w:color w:val="000000"/>
                      <w:kern w:val="0"/>
                      <w:sz w:val="22"/>
                      <w:szCs w:val="22"/>
                    </w:rPr>
                    <w:t>数据</w:t>
                  </w:r>
                </w:p>
              </w:tc>
              <w:tc>
                <w:tcPr>
                  <w:tcW w:w="4017" w:type="dxa"/>
                  <w:tcBorders>
                    <w:top w:val="nil"/>
                    <w:left w:val="nil"/>
                    <w:bottom w:val="single" w:color="auto" w:sz="4" w:space="0"/>
                    <w:right w:val="single" w:color="auto" w:sz="4" w:space="0"/>
                  </w:tcBorders>
                  <w:shd w:val="clear" w:color="auto" w:fill="auto"/>
                  <w:vAlign w:val="center"/>
                </w:tcPr>
                <w:p w14:paraId="3DDD533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系统前端设备应能够存储≥7天的</w:t>
                  </w:r>
                  <w:r>
                    <w:rPr>
                      <w:rFonts w:hint="eastAsia" w:ascii="宋体" w:hAnsi="宋体" w:eastAsia="宋体" w:cs="宋体"/>
                      <w:color w:val="000000"/>
                      <w:kern w:val="0"/>
                      <w:sz w:val="22"/>
                      <w:szCs w:val="22"/>
                      <w:lang w:eastAsia="zh-CN"/>
                    </w:rPr>
                    <w:t>其他</w:t>
                  </w:r>
                  <w:r>
                    <w:rPr>
                      <w:rFonts w:hint="eastAsia" w:ascii="宋体" w:hAnsi="宋体" w:eastAsia="宋体" w:cs="宋体"/>
                      <w:color w:val="000000"/>
                      <w:kern w:val="0"/>
                      <w:sz w:val="22"/>
                      <w:szCs w:val="22"/>
                    </w:rPr>
                    <w:t>信息数据</w:t>
                  </w:r>
                  <w:r>
                    <w:rPr>
                      <w:rFonts w:hint="eastAsia" w:ascii="宋体" w:hAnsi="宋体" w:eastAsia="宋体" w:cs="宋体"/>
                      <w:color w:val="000000"/>
                      <w:kern w:val="0"/>
                      <w:sz w:val="22"/>
                      <w:szCs w:val="22"/>
                      <w:lang w:eastAsia="zh-CN"/>
                    </w:rPr>
                    <w:t>。</w:t>
                  </w:r>
                </w:p>
              </w:tc>
            </w:tr>
            <w:tr w14:paraId="197B25C0">
              <w:tblPrEx>
                <w:tblCellMar>
                  <w:top w:w="0" w:type="dxa"/>
                  <w:left w:w="108" w:type="dxa"/>
                  <w:bottom w:w="0" w:type="dxa"/>
                  <w:right w:w="108" w:type="dxa"/>
                </w:tblCellMar>
              </w:tblPrEx>
              <w:trPr>
                <w:trHeight w:val="368"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530D1C9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65A8B19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3157708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中心存储</w:t>
                  </w:r>
                </w:p>
              </w:tc>
              <w:tc>
                <w:tcPr>
                  <w:tcW w:w="4017" w:type="dxa"/>
                  <w:tcBorders>
                    <w:top w:val="nil"/>
                    <w:left w:val="nil"/>
                    <w:bottom w:val="single" w:color="auto" w:sz="4" w:space="0"/>
                    <w:right w:val="single" w:color="auto" w:sz="4" w:space="0"/>
                  </w:tcBorders>
                  <w:shd w:val="clear" w:color="auto" w:fill="auto"/>
                  <w:vAlign w:val="center"/>
                </w:tcPr>
                <w:p w14:paraId="6673F647">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后端设备应能够存储≥3个月的信息数据</w:t>
                  </w:r>
                  <w:r>
                    <w:rPr>
                      <w:rFonts w:hint="eastAsia" w:ascii="宋体" w:hAnsi="宋体" w:eastAsia="宋体" w:cs="宋体"/>
                      <w:color w:val="000000"/>
                      <w:kern w:val="0"/>
                      <w:sz w:val="22"/>
                      <w:szCs w:val="22"/>
                      <w:lang w:eastAsia="zh-CN"/>
                    </w:rPr>
                    <w:t>。</w:t>
                  </w:r>
                </w:p>
              </w:tc>
            </w:tr>
            <w:tr w14:paraId="0A7AECEF">
              <w:tblPrEx>
                <w:tblCellMar>
                  <w:top w:w="0" w:type="dxa"/>
                  <w:left w:w="108" w:type="dxa"/>
                  <w:bottom w:w="0" w:type="dxa"/>
                  <w:right w:w="108" w:type="dxa"/>
                </w:tblCellMar>
              </w:tblPrEx>
              <w:trPr>
                <w:trHeight w:val="368"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5618FAD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1EF1AEF0">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468C179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接入协议</w:t>
                  </w:r>
                </w:p>
              </w:tc>
              <w:tc>
                <w:tcPr>
                  <w:tcW w:w="4017" w:type="dxa"/>
                  <w:tcBorders>
                    <w:top w:val="nil"/>
                    <w:left w:val="nil"/>
                    <w:bottom w:val="single" w:color="auto" w:sz="4" w:space="0"/>
                    <w:right w:val="single" w:color="auto" w:sz="4" w:space="0"/>
                  </w:tcBorders>
                  <w:shd w:val="clear" w:color="auto" w:fill="auto"/>
                  <w:vAlign w:val="center"/>
                </w:tcPr>
                <w:p w14:paraId="26C20985">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须符合GA/T 1400</w:t>
                  </w:r>
                  <w:r>
                    <w:rPr>
                      <w:rFonts w:hint="eastAsia" w:ascii="宋体" w:hAnsi="宋体" w:eastAsia="宋体" w:cs="宋体"/>
                      <w:color w:val="000000"/>
                      <w:kern w:val="0"/>
                      <w:sz w:val="22"/>
                      <w:szCs w:val="22"/>
                      <w:lang w:val="en-US" w:eastAsia="zh-CN"/>
                    </w:rPr>
                    <w:t>要求</w:t>
                  </w:r>
                  <w:r>
                    <w:rPr>
                      <w:rFonts w:hint="eastAsia" w:ascii="宋体" w:hAnsi="宋体" w:eastAsia="宋体" w:cs="宋体"/>
                      <w:color w:val="000000"/>
                      <w:kern w:val="0"/>
                      <w:sz w:val="22"/>
                      <w:szCs w:val="22"/>
                      <w:lang w:eastAsia="zh-CN"/>
                    </w:rPr>
                    <w:t>。</w:t>
                  </w:r>
                </w:p>
              </w:tc>
            </w:tr>
            <w:tr w14:paraId="2A1322BB">
              <w:tblPrEx>
                <w:tblCellMar>
                  <w:top w:w="0" w:type="dxa"/>
                  <w:left w:w="108" w:type="dxa"/>
                  <w:bottom w:w="0" w:type="dxa"/>
                  <w:right w:w="108" w:type="dxa"/>
                </w:tblCellMar>
              </w:tblPrEx>
              <w:trPr>
                <w:trHeight w:val="727" w:hRule="atLeast"/>
                <w:jc w:val="center"/>
              </w:trPr>
              <w:tc>
                <w:tcPr>
                  <w:tcW w:w="852" w:type="dxa"/>
                  <w:vMerge w:val="restart"/>
                  <w:tcBorders>
                    <w:top w:val="nil"/>
                    <w:left w:val="single" w:color="auto" w:sz="4" w:space="0"/>
                    <w:bottom w:val="single" w:color="000000" w:sz="4" w:space="0"/>
                    <w:right w:val="single" w:color="auto" w:sz="4" w:space="0"/>
                  </w:tcBorders>
                  <w:shd w:val="clear" w:color="auto" w:fill="auto"/>
                  <w:vAlign w:val="center"/>
                </w:tcPr>
                <w:p w14:paraId="58357020">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1031" w:type="dxa"/>
                  <w:vMerge w:val="restart"/>
                  <w:tcBorders>
                    <w:top w:val="nil"/>
                    <w:left w:val="single" w:color="auto" w:sz="4" w:space="0"/>
                    <w:bottom w:val="single" w:color="000000" w:sz="4" w:space="0"/>
                    <w:right w:val="single" w:color="auto" w:sz="4" w:space="0"/>
                  </w:tcBorders>
                  <w:shd w:val="clear" w:color="auto" w:fill="auto"/>
                  <w:vAlign w:val="center"/>
                </w:tcPr>
                <w:p w14:paraId="6882ACA5">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安全可靠性要求</w:t>
                  </w:r>
                </w:p>
              </w:tc>
              <w:tc>
                <w:tcPr>
                  <w:tcW w:w="1758" w:type="dxa"/>
                  <w:tcBorders>
                    <w:top w:val="nil"/>
                    <w:left w:val="nil"/>
                    <w:bottom w:val="single" w:color="auto" w:sz="4" w:space="0"/>
                    <w:right w:val="single" w:color="auto" w:sz="4" w:space="0"/>
                  </w:tcBorders>
                  <w:shd w:val="clear" w:color="auto" w:fill="auto"/>
                  <w:vAlign w:val="center"/>
                </w:tcPr>
                <w:p w14:paraId="4B7727B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工作电源</w:t>
                  </w:r>
                </w:p>
              </w:tc>
              <w:tc>
                <w:tcPr>
                  <w:tcW w:w="4017" w:type="dxa"/>
                  <w:tcBorders>
                    <w:top w:val="nil"/>
                    <w:left w:val="nil"/>
                    <w:bottom w:val="single" w:color="auto" w:sz="4" w:space="0"/>
                    <w:right w:val="single" w:color="auto" w:sz="4" w:space="0"/>
                  </w:tcBorders>
                  <w:shd w:val="clear" w:color="auto" w:fill="auto"/>
                  <w:vAlign w:val="center"/>
                </w:tcPr>
                <w:p w14:paraId="63EFA1A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220VAC±10%，50Hz±2Hz；应具备稳压、过载、短路、漏电保护功能的开关；应</w:t>
                  </w:r>
                  <w:r>
                    <w:rPr>
                      <w:rFonts w:hint="eastAsia" w:ascii="宋体" w:hAnsi="宋体" w:eastAsia="宋体" w:cs="宋体"/>
                      <w:color w:val="000000"/>
                      <w:kern w:val="0"/>
                      <w:sz w:val="22"/>
                      <w:szCs w:val="22"/>
                      <w:lang w:val="en-US" w:eastAsia="zh-CN"/>
                    </w:rPr>
                    <w:t>具备</w:t>
                  </w:r>
                  <w:r>
                    <w:rPr>
                      <w:rFonts w:hint="eastAsia" w:ascii="宋体" w:hAnsi="宋体" w:eastAsia="宋体" w:cs="宋体"/>
                      <w:color w:val="000000"/>
                      <w:kern w:val="0"/>
                      <w:sz w:val="22"/>
                      <w:szCs w:val="22"/>
                    </w:rPr>
                    <w:t>有效防雷措施</w:t>
                  </w:r>
                  <w:r>
                    <w:rPr>
                      <w:rFonts w:hint="eastAsia" w:ascii="宋体" w:hAnsi="宋体" w:eastAsia="宋体" w:cs="宋体"/>
                      <w:color w:val="000000"/>
                      <w:kern w:val="0"/>
                      <w:sz w:val="22"/>
                      <w:szCs w:val="22"/>
                      <w:lang w:eastAsia="zh-CN"/>
                    </w:rPr>
                    <w:t>。</w:t>
                  </w:r>
                </w:p>
              </w:tc>
            </w:tr>
            <w:tr w14:paraId="1E84E66D">
              <w:tblPrEx>
                <w:tblCellMar>
                  <w:top w:w="0" w:type="dxa"/>
                  <w:left w:w="108" w:type="dxa"/>
                  <w:bottom w:w="0" w:type="dxa"/>
                  <w:right w:w="108" w:type="dxa"/>
                </w:tblCellMar>
              </w:tblPrEx>
              <w:trPr>
                <w:trHeight w:val="368"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270E734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02DCDFB8">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5A17E2C8">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工作温度</w:t>
                  </w:r>
                </w:p>
              </w:tc>
              <w:tc>
                <w:tcPr>
                  <w:tcW w:w="4017" w:type="dxa"/>
                  <w:tcBorders>
                    <w:top w:val="nil"/>
                    <w:left w:val="nil"/>
                    <w:bottom w:val="single" w:color="auto" w:sz="4" w:space="0"/>
                    <w:right w:val="single" w:color="auto" w:sz="4" w:space="0"/>
                  </w:tcBorders>
                  <w:shd w:val="clear" w:color="auto" w:fill="auto"/>
                  <w:vAlign w:val="center"/>
                </w:tcPr>
                <w:p w14:paraId="2560235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-20℃～+70℃</w:t>
                  </w:r>
                  <w:r>
                    <w:rPr>
                      <w:rFonts w:hint="eastAsia" w:ascii="宋体" w:hAnsi="宋体" w:eastAsia="宋体" w:cs="宋体"/>
                      <w:color w:val="000000"/>
                      <w:kern w:val="0"/>
                      <w:sz w:val="22"/>
                      <w:szCs w:val="22"/>
                      <w:lang w:eastAsia="zh-CN"/>
                    </w:rPr>
                    <w:t>。</w:t>
                  </w:r>
                </w:p>
              </w:tc>
            </w:tr>
            <w:tr w14:paraId="20EDFD11">
              <w:tblPrEx>
                <w:tblCellMar>
                  <w:top w:w="0" w:type="dxa"/>
                  <w:left w:w="108" w:type="dxa"/>
                  <w:bottom w:w="0" w:type="dxa"/>
                  <w:right w:w="108" w:type="dxa"/>
                </w:tblCellMar>
              </w:tblPrEx>
              <w:trPr>
                <w:trHeight w:val="368"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0E1B7387">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26474AB5">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0972F42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工作相对湿度</w:t>
                  </w:r>
                </w:p>
              </w:tc>
              <w:tc>
                <w:tcPr>
                  <w:tcW w:w="4017" w:type="dxa"/>
                  <w:tcBorders>
                    <w:top w:val="nil"/>
                    <w:left w:val="nil"/>
                    <w:bottom w:val="single" w:color="auto" w:sz="4" w:space="0"/>
                    <w:right w:val="single" w:color="auto" w:sz="4" w:space="0"/>
                  </w:tcBorders>
                  <w:shd w:val="clear" w:color="auto" w:fill="auto"/>
                  <w:vAlign w:val="center"/>
                </w:tcPr>
                <w:p w14:paraId="65C7A82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10%～95%（非凝结）</w:t>
                  </w:r>
                  <w:r>
                    <w:rPr>
                      <w:rFonts w:hint="eastAsia" w:ascii="宋体" w:hAnsi="宋体" w:eastAsia="宋体" w:cs="宋体"/>
                      <w:color w:val="000000"/>
                      <w:kern w:val="0"/>
                      <w:sz w:val="22"/>
                      <w:szCs w:val="22"/>
                      <w:lang w:eastAsia="zh-CN"/>
                    </w:rPr>
                    <w:t>。</w:t>
                  </w:r>
                </w:p>
              </w:tc>
            </w:tr>
            <w:tr w14:paraId="6A02AD1A">
              <w:tblPrEx>
                <w:tblCellMar>
                  <w:top w:w="0" w:type="dxa"/>
                  <w:left w:w="108" w:type="dxa"/>
                  <w:bottom w:w="0" w:type="dxa"/>
                  <w:right w:w="108" w:type="dxa"/>
                </w:tblCellMar>
              </w:tblPrEx>
              <w:trPr>
                <w:trHeight w:val="727"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3EC17E9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6C64DA4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66B82435">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平均无故障连续工作时间</w:t>
                  </w:r>
                </w:p>
              </w:tc>
              <w:tc>
                <w:tcPr>
                  <w:tcW w:w="4017" w:type="dxa"/>
                  <w:tcBorders>
                    <w:top w:val="nil"/>
                    <w:left w:val="nil"/>
                    <w:bottom w:val="single" w:color="auto" w:sz="4" w:space="0"/>
                    <w:right w:val="single" w:color="auto" w:sz="4" w:space="0"/>
                  </w:tcBorders>
                  <w:shd w:val="clear" w:color="auto" w:fill="auto"/>
                  <w:vAlign w:val="center"/>
                </w:tcPr>
                <w:p w14:paraId="1D80334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50000小时以上(MTBF)</w:t>
                  </w:r>
                  <w:r>
                    <w:rPr>
                      <w:rFonts w:hint="eastAsia" w:ascii="宋体" w:hAnsi="宋体" w:eastAsia="宋体" w:cs="宋体"/>
                      <w:color w:val="000000"/>
                      <w:kern w:val="0"/>
                      <w:sz w:val="22"/>
                      <w:szCs w:val="22"/>
                      <w:lang w:eastAsia="zh-CN"/>
                    </w:rPr>
                    <w:t>。</w:t>
                  </w:r>
                </w:p>
              </w:tc>
            </w:tr>
            <w:tr w14:paraId="435545AF">
              <w:tblPrEx>
                <w:tblCellMar>
                  <w:top w:w="0" w:type="dxa"/>
                  <w:left w:w="108" w:type="dxa"/>
                  <w:bottom w:w="0" w:type="dxa"/>
                  <w:right w:w="108" w:type="dxa"/>
                </w:tblCellMar>
              </w:tblPrEx>
              <w:trPr>
                <w:trHeight w:val="368"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66040F2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1E68517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2B766DA0">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抗电</w:t>
                  </w:r>
                </w:p>
              </w:tc>
              <w:tc>
                <w:tcPr>
                  <w:tcW w:w="4017" w:type="dxa"/>
                  <w:tcBorders>
                    <w:top w:val="nil"/>
                    <w:left w:val="nil"/>
                    <w:bottom w:val="single" w:color="auto" w:sz="4" w:space="0"/>
                    <w:right w:val="single" w:color="auto" w:sz="4" w:space="0"/>
                  </w:tcBorders>
                  <w:shd w:val="clear" w:color="auto" w:fill="auto"/>
                  <w:vAlign w:val="center"/>
                </w:tcPr>
                <w:p w14:paraId="29752EB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1500VDC，1分钟</w:t>
                  </w:r>
                  <w:r>
                    <w:rPr>
                      <w:rFonts w:hint="eastAsia" w:ascii="宋体" w:hAnsi="宋体" w:eastAsia="宋体" w:cs="宋体"/>
                      <w:color w:val="000000"/>
                      <w:kern w:val="0"/>
                      <w:sz w:val="22"/>
                      <w:szCs w:val="22"/>
                      <w:lang w:eastAsia="zh-CN"/>
                    </w:rPr>
                    <w:t>。</w:t>
                  </w:r>
                </w:p>
              </w:tc>
            </w:tr>
            <w:tr w14:paraId="1892842F">
              <w:tblPrEx>
                <w:tblCellMar>
                  <w:top w:w="0" w:type="dxa"/>
                  <w:left w:w="108" w:type="dxa"/>
                  <w:bottom w:w="0" w:type="dxa"/>
                  <w:right w:w="108" w:type="dxa"/>
                </w:tblCellMar>
              </w:tblPrEx>
              <w:trPr>
                <w:trHeight w:val="368"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5E0772F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69B4B3E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26AD8BD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绝缘</w:t>
                  </w:r>
                </w:p>
              </w:tc>
              <w:tc>
                <w:tcPr>
                  <w:tcW w:w="4017" w:type="dxa"/>
                  <w:tcBorders>
                    <w:top w:val="nil"/>
                    <w:left w:val="nil"/>
                    <w:bottom w:val="single" w:color="auto" w:sz="4" w:space="0"/>
                    <w:right w:val="single" w:color="auto" w:sz="4" w:space="0"/>
                  </w:tcBorders>
                  <w:shd w:val="clear" w:color="auto" w:fill="auto"/>
                  <w:vAlign w:val="center"/>
                </w:tcPr>
                <w:p w14:paraId="49E6B5D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&gt;10MΩ(常温下)</w:t>
                  </w:r>
                  <w:r>
                    <w:rPr>
                      <w:rFonts w:hint="eastAsia" w:ascii="宋体" w:hAnsi="宋体" w:eastAsia="宋体" w:cs="宋体"/>
                      <w:color w:val="000000"/>
                      <w:kern w:val="0"/>
                      <w:sz w:val="22"/>
                      <w:szCs w:val="22"/>
                      <w:lang w:eastAsia="zh-CN"/>
                    </w:rPr>
                    <w:t>。</w:t>
                  </w:r>
                </w:p>
              </w:tc>
            </w:tr>
            <w:tr w14:paraId="7B4E1905">
              <w:tblPrEx>
                <w:tblCellMar>
                  <w:top w:w="0" w:type="dxa"/>
                  <w:left w:w="108" w:type="dxa"/>
                  <w:bottom w:w="0" w:type="dxa"/>
                  <w:right w:w="108" w:type="dxa"/>
                </w:tblCellMar>
              </w:tblPrEx>
              <w:trPr>
                <w:trHeight w:val="368"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0EE2B1F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5B385E9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7FF0952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接地</w:t>
                  </w:r>
                </w:p>
              </w:tc>
              <w:tc>
                <w:tcPr>
                  <w:tcW w:w="4017" w:type="dxa"/>
                  <w:tcBorders>
                    <w:top w:val="nil"/>
                    <w:left w:val="nil"/>
                    <w:bottom w:val="single" w:color="auto" w:sz="4" w:space="0"/>
                    <w:right w:val="single" w:color="auto" w:sz="4" w:space="0"/>
                  </w:tcBorders>
                  <w:shd w:val="clear" w:color="auto" w:fill="auto"/>
                  <w:vAlign w:val="center"/>
                </w:tcPr>
                <w:p w14:paraId="5167C3C7">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接地电阻应小于4Ω</w:t>
                  </w:r>
                  <w:r>
                    <w:rPr>
                      <w:rFonts w:hint="eastAsia" w:ascii="宋体" w:hAnsi="宋体" w:eastAsia="宋体" w:cs="宋体"/>
                      <w:color w:val="000000"/>
                      <w:kern w:val="0"/>
                      <w:sz w:val="22"/>
                      <w:szCs w:val="22"/>
                      <w:lang w:eastAsia="zh-CN"/>
                    </w:rPr>
                    <w:t>。</w:t>
                  </w:r>
                </w:p>
              </w:tc>
            </w:tr>
            <w:tr w14:paraId="254F522D">
              <w:tblPrEx>
                <w:tblCellMar>
                  <w:top w:w="0" w:type="dxa"/>
                  <w:left w:w="108" w:type="dxa"/>
                  <w:bottom w:w="0" w:type="dxa"/>
                  <w:right w:w="108" w:type="dxa"/>
                </w:tblCellMar>
              </w:tblPrEx>
              <w:trPr>
                <w:trHeight w:val="727"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3F58259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7ACF4DE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29203C5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工作方式</w:t>
                  </w:r>
                </w:p>
              </w:tc>
              <w:tc>
                <w:tcPr>
                  <w:tcW w:w="4017" w:type="dxa"/>
                  <w:tcBorders>
                    <w:top w:val="nil"/>
                    <w:left w:val="nil"/>
                    <w:bottom w:val="single" w:color="auto" w:sz="4" w:space="0"/>
                    <w:right w:val="single" w:color="auto" w:sz="4" w:space="0"/>
                  </w:tcBorders>
                  <w:shd w:val="clear" w:color="auto" w:fill="auto"/>
                  <w:vAlign w:val="center"/>
                </w:tcPr>
                <w:p w14:paraId="1134385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24小时全天候工作，防雨、防尘、防雷和抗电磁干扰。</w:t>
                  </w:r>
                </w:p>
              </w:tc>
            </w:tr>
            <w:tr w14:paraId="785C4605">
              <w:tblPrEx>
                <w:tblCellMar>
                  <w:top w:w="0" w:type="dxa"/>
                  <w:left w:w="108" w:type="dxa"/>
                  <w:bottom w:w="0" w:type="dxa"/>
                  <w:right w:w="108" w:type="dxa"/>
                </w:tblCellMar>
              </w:tblPrEx>
              <w:trPr>
                <w:trHeight w:val="1085"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3D2EC4A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6D2B53C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5BF83ED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防暴防窃取</w:t>
                  </w:r>
                </w:p>
              </w:tc>
              <w:tc>
                <w:tcPr>
                  <w:tcW w:w="4017" w:type="dxa"/>
                  <w:tcBorders>
                    <w:top w:val="nil"/>
                    <w:left w:val="nil"/>
                    <w:bottom w:val="single" w:color="auto" w:sz="4" w:space="0"/>
                    <w:right w:val="single" w:color="auto" w:sz="4" w:space="0"/>
                  </w:tcBorders>
                  <w:shd w:val="clear" w:color="auto" w:fill="auto"/>
                  <w:vAlign w:val="center"/>
                </w:tcPr>
                <w:p w14:paraId="7420E388">
                  <w:pPr>
                    <w:pageBreakBefore w:val="0"/>
                    <w:widowControl/>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应采用防护等级IP66</w:t>
                  </w:r>
                  <w:r>
                    <w:rPr>
                      <w:rFonts w:hint="eastAsia" w:ascii="宋体" w:hAnsi="宋体" w:eastAsia="宋体" w:cs="宋体"/>
                      <w:color w:val="000000"/>
                      <w:kern w:val="0"/>
                      <w:sz w:val="22"/>
                      <w:szCs w:val="22"/>
                      <w:lang w:val="en-US" w:eastAsia="zh-CN"/>
                    </w:rPr>
                    <w:t>及</w:t>
                  </w:r>
                  <w:r>
                    <w:rPr>
                      <w:rFonts w:hint="eastAsia" w:ascii="宋体" w:hAnsi="宋体" w:eastAsia="宋体" w:cs="宋体"/>
                      <w:color w:val="000000"/>
                      <w:kern w:val="0"/>
                      <w:sz w:val="22"/>
                      <w:szCs w:val="22"/>
                    </w:rPr>
                    <w:t>以上</w:t>
                  </w:r>
                  <w:r>
                    <w:rPr>
                      <w:rFonts w:hint="eastAsia" w:ascii="宋体" w:hAnsi="宋体" w:eastAsia="宋体" w:cs="宋体"/>
                      <w:color w:val="000000"/>
                      <w:kern w:val="0"/>
                      <w:sz w:val="22"/>
                      <w:szCs w:val="22"/>
                      <w:lang w:val="en-US" w:eastAsia="zh-CN"/>
                    </w:rPr>
                    <w:t>的</w:t>
                  </w:r>
                  <w:r>
                    <w:rPr>
                      <w:rFonts w:hint="eastAsia" w:ascii="宋体" w:hAnsi="宋体" w:eastAsia="宋体" w:cs="宋体"/>
                      <w:color w:val="000000"/>
                      <w:kern w:val="0"/>
                      <w:sz w:val="22"/>
                      <w:szCs w:val="22"/>
                    </w:rPr>
                    <w:t>特制机箱，能有效防止暴力破坏。机箱应具有防盗报警功能，当机箱受到外力破坏时，前端监控球机</w:t>
                  </w:r>
                  <w:r>
                    <w:rPr>
                      <w:rFonts w:hint="eastAsia" w:ascii="宋体" w:hAnsi="宋体" w:eastAsia="宋体" w:cs="宋体"/>
                      <w:color w:val="000000"/>
                      <w:kern w:val="0"/>
                      <w:sz w:val="22"/>
                      <w:szCs w:val="22"/>
                      <w:lang w:val="en-US" w:eastAsia="zh-CN"/>
                    </w:rPr>
                    <w:t>可</w:t>
                  </w:r>
                  <w:r>
                    <w:rPr>
                      <w:rFonts w:hint="eastAsia" w:ascii="宋体" w:hAnsi="宋体" w:eastAsia="宋体" w:cs="宋体"/>
                      <w:color w:val="000000"/>
                      <w:kern w:val="0"/>
                      <w:sz w:val="22"/>
                      <w:szCs w:val="22"/>
                    </w:rPr>
                    <w:t>进行视频录像。</w:t>
                  </w:r>
                </w:p>
              </w:tc>
            </w:tr>
            <w:tr w14:paraId="5FC331EC">
              <w:tblPrEx>
                <w:tblCellMar>
                  <w:top w:w="0" w:type="dxa"/>
                  <w:left w:w="108" w:type="dxa"/>
                  <w:bottom w:w="0" w:type="dxa"/>
                  <w:right w:w="108" w:type="dxa"/>
                </w:tblCellMar>
              </w:tblPrEx>
              <w:trPr>
                <w:trHeight w:val="378" w:hRule="atLeast"/>
                <w:jc w:val="center"/>
              </w:trPr>
              <w:tc>
                <w:tcPr>
                  <w:tcW w:w="852" w:type="dxa"/>
                  <w:vMerge w:val="continue"/>
                  <w:tcBorders>
                    <w:top w:val="nil"/>
                    <w:left w:val="single" w:color="auto" w:sz="4" w:space="0"/>
                    <w:bottom w:val="single" w:color="000000" w:sz="4" w:space="0"/>
                    <w:right w:val="single" w:color="auto" w:sz="4" w:space="0"/>
                  </w:tcBorders>
                  <w:vAlign w:val="center"/>
                </w:tcPr>
                <w:p w14:paraId="76D3B7B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031" w:type="dxa"/>
                  <w:vMerge w:val="continue"/>
                  <w:tcBorders>
                    <w:top w:val="nil"/>
                    <w:left w:val="single" w:color="auto" w:sz="4" w:space="0"/>
                    <w:bottom w:val="single" w:color="000000" w:sz="4" w:space="0"/>
                    <w:right w:val="single" w:color="auto" w:sz="4" w:space="0"/>
                  </w:tcBorders>
                  <w:vAlign w:val="center"/>
                </w:tcPr>
                <w:p w14:paraId="1357FDD7">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758" w:type="dxa"/>
                  <w:tcBorders>
                    <w:top w:val="nil"/>
                    <w:left w:val="nil"/>
                    <w:bottom w:val="single" w:color="auto" w:sz="4" w:space="0"/>
                    <w:right w:val="single" w:color="auto" w:sz="4" w:space="0"/>
                  </w:tcBorders>
                  <w:shd w:val="clear" w:color="auto" w:fill="auto"/>
                  <w:vAlign w:val="center"/>
                </w:tcPr>
                <w:p w14:paraId="74AABEE5">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防护等级</w:t>
                  </w:r>
                </w:p>
              </w:tc>
              <w:tc>
                <w:tcPr>
                  <w:tcW w:w="4017" w:type="dxa"/>
                  <w:tcBorders>
                    <w:top w:val="nil"/>
                    <w:left w:val="nil"/>
                    <w:bottom w:val="single" w:color="auto" w:sz="4" w:space="0"/>
                    <w:right w:val="single" w:color="auto" w:sz="4" w:space="0"/>
                  </w:tcBorders>
                  <w:shd w:val="clear" w:color="auto" w:fill="auto"/>
                  <w:vAlign w:val="center"/>
                </w:tcPr>
                <w:p w14:paraId="3A3C449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w:t>
                  </w:r>
                  <w:r>
                    <w:rPr>
                      <w:rFonts w:hint="eastAsia" w:ascii="宋体" w:hAnsi="宋体" w:eastAsia="宋体" w:cs="宋体"/>
                      <w:color w:val="000000"/>
                      <w:kern w:val="0"/>
                      <w:sz w:val="22"/>
                      <w:szCs w:val="22"/>
                    </w:rPr>
                    <w:t>IP66</w:t>
                  </w:r>
                  <w:r>
                    <w:rPr>
                      <w:rFonts w:hint="eastAsia" w:ascii="宋体" w:hAnsi="宋体" w:eastAsia="宋体" w:cs="宋体"/>
                      <w:color w:val="000000"/>
                      <w:kern w:val="0"/>
                      <w:sz w:val="22"/>
                      <w:szCs w:val="22"/>
                      <w:lang w:eastAsia="zh-CN"/>
                    </w:rPr>
                    <w:t>。</w:t>
                  </w:r>
                </w:p>
              </w:tc>
            </w:tr>
          </w:tbl>
          <w:p w14:paraId="26DF15E9">
            <w:pPr>
              <w:pStyle w:val="2"/>
              <w:rPr>
                <w:rFonts w:hint="eastAsia"/>
              </w:rPr>
            </w:pPr>
          </w:p>
        </w:tc>
        <w:tc>
          <w:tcPr>
            <w:tcW w:w="1208" w:type="dxa"/>
          </w:tcPr>
          <w:p w14:paraId="600B6FA5">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4AC89954">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13DACC0A">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5CFFD5D0">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5B7024FB">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774E3F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530" w:type="dxa"/>
            <w:vAlign w:val="center"/>
          </w:tcPr>
          <w:p w14:paraId="649CE8C3">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val="0"/>
                <w:bCs w:val="0"/>
                <w:color w:val="auto"/>
                <w:sz w:val="22"/>
                <w:szCs w:val="22"/>
                <w:highlight w:val="none"/>
                <w:lang w:val="en-US"/>
              </w:rPr>
            </w:pPr>
            <w:r>
              <w:rPr>
                <w:rFonts w:hint="eastAsia" w:ascii="宋体" w:hAnsi="宋体" w:eastAsia="宋体" w:cs="宋体"/>
                <w:i w:val="0"/>
                <w:iCs w:val="0"/>
                <w:color w:val="auto"/>
                <w:kern w:val="0"/>
                <w:sz w:val="22"/>
                <w:szCs w:val="22"/>
                <w:highlight w:val="none"/>
                <w:u w:val="none"/>
                <w:lang w:val="en-US" w:eastAsia="zh-CN" w:bidi="ar"/>
              </w:rPr>
              <w:t>8</w:t>
            </w:r>
          </w:p>
        </w:tc>
        <w:tc>
          <w:tcPr>
            <w:tcW w:w="660" w:type="dxa"/>
          </w:tcPr>
          <w:p w14:paraId="63280690">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0FE14DDA">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3445277C">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5.2</w:t>
            </w:r>
            <w:r>
              <w:rPr>
                <w:rFonts w:hint="eastAsia" w:ascii="宋体" w:hAnsi="宋体" w:eastAsia="宋体" w:cs="宋体"/>
                <w:b/>
                <w:bCs/>
                <w:sz w:val="22"/>
                <w:szCs w:val="22"/>
              </w:rPr>
              <w:t>反向卡口抓拍摄像机技术指标要求</w:t>
            </w:r>
          </w:p>
          <w:tbl>
            <w:tblPr>
              <w:tblStyle w:val="18"/>
              <w:tblW w:w="0" w:type="auto"/>
              <w:jc w:val="center"/>
              <w:tblLayout w:type="fixed"/>
              <w:tblCellMar>
                <w:top w:w="0" w:type="dxa"/>
                <w:left w:w="108" w:type="dxa"/>
                <w:bottom w:w="0" w:type="dxa"/>
                <w:right w:w="108" w:type="dxa"/>
              </w:tblCellMar>
            </w:tblPr>
            <w:tblGrid>
              <w:gridCol w:w="807"/>
              <w:gridCol w:w="994"/>
              <w:gridCol w:w="1838"/>
              <w:gridCol w:w="3977"/>
            </w:tblGrid>
            <w:tr w14:paraId="7AEE5293">
              <w:tblPrEx>
                <w:tblCellMar>
                  <w:top w:w="0" w:type="dxa"/>
                  <w:left w:w="108" w:type="dxa"/>
                  <w:bottom w:w="0" w:type="dxa"/>
                  <w:right w:w="108" w:type="dxa"/>
                </w:tblCellMar>
              </w:tblPrEx>
              <w:trPr>
                <w:trHeight w:val="450" w:hRule="atLeast"/>
                <w:tblHeader/>
                <w:jc w:val="center"/>
              </w:trPr>
              <w:tc>
                <w:tcPr>
                  <w:tcW w:w="807" w:type="dxa"/>
                  <w:tcBorders>
                    <w:top w:val="single" w:color="auto" w:sz="4" w:space="0"/>
                    <w:left w:val="single" w:color="auto" w:sz="4" w:space="0"/>
                    <w:bottom w:val="single" w:color="auto" w:sz="4" w:space="0"/>
                    <w:right w:val="single" w:color="auto" w:sz="4" w:space="0"/>
                  </w:tcBorders>
                  <w:shd w:val="clear" w:color="000000" w:fill="D7D7D7"/>
                  <w:vAlign w:val="center"/>
                </w:tcPr>
                <w:p w14:paraId="2E134931">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序号</w:t>
                  </w:r>
                </w:p>
              </w:tc>
              <w:tc>
                <w:tcPr>
                  <w:tcW w:w="2832" w:type="dxa"/>
                  <w:gridSpan w:val="2"/>
                  <w:tcBorders>
                    <w:top w:val="single" w:color="auto" w:sz="4" w:space="0"/>
                    <w:left w:val="nil"/>
                    <w:bottom w:val="single" w:color="auto" w:sz="4" w:space="0"/>
                    <w:right w:val="single" w:color="auto" w:sz="4" w:space="0"/>
                  </w:tcBorders>
                  <w:shd w:val="clear" w:color="000000" w:fill="D7D7D7"/>
                  <w:vAlign w:val="center"/>
                </w:tcPr>
                <w:p w14:paraId="50AAC16C">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指标项</w:t>
                  </w:r>
                </w:p>
              </w:tc>
              <w:tc>
                <w:tcPr>
                  <w:tcW w:w="3977" w:type="dxa"/>
                  <w:tcBorders>
                    <w:top w:val="single" w:color="auto" w:sz="4" w:space="0"/>
                    <w:left w:val="nil"/>
                    <w:bottom w:val="single" w:color="auto" w:sz="4" w:space="0"/>
                    <w:right w:val="single" w:color="auto" w:sz="4" w:space="0"/>
                  </w:tcBorders>
                  <w:shd w:val="clear" w:color="000000" w:fill="D7D7D7"/>
                  <w:vAlign w:val="center"/>
                </w:tcPr>
                <w:p w14:paraId="57DCF1D1">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参数及要求</w:t>
                  </w:r>
                </w:p>
              </w:tc>
            </w:tr>
            <w:tr w14:paraId="06E6F80E">
              <w:tblPrEx>
                <w:tblCellMar>
                  <w:top w:w="0" w:type="dxa"/>
                  <w:left w:w="108" w:type="dxa"/>
                  <w:bottom w:w="0" w:type="dxa"/>
                  <w:right w:w="108" w:type="dxa"/>
                </w:tblCellMar>
              </w:tblPrEx>
              <w:trPr>
                <w:trHeight w:val="367" w:hRule="atLeast"/>
                <w:jc w:val="center"/>
              </w:trPr>
              <w:tc>
                <w:tcPr>
                  <w:tcW w:w="807" w:type="dxa"/>
                  <w:vMerge w:val="restart"/>
                  <w:tcBorders>
                    <w:top w:val="nil"/>
                    <w:left w:val="single" w:color="auto" w:sz="4" w:space="0"/>
                    <w:bottom w:val="single" w:color="auto" w:sz="4" w:space="0"/>
                    <w:right w:val="single" w:color="auto" w:sz="4" w:space="0"/>
                  </w:tcBorders>
                  <w:shd w:val="clear" w:color="auto" w:fill="auto"/>
                  <w:vAlign w:val="center"/>
                </w:tcPr>
                <w:p w14:paraId="11E408BA">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994" w:type="dxa"/>
                  <w:vMerge w:val="restart"/>
                  <w:tcBorders>
                    <w:top w:val="nil"/>
                    <w:left w:val="single" w:color="auto" w:sz="4" w:space="0"/>
                    <w:bottom w:val="single" w:color="auto" w:sz="4" w:space="0"/>
                    <w:right w:val="single" w:color="auto" w:sz="4" w:space="0"/>
                  </w:tcBorders>
                  <w:shd w:val="clear" w:color="auto" w:fill="auto"/>
                  <w:vAlign w:val="center"/>
                </w:tcPr>
                <w:p w14:paraId="02ACF80B">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检测要求</w:t>
                  </w:r>
                </w:p>
              </w:tc>
              <w:tc>
                <w:tcPr>
                  <w:tcW w:w="1838" w:type="dxa"/>
                  <w:tcBorders>
                    <w:top w:val="nil"/>
                    <w:left w:val="nil"/>
                    <w:bottom w:val="single" w:color="auto" w:sz="4" w:space="0"/>
                    <w:right w:val="single" w:color="auto" w:sz="4" w:space="0"/>
                  </w:tcBorders>
                  <w:shd w:val="clear" w:color="auto" w:fill="auto"/>
                  <w:vAlign w:val="center"/>
                </w:tcPr>
                <w:p w14:paraId="583522F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车辆检测方式</w:t>
                  </w:r>
                </w:p>
              </w:tc>
              <w:tc>
                <w:tcPr>
                  <w:tcW w:w="3977" w:type="dxa"/>
                  <w:tcBorders>
                    <w:top w:val="nil"/>
                    <w:left w:val="nil"/>
                    <w:bottom w:val="single" w:color="auto" w:sz="4" w:space="0"/>
                    <w:right w:val="single" w:color="auto" w:sz="4" w:space="0"/>
                  </w:tcBorders>
                  <w:shd w:val="clear" w:color="auto" w:fill="auto"/>
                  <w:vAlign w:val="center"/>
                </w:tcPr>
                <w:p w14:paraId="72908EE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高清视频检测</w:t>
                  </w:r>
                  <w:r>
                    <w:rPr>
                      <w:rFonts w:hint="eastAsia" w:ascii="宋体" w:hAnsi="宋体" w:eastAsia="宋体" w:cs="宋体"/>
                      <w:color w:val="000000"/>
                      <w:kern w:val="0"/>
                      <w:sz w:val="22"/>
                      <w:szCs w:val="22"/>
                      <w:lang w:eastAsia="zh-CN"/>
                    </w:rPr>
                    <w:t>。</w:t>
                  </w:r>
                </w:p>
              </w:tc>
            </w:tr>
            <w:tr w14:paraId="6A00F35D">
              <w:tblPrEx>
                <w:tblCellMar>
                  <w:top w:w="0" w:type="dxa"/>
                  <w:left w:w="108" w:type="dxa"/>
                  <w:bottom w:w="0" w:type="dxa"/>
                  <w:right w:w="108" w:type="dxa"/>
                </w:tblCellMar>
              </w:tblPrEx>
              <w:trPr>
                <w:trHeight w:val="367" w:hRule="atLeast"/>
                <w:jc w:val="center"/>
              </w:trPr>
              <w:tc>
                <w:tcPr>
                  <w:tcW w:w="807" w:type="dxa"/>
                  <w:vMerge w:val="continue"/>
                  <w:tcBorders>
                    <w:top w:val="nil"/>
                    <w:left w:val="single" w:color="auto" w:sz="4" w:space="0"/>
                    <w:bottom w:val="single" w:color="auto" w:sz="4" w:space="0"/>
                    <w:right w:val="single" w:color="auto" w:sz="4" w:space="0"/>
                  </w:tcBorders>
                  <w:vAlign w:val="center"/>
                </w:tcPr>
                <w:p w14:paraId="19F945F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auto" w:sz="4" w:space="0"/>
                    <w:right w:val="single" w:color="auto" w:sz="4" w:space="0"/>
                  </w:tcBorders>
                  <w:vAlign w:val="center"/>
                </w:tcPr>
                <w:p w14:paraId="6D72B837">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0A4A180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车辆图像捕获率</w:t>
                  </w:r>
                </w:p>
              </w:tc>
              <w:tc>
                <w:tcPr>
                  <w:tcW w:w="3977" w:type="dxa"/>
                  <w:tcBorders>
                    <w:top w:val="nil"/>
                    <w:left w:val="nil"/>
                    <w:bottom w:val="single" w:color="auto" w:sz="4" w:space="0"/>
                    <w:right w:val="single" w:color="auto" w:sz="4" w:space="0"/>
                  </w:tcBorders>
                  <w:shd w:val="clear" w:color="auto" w:fill="auto"/>
                  <w:vAlign w:val="center"/>
                </w:tcPr>
                <w:p w14:paraId="49B20065">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≥99%</w:t>
                  </w:r>
                  <w:r>
                    <w:rPr>
                      <w:rFonts w:hint="eastAsia" w:ascii="宋体" w:hAnsi="宋体" w:eastAsia="宋体" w:cs="宋体"/>
                      <w:color w:val="000000"/>
                      <w:kern w:val="0"/>
                      <w:sz w:val="22"/>
                      <w:szCs w:val="22"/>
                      <w:lang w:eastAsia="zh-CN"/>
                    </w:rPr>
                    <w:t>。</w:t>
                  </w:r>
                </w:p>
              </w:tc>
            </w:tr>
            <w:tr w14:paraId="11E3850C">
              <w:tblPrEx>
                <w:tblCellMar>
                  <w:top w:w="0" w:type="dxa"/>
                  <w:left w:w="108" w:type="dxa"/>
                  <w:bottom w:w="0" w:type="dxa"/>
                  <w:right w:w="108" w:type="dxa"/>
                </w:tblCellMar>
              </w:tblPrEx>
              <w:trPr>
                <w:trHeight w:val="367" w:hRule="atLeast"/>
                <w:jc w:val="center"/>
              </w:trPr>
              <w:tc>
                <w:tcPr>
                  <w:tcW w:w="807" w:type="dxa"/>
                  <w:tcBorders>
                    <w:top w:val="nil"/>
                    <w:left w:val="single" w:color="auto" w:sz="4" w:space="0"/>
                    <w:bottom w:val="single" w:color="auto" w:sz="4" w:space="0"/>
                    <w:right w:val="single" w:color="auto" w:sz="4" w:space="0"/>
                  </w:tcBorders>
                  <w:shd w:val="clear" w:color="auto" w:fill="auto"/>
                  <w:vAlign w:val="center"/>
                </w:tcPr>
                <w:p w14:paraId="1C155B1E">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994" w:type="dxa"/>
                  <w:tcBorders>
                    <w:top w:val="nil"/>
                    <w:left w:val="nil"/>
                    <w:bottom w:val="single" w:color="auto" w:sz="4" w:space="0"/>
                    <w:right w:val="single" w:color="auto" w:sz="4" w:space="0"/>
                  </w:tcBorders>
                  <w:shd w:val="clear" w:color="auto" w:fill="auto"/>
                  <w:vAlign w:val="center"/>
                </w:tcPr>
                <w:p w14:paraId="5AED3E5D">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补光要求</w:t>
                  </w:r>
                </w:p>
              </w:tc>
              <w:tc>
                <w:tcPr>
                  <w:tcW w:w="1838" w:type="dxa"/>
                  <w:tcBorders>
                    <w:top w:val="nil"/>
                    <w:left w:val="nil"/>
                    <w:bottom w:val="single" w:color="auto" w:sz="4" w:space="0"/>
                    <w:right w:val="single" w:color="auto" w:sz="4" w:space="0"/>
                  </w:tcBorders>
                  <w:shd w:val="clear" w:color="auto" w:fill="auto"/>
                  <w:vAlign w:val="center"/>
                </w:tcPr>
                <w:p w14:paraId="50402800">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支持红外型环保补光</w:t>
                  </w:r>
                </w:p>
              </w:tc>
              <w:tc>
                <w:tcPr>
                  <w:tcW w:w="3977" w:type="dxa"/>
                  <w:tcBorders>
                    <w:top w:val="nil"/>
                    <w:left w:val="nil"/>
                    <w:bottom w:val="single" w:color="auto" w:sz="4" w:space="0"/>
                    <w:right w:val="single" w:color="auto" w:sz="4" w:space="0"/>
                  </w:tcBorders>
                  <w:shd w:val="clear" w:color="auto" w:fill="auto"/>
                  <w:vAlign w:val="center"/>
                </w:tcPr>
                <w:p w14:paraId="0724A747">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应符合GA/T 1202-2022</w:t>
                  </w:r>
                  <w:r>
                    <w:rPr>
                      <w:rFonts w:hint="eastAsia" w:ascii="宋体" w:hAnsi="宋体" w:eastAsia="宋体" w:cs="宋体"/>
                      <w:color w:val="000000"/>
                      <w:kern w:val="0"/>
                      <w:sz w:val="22"/>
                      <w:szCs w:val="22"/>
                      <w:lang w:val="en-US" w:eastAsia="zh-CN"/>
                    </w:rPr>
                    <w:t>要求</w:t>
                  </w:r>
                  <w:r>
                    <w:rPr>
                      <w:rFonts w:hint="eastAsia" w:ascii="宋体" w:hAnsi="宋体" w:eastAsia="宋体" w:cs="宋体"/>
                      <w:color w:val="000000"/>
                      <w:kern w:val="0"/>
                      <w:sz w:val="22"/>
                      <w:szCs w:val="22"/>
                      <w:lang w:eastAsia="zh-CN"/>
                    </w:rPr>
                    <w:t>。</w:t>
                  </w:r>
                </w:p>
              </w:tc>
            </w:tr>
            <w:tr w14:paraId="22D19709">
              <w:tblPrEx>
                <w:tblCellMar>
                  <w:top w:w="0" w:type="dxa"/>
                  <w:left w:w="108" w:type="dxa"/>
                  <w:bottom w:w="0" w:type="dxa"/>
                  <w:right w:w="108" w:type="dxa"/>
                </w:tblCellMar>
              </w:tblPrEx>
              <w:trPr>
                <w:trHeight w:val="367" w:hRule="atLeast"/>
                <w:jc w:val="center"/>
              </w:trPr>
              <w:tc>
                <w:tcPr>
                  <w:tcW w:w="807" w:type="dxa"/>
                  <w:vMerge w:val="restart"/>
                  <w:tcBorders>
                    <w:top w:val="nil"/>
                    <w:left w:val="single" w:color="auto" w:sz="4" w:space="0"/>
                    <w:bottom w:val="single" w:color="auto" w:sz="4" w:space="0"/>
                    <w:right w:val="single" w:color="auto" w:sz="4" w:space="0"/>
                  </w:tcBorders>
                  <w:shd w:val="clear" w:color="auto" w:fill="auto"/>
                  <w:vAlign w:val="center"/>
                </w:tcPr>
                <w:p w14:paraId="5D3AAD0B">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994" w:type="dxa"/>
                  <w:vMerge w:val="restart"/>
                  <w:tcBorders>
                    <w:top w:val="nil"/>
                    <w:left w:val="single" w:color="auto" w:sz="4" w:space="0"/>
                    <w:bottom w:val="single" w:color="auto" w:sz="4" w:space="0"/>
                    <w:right w:val="single" w:color="auto" w:sz="4" w:space="0"/>
                  </w:tcBorders>
                  <w:shd w:val="clear" w:color="auto" w:fill="auto"/>
                  <w:vAlign w:val="center"/>
                </w:tcPr>
                <w:p w14:paraId="657B69D9">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机动车号牌自动识别</w:t>
                  </w:r>
                </w:p>
              </w:tc>
              <w:tc>
                <w:tcPr>
                  <w:tcW w:w="1838" w:type="dxa"/>
                  <w:tcBorders>
                    <w:top w:val="nil"/>
                    <w:left w:val="nil"/>
                    <w:bottom w:val="single" w:color="auto" w:sz="4" w:space="0"/>
                    <w:right w:val="single" w:color="auto" w:sz="4" w:space="0"/>
                  </w:tcBorders>
                  <w:shd w:val="clear" w:color="auto" w:fill="auto"/>
                  <w:vAlign w:val="center"/>
                </w:tcPr>
                <w:p w14:paraId="1C5EABD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可识别的号牌结构</w:t>
                  </w:r>
                </w:p>
              </w:tc>
              <w:tc>
                <w:tcPr>
                  <w:tcW w:w="3977" w:type="dxa"/>
                  <w:tcBorders>
                    <w:top w:val="nil"/>
                    <w:left w:val="nil"/>
                    <w:bottom w:val="single" w:color="auto" w:sz="4" w:space="0"/>
                    <w:right w:val="single" w:color="auto" w:sz="4" w:space="0"/>
                  </w:tcBorders>
                  <w:shd w:val="clear" w:color="auto" w:fill="auto"/>
                  <w:vAlign w:val="center"/>
                </w:tcPr>
                <w:p w14:paraId="1C50D64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应符合GA/T 833</w:t>
                  </w:r>
                  <w:r>
                    <w:rPr>
                      <w:rFonts w:hint="eastAsia" w:ascii="宋体" w:hAnsi="宋体" w:eastAsia="宋体" w:cs="宋体"/>
                      <w:color w:val="000000"/>
                      <w:kern w:val="0"/>
                      <w:sz w:val="22"/>
                      <w:szCs w:val="22"/>
                      <w:lang w:val="en-US" w:eastAsia="zh-CN"/>
                    </w:rPr>
                    <w:t>要求</w:t>
                  </w:r>
                  <w:r>
                    <w:rPr>
                      <w:rFonts w:hint="eastAsia" w:ascii="宋体" w:hAnsi="宋体" w:eastAsia="宋体" w:cs="宋体"/>
                      <w:color w:val="000000"/>
                      <w:kern w:val="0"/>
                      <w:sz w:val="22"/>
                      <w:szCs w:val="22"/>
                      <w:lang w:eastAsia="zh-CN"/>
                    </w:rPr>
                    <w:t>。</w:t>
                  </w:r>
                </w:p>
              </w:tc>
            </w:tr>
            <w:tr w14:paraId="11CDB5D7">
              <w:tblPrEx>
                <w:tblCellMar>
                  <w:top w:w="0" w:type="dxa"/>
                  <w:left w:w="108" w:type="dxa"/>
                  <w:bottom w:w="0" w:type="dxa"/>
                  <w:right w:w="108" w:type="dxa"/>
                </w:tblCellMar>
              </w:tblPrEx>
              <w:trPr>
                <w:trHeight w:val="367" w:hRule="atLeast"/>
                <w:jc w:val="center"/>
              </w:trPr>
              <w:tc>
                <w:tcPr>
                  <w:tcW w:w="807" w:type="dxa"/>
                  <w:vMerge w:val="continue"/>
                  <w:tcBorders>
                    <w:top w:val="nil"/>
                    <w:left w:val="single" w:color="auto" w:sz="4" w:space="0"/>
                    <w:bottom w:val="single" w:color="auto" w:sz="4" w:space="0"/>
                    <w:right w:val="single" w:color="auto" w:sz="4" w:space="0"/>
                  </w:tcBorders>
                  <w:vAlign w:val="center"/>
                </w:tcPr>
                <w:p w14:paraId="75359C6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auto" w:sz="4" w:space="0"/>
                    <w:right w:val="single" w:color="auto" w:sz="4" w:space="0"/>
                  </w:tcBorders>
                  <w:vAlign w:val="center"/>
                </w:tcPr>
                <w:p w14:paraId="78907BE1">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27475D7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可识别的号牌字符</w:t>
                  </w:r>
                </w:p>
              </w:tc>
              <w:tc>
                <w:tcPr>
                  <w:tcW w:w="3977" w:type="dxa"/>
                  <w:tcBorders>
                    <w:top w:val="nil"/>
                    <w:left w:val="nil"/>
                    <w:bottom w:val="single" w:color="auto" w:sz="4" w:space="0"/>
                    <w:right w:val="single" w:color="auto" w:sz="4" w:space="0"/>
                  </w:tcBorders>
                  <w:shd w:val="clear" w:color="auto" w:fill="auto"/>
                  <w:vAlign w:val="center"/>
                </w:tcPr>
                <w:p w14:paraId="5B294AC5">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应符合GA/T 833</w:t>
                  </w:r>
                  <w:r>
                    <w:rPr>
                      <w:rFonts w:hint="eastAsia" w:ascii="宋体" w:hAnsi="宋体" w:eastAsia="宋体" w:cs="宋体"/>
                      <w:color w:val="000000"/>
                      <w:kern w:val="0"/>
                      <w:sz w:val="22"/>
                      <w:szCs w:val="22"/>
                      <w:lang w:val="en-US" w:eastAsia="zh-CN"/>
                    </w:rPr>
                    <w:t>要求</w:t>
                  </w:r>
                  <w:r>
                    <w:rPr>
                      <w:rFonts w:hint="eastAsia" w:ascii="宋体" w:hAnsi="宋体" w:eastAsia="宋体" w:cs="宋体"/>
                      <w:color w:val="000000"/>
                      <w:kern w:val="0"/>
                      <w:sz w:val="22"/>
                      <w:szCs w:val="22"/>
                      <w:lang w:eastAsia="zh-CN"/>
                    </w:rPr>
                    <w:t>。</w:t>
                  </w:r>
                </w:p>
              </w:tc>
            </w:tr>
            <w:tr w14:paraId="2273A710">
              <w:tblPrEx>
                <w:tblCellMar>
                  <w:top w:w="0" w:type="dxa"/>
                  <w:left w:w="108" w:type="dxa"/>
                  <w:bottom w:w="0" w:type="dxa"/>
                  <w:right w:w="108" w:type="dxa"/>
                </w:tblCellMar>
              </w:tblPrEx>
              <w:trPr>
                <w:trHeight w:val="367" w:hRule="atLeast"/>
                <w:jc w:val="center"/>
              </w:trPr>
              <w:tc>
                <w:tcPr>
                  <w:tcW w:w="807" w:type="dxa"/>
                  <w:vMerge w:val="continue"/>
                  <w:tcBorders>
                    <w:top w:val="nil"/>
                    <w:left w:val="single" w:color="auto" w:sz="4" w:space="0"/>
                    <w:bottom w:val="single" w:color="auto" w:sz="4" w:space="0"/>
                    <w:right w:val="single" w:color="auto" w:sz="4" w:space="0"/>
                  </w:tcBorders>
                  <w:vAlign w:val="center"/>
                </w:tcPr>
                <w:p w14:paraId="125F20C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auto" w:sz="4" w:space="0"/>
                    <w:right w:val="single" w:color="auto" w:sz="4" w:space="0"/>
                  </w:tcBorders>
                  <w:vAlign w:val="center"/>
                </w:tcPr>
                <w:p w14:paraId="5E3B98FD">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7C63C6F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可识别的号牌颜色</w:t>
                  </w:r>
                </w:p>
              </w:tc>
              <w:tc>
                <w:tcPr>
                  <w:tcW w:w="3977" w:type="dxa"/>
                  <w:tcBorders>
                    <w:top w:val="nil"/>
                    <w:left w:val="nil"/>
                    <w:bottom w:val="single" w:color="auto" w:sz="4" w:space="0"/>
                    <w:right w:val="single" w:color="auto" w:sz="4" w:space="0"/>
                  </w:tcBorders>
                  <w:shd w:val="clear" w:color="auto" w:fill="auto"/>
                  <w:vAlign w:val="center"/>
                </w:tcPr>
                <w:p w14:paraId="7E7A887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应符合GA/T 833</w:t>
                  </w:r>
                  <w:r>
                    <w:rPr>
                      <w:rFonts w:hint="eastAsia" w:ascii="宋体" w:hAnsi="宋体" w:eastAsia="宋体" w:cs="宋体"/>
                      <w:color w:val="000000"/>
                      <w:kern w:val="0"/>
                      <w:sz w:val="22"/>
                      <w:szCs w:val="22"/>
                      <w:lang w:val="en-US" w:eastAsia="zh-CN"/>
                    </w:rPr>
                    <w:t>要求</w:t>
                  </w:r>
                  <w:r>
                    <w:rPr>
                      <w:rFonts w:hint="eastAsia" w:ascii="宋体" w:hAnsi="宋体" w:eastAsia="宋体" w:cs="宋体"/>
                      <w:color w:val="000000"/>
                      <w:kern w:val="0"/>
                      <w:sz w:val="22"/>
                      <w:szCs w:val="22"/>
                      <w:lang w:eastAsia="zh-CN"/>
                    </w:rPr>
                    <w:t>。</w:t>
                  </w:r>
                </w:p>
              </w:tc>
            </w:tr>
            <w:tr w14:paraId="6B083070">
              <w:tblPrEx>
                <w:tblCellMar>
                  <w:top w:w="0" w:type="dxa"/>
                  <w:left w:w="108" w:type="dxa"/>
                  <w:bottom w:w="0" w:type="dxa"/>
                  <w:right w:w="108" w:type="dxa"/>
                </w:tblCellMar>
              </w:tblPrEx>
              <w:trPr>
                <w:trHeight w:val="367" w:hRule="atLeast"/>
                <w:jc w:val="center"/>
              </w:trPr>
              <w:tc>
                <w:tcPr>
                  <w:tcW w:w="807" w:type="dxa"/>
                  <w:vMerge w:val="continue"/>
                  <w:tcBorders>
                    <w:top w:val="nil"/>
                    <w:left w:val="single" w:color="auto" w:sz="4" w:space="0"/>
                    <w:bottom w:val="single" w:color="auto" w:sz="4" w:space="0"/>
                    <w:right w:val="single" w:color="auto" w:sz="4" w:space="0"/>
                  </w:tcBorders>
                  <w:vAlign w:val="center"/>
                </w:tcPr>
                <w:p w14:paraId="2A74258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auto" w:sz="4" w:space="0"/>
                    <w:right w:val="single" w:color="auto" w:sz="4" w:space="0"/>
                  </w:tcBorders>
                  <w:vAlign w:val="center"/>
                </w:tcPr>
                <w:p w14:paraId="680F21C9">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2AB0DFB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号牌识别时间</w:t>
                  </w:r>
                </w:p>
              </w:tc>
              <w:tc>
                <w:tcPr>
                  <w:tcW w:w="3977" w:type="dxa"/>
                  <w:tcBorders>
                    <w:top w:val="nil"/>
                    <w:left w:val="nil"/>
                    <w:bottom w:val="single" w:color="auto" w:sz="4" w:space="0"/>
                    <w:right w:val="single" w:color="auto" w:sz="4" w:space="0"/>
                  </w:tcBorders>
                  <w:shd w:val="clear" w:color="auto" w:fill="auto"/>
                  <w:vAlign w:val="center"/>
                </w:tcPr>
                <w:p w14:paraId="71F3788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≤0.04秒</w:t>
                  </w:r>
                  <w:r>
                    <w:rPr>
                      <w:rFonts w:hint="eastAsia" w:ascii="宋体" w:hAnsi="宋体" w:eastAsia="宋体" w:cs="宋体"/>
                      <w:color w:val="000000"/>
                      <w:kern w:val="0"/>
                      <w:sz w:val="22"/>
                      <w:szCs w:val="22"/>
                      <w:lang w:eastAsia="zh-CN"/>
                    </w:rPr>
                    <w:t>。</w:t>
                  </w:r>
                </w:p>
              </w:tc>
            </w:tr>
            <w:tr w14:paraId="7CCCC806">
              <w:tblPrEx>
                <w:tblCellMar>
                  <w:top w:w="0" w:type="dxa"/>
                  <w:left w:w="108" w:type="dxa"/>
                  <w:bottom w:w="0" w:type="dxa"/>
                  <w:right w:w="108" w:type="dxa"/>
                </w:tblCellMar>
              </w:tblPrEx>
              <w:trPr>
                <w:trHeight w:val="726" w:hRule="atLeast"/>
                <w:jc w:val="center"/>
              </w:trPr>
              <w:tc>
                <w:tcPr>
                  <w:tcW w:w="807" w:type="dxa"/>
                  <w:vMerge w:val="continue"/>
                  <w:tcBorders>
                    <w:top w:val="nil"/>
                    <w:left w:val="single" w:color="auto" w:sz="4" w:space="0"/>
                    <w:bottom w:val="single" w:color="auto" w:sz="4" w:space="0"/>
                    <w:right w:val="single" w:color="auto" w:sz="4" w:space="0"/>
                  </w:tcBorders>
                  <w:vAlign w:val="center"/>
                </w:tcPr>
                <w:p w14:paraId="3F79485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auto" w:sz="4" w:space="0"/>
                    <w:right w:val="single" w:color="auto" w:sz="4" w:space="0"/>
                  </w:tcBorders>
                  <w:vAlign w:val="center"/>
                </w:tcPr>
                <w:p w14:paraId="4FED1412">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1546F09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号牌识别准确率</w:t>
                  </w:r>
                </w:p>
              </w:tc>
              <w:tc>
                <w:tcPr>
                  <w:tcW w:w="3977" w:type="dxa"/>
                  <w:tcBorders>
                    <w:top w:val="nil"/>
                    <w:left w:val="nil"/>
                    <w:bottom w:val="single" w:color="auto" w:sz="4" w:space="0"/>
                    <w:right w:val="single" w:color="auto" w:sz="4" w:space="0"/>
                  </w:tcBorders>
                  <w:shd w:val="clear" w:color="auto" w:fill="auto"/>
                  <w:vAlign w:val="center"/>
                </w:tcPr>
                <w:p w14:paraId="2190B329">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白天车辆号牌识别准确率≥95%；夜间车辆号牌识别准确率≥92%</w:t>
                  </w:r>
                  <w:r>
                    <w:rPr>
                      <w:rFonts w:hint="eastAsia" w:ascii="宋体" w:hAnsi="宋体" w:eastAsia="宋体" w:cs="宋体"/>
                      <w:color w:val="000000"/>
                      <w:kern w:val="0"/>
                      <w:sz w:val="22"/>
                      <w:szCs w:val="22"/>
                      <w:lang w:eastAsia="zh-CN"/>
                    </w:rPr>
                    <w:t>。</w:t>
                  </w:r>
                </w:p>
              </w:tc>
            </w:tr>
            <w:tr w14:paraId="472E62DE">
              <w:tblPrEx>
                <w:tblCellMar>
                  <w:top w:w="0" w:type="dxa"/>
                  <w:left w:w="108" w:type="dxa"/>
                  <w:bottom w:w="0" w:type="dxa"/>
                  <w:right w:w="108" w:type="dxa"/>
                </w:tblCellMar>
              </w:tblPrEx>
              <w:trPr>
                <w:trHeight w:val="1084" w:hRule="atLeast"/>
                <w:jc w:val="center"/>
              </w:trPr>
              <w:tc>
                <w:tcPr>
                  <w:tcW w:w="807" w:type="dxa"/>
                  <w:vMerge w:val="restart"/>
                  <w:tcBorders>
                    <w:top w:val="nil"/>
                    <w:left w:val="single" w:color="auto" w:sz="4" w:space="0"/>
                    <w:bottom w:val="single" w:color="000000" w:sz="4" w:space="0"/>
                    <w:right w:val="single" w:color="auto" w:sz="4" w:space="0"/>
                  </w:tcBorders>
                  <w:shd w:val="clear" w:color="auto" w:fill="auto"/>
                  <w:vAlign w:val="center"/>
                </w:tcPr>
                <w:p w14:paraId="2FB69885">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994" w:type="dxa"/>
                  <w:vMerge w:val="restart"/>
                  <w:tcBorders>
                    <w:top w:val="nil"/>
                    <w:left w:val="single" w:color="auto" w:sz="4" w:space="0"/>
                    <w:bottom w:val="single" w:color="000000" w:sz="4" w:space="0"/>
                    <w:right w:val="single" w:color="auto" w:sz="4" w:space="0"/>
                  </w:tcBorders>
                  <w:shd w:val="clear" w:color="auto" w:fill="auto"/>
                  <w:vAlign w:val="center"/>
                </w:tcPr>
                <w:p w14:paraId="446205B8">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交通安全违法行为记录</w:t>
                  </w:r>
                </w:p>
              </w:tc>
              <w:tc>
                <w:tcPr>
                  <w:tcW w:w="1838" w:type="dxa"/>
                  <w:tcBorders>
                    <w:top w:val="nil"/>
                    <w:left w:val="nil"/>
                    <w:bottom w:val="single" w:color="auto" w:sz="4" w:space="0"/>
                    <w:right w:val="single" w:color="auto" w:sz="4" w:space="0"/>
                  </w:tcBorders>
                  <w:shd w:val="clear" w:color="auto" w:fill="auto"/>
                  <w:vAlign w:val="center"/>
                </w:tcPr>
                <w:p w14:paraId="1A5017B9">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机动车跨越禁止跨越同向车行道分界线行为记录功能</w:t>
                  </w:r>
                </w:p>
              </w:tc>
              <w:tc>
                <w:tcPr>
                  <w:tcW w:w="3977" w:type="dxa"/>
                  <w:tcBorders>
                    <w:top w:val="nil"/>
                    <w:left w:val="nil"/>
                    <w:bottom w:val="single" w:color="auto" w:sz="4" w:space="0"/>
                    <w:right w:val="single" w:color="auto" w:sz="4" w:space="0"/>
                  </w:tcBorders>
                  <w:shd w:val="clear" w:color="auto" w:fill="auto"/>
                  <w:vAlign w:val="center"/>
                </w:tcPr>
                <w:p w14:paraId="5156CA6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应记录车辆违法过程中至少3张车辆前部全景图像，捕获率应不小于80%，记录有效率应不小于80%</w:t>
                  </w:r>
                  <w:r>
                    <w:rPr>
                      <w:rFonts w:hint="eastAsia" w:ascii="宋体" w:hAnsi="宋体" w:eastAsia="宋体" w:cs="宋体"/>
                      <w:color w:val="000000"/>
                      <w:kern w:val="0"/>
                      <w:sz w:val="22"/>
                      <w:szCs w:val="22"/>
                      <w:lang w:eastAsia="zh-CN"/>
                    </w:rPr>
                    <w:t>。</w:t>
                  </w:r>
                </w:p>
              </w:tc>
            </w:tr>
            <w:tr w14:paraId="1E5884C6">
              <w:tblPrEx>
                <w:tblCellMar>
                  <w:top w:w="0" w:type="dxa"/>
                  <w:left w:w="108" w:type="dxa"/>
                  <w:bottom w:w="0" w:type="dxa"/>
                  <w:right w:w="108" w:type="dxa"/>
                </w:tblCellMar>
              </w:tblPrEx>
              <w:trPr>
                <w:trHeight w:val="1084" w:hRule="atLeast"/>
                <w:jc w:val="center"/>
              </w:trPr>
              <w:tc>
                <w:tcPr>
                  <w:tcW w:w="807" w:type="dxa"/>
                  <w:vMerge w:val="continue"/>
                  <w:tcBorders>
                    <w:top w:val="nil"/>
                    <w:left w:val="single" w:color="auto" w:sz="4" w:space="0"/>
                    <w:bottom w:val="single" w:color="000000" w:sz="4" w:space="0"/>
                    <w:right w:val="single" w:color="auto" w:sz="4" w:space="0"/>
                  </w:tcBorders>
                  <w:vAlign w:val="center"/>
                </w:tcPr>
                <w:p w14:paraId="30CF9B7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000000" w:sz="4" w:space="0"/>
                    <w:right w:val="single" w:color="auto" w:sz="4" w:space="0"/>
                  </w:tcBorders>
                  <w:vAlign w:val="center"/>
                </w:tcPr>
                <w:p w14:paraId="7702FED1">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378B1A0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机动车驾驶人不按规定使用安全带交通违法行为抓拍</w:t>
                  </w:r>
                </w:p>
              </w:tc>
              <w:tc>
                <w:tcPr>
                  <w:tcW w:w="3977" w:type="dxa"/>
                  <w:tcBorders>
                    <w:top w:val="nil"/>
                    <w:left w:val="nil"/>
                    <w:bottom w:val="single" w:color="auto" w:sz="4" w:space="0"/>
                    <w:right w:val="single" w:color="auto" w:sz="4" w:space="0"/>
                  </w:tcBorders>
                  <w:shd w:val="clear" w:color="auto" w:fill="auto"/>
                  <w:vAlign w:val="center"/>
                </w:tcPr>
                <w:p w14:paraId="3C2BA870">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应记录驾驶人过程中至少2张车辆前部全景图像，捕获率应不小于80%，记录有效率应不小于80%</w:t>
                  </w:r>
                  <w:r>
                    <w:rPr>
                      <w:rFonts w:hint="eastAsia" w:ascii="宋体" w:hAnsi="宋体" w:eastAsia="宋体" w:cs="宋体"/>
                      <w:color w:val="000000"/>
                      <w:kern w:val="0"/>
                      <w:sz w:val="22"/>
                      <w:szCs w:val="22"/>
                      <w:lang w:eastAsia="zh-CN"/>
                    </w:rPr>
                    <w:t>。</w:t>
                  </w:r>
                </w:p>
              </w:tc>
            </w:tr>
            <w:tr w14:paraId="1B8924AF">
              <w:tblPrEx>
                <w:tblCellMar>
                  <w:top w:w="0" w:type="dxa"/>
                  <w:left w:w="108" w:type="dxa"/>
                  <w:bottom w:w="0" w:type="dxa"/>
                  <w:right w:w="108" w:type="dxa"/>
                </w:tblCellMar>
              </w:tblPrEx>
              <w:trPr>
                <w:trHeight w:val="1084" w:hRule="atLeast"/>
                <w:jc w:val="center"/>
              </w:trPr>
              <w:tc>
                <w:tcPr>
                  <w:tcW w:w="807" w:type="dxa"/>
                  <w:vMerge w:val="continue"/>
                  <w:tcBorders>
                    <w:top w:val="nil"/>
                    <w:left w:val="single" w:color="auto" w:sz="4" w:space="0"/>
                    <w:bottom w:val="single" w:color="000000" w:sz="4" w:space="0"/>
                    <w:right w:val="single" w:color="auto" w:sz="4" w:space="0"/>
                  </w:tcBorders>
                  <w:vAlign w:val="center"/>
                </w:tcPr>
                <w:p w14:paraId="3FB9B858">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000000" w:sz="4" w:space="0"/>
                    <w:right w:val="single" w:color="auto" w:sz="4" w:space="0"/>
                  </w:tcBorders>
                  <w:vAlign w:val="center"/>
                </w:tcPr>
                <w:p w14:paraId="589895F1">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2A57387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机动车驾驶人使用手机交通违法行为抓拍</w:t>
                  </w:r>
                </w:p>
              </w:tc>
              <w:tc>
                <w:tcPr>
                  <w:tcW w:w="3977" w:type="dxa"/>
                  <w:tcBorders>
                    <w:top w:val="nil"/>
                    <w:left w:val="nil"/>
                    <w:bottom w:val="single" w:color="auto" w:sz="4" w:space="0"/>
                    <w:right w:val="single" w:color="auto" w:sz="4" w:space="0"/>
                  </w:tcBorders>
                  <w:shd w:val="clear" w:color="auto" w:fill="auto"/>
                  <w:vAlign w:val="center"/>
                </w:tcPr>
                <w:p w14:paraId="22D6367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应记录驾驶人过程中至少2张车辆前部全景图像，捕获率应不小于80%，记录有效率应不小于80%</w:t>
                  </w:r>
                  <w:r>
                    <w:rPr>
                      <w:rFonts w:hint="eastAsia" w:ascii="宋体" w:hAnsi="宋体" w:eastAsia="宋体" w:cs="宋体"/>
                      <w:color w:val="000000"/>
                      <w:kern w:val="0"/>
                      <w:sz w:val="22"/>
                      <w:szCs w:val="22"/>
                      <w:lang w:eastAsia="zh-CN"/>
                    </w:rPr>
                    <w:t>。</w:t>
                  </w:r>
                </w:p>
              </w:tc>
            </w:tr>
            <w:tr w14:paraId="03B34E5B">
              <w:tblPrEx>
                <w:tblCellMar>
                  <w:top w:w="0" w:type="dxa"/>
                  <w:left w:w="108" w:type="dxa"/>
                  <w:bottom w:w="0" w:type="dxa"/>
                  <w:right w:w="108" w:type="dxa"/>
                </w:tblCellMar>
              </w:tblPrEx>
              <w:trPr>
                <w:trHeight w:val="726" w:hRule="atLeast"/>
                <w:jc w:val="center"/>
              </w:trPr>
              <w:tc>
                <w:tcPr>
                  <w:tcW w:w="807" w:type="dxa"/>
                  <w:vMerge w:val="restart"/>
                  <w:tcBorders>
                    <w:top w:val="nil"/>
                    <w:left w:val="single" w:color="auto" w:sz="4" w:space="0"/>
                    <w:bottom w:val="single" w:color="000000" w:sz="4" w:space="0"/>
                    <w:right w:val="single" w:color="auto" w:sz="4" w:space="0"/>
                  </w:tcBorders>
                  <w:shd w:val="clear" w:color="auto" w:fill="auto"/>
                  <w:vAlign w:val="center"/>
                </w:tcPr>
                <w:p w14:paraId="6117C907">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994" w:type="dxa"/>
                  <w:vMerge w:val="restart"/>
                  <w:tcBorders>
                    <w:top w:val="nil"/>
                    <w:left w:val="single" w:color="auto" w:sz="4" w:space="0"/>
                    <w:bottom w:val="single" w:color="000000" w:sz="4" w:space="0"/>
                    <w:right w:val="single" w:color="auto" w:sz="4" w:space="0"/>
                  </w:tcBorders>
                  <w:shd w:val="clear" w:color="auto" w:fill="auto"/>
                  <w:vAlign w:val="center"/>
                </w:tcPr>
                <w:p w14:paraId="571BBAA3">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车辆通行信息记录</w:t>
                  </w:r>
                </w:p>
              </w:tc>
              <w:tc>
                <w:tcPr>
                  <w:tcW w:w="1838" w:type="dxa"/>
                  <w:tcBorders>
                    <w:top w:val="nil"/>
                    <w:left w:val="nil"/>
                    <w:bottom w:val="single" w:color="auto" w:sz="4" w:space="0"/>
                    <w:right w:val="single" w:color="auto" w:sz="4" w:space="0"/>
                  </w:tcBorders>
                  <w:shd w:val="clear" w:color="auto" w:fill="auto"/>
                  <w:vAlign w:val="center"/>
                </w:tcPr>
                <w:p w14:paraId="68614180">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记录模式</w:t>
                  </w:r>
                </w:p>
              </w:tc>
              <w:tc>
                <w:tcPr>
                  <w:tcW w:w="3977" w:type="dxa"/>
                  <w:tcBorders>
                    <w:top w:val="nil"/>
                    <w:left w:val="nil"/>
                    <w:bottom w:val="single" w:color="auto" w:sz="4" w:space="0"/>
                    <w:right w:val="single" w:color="auto" w:sz="4" w:space="0"/>
                  </w:tcBorders>
                  <w:shd w:val="clear" w:color="auto" w:fill="auto"/>
                  <w:vAlign w:val="center"/>
                </w:tcPr>
                <w:p w14:paraId="5B19EFF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应记录车辆前部全景图像和号牌特写图片，叠加相关信息</w:t>
                  </w:r>
                  <w:r>
                    <w:rPr>
                      <w:rFonts w:hint="eastAsia" w:ascii="宋体" w:hAnsi="宋体" w:eastAsia="宋体" w:cs="宋体"/>
                      <w:color w:val="000000"/>
                      <w:kern w:val="0"/>
                      <w:sz w:val="22"/>
                      <w:szCs w:val="22"/>
                      <w:lang w:eastAsia="zh-CN"/>
                    </w:rPr>
                    <w:t>。</w:t>
                  </w:r>
                </w:p>
              </w:tc>
            </w:tr>
            <w:tr w14:paraId="6AF48F39">
              <w:tblPrEx>
                <w:tblCellMar>
                  <w:top w:w="0" w:type="dxa"/>
                  <w:left w:w="108" w:type="dxa"/>
                  <w:bottom w:w="0" w:type="dxa"/>
                  <w:right w:w="108" w:type="dxa"/>
                </w:tblCellMar>
              </w:tblPrEx>
              <w:trPr>
                <w:trHeight w:val="367" w:hRule="atLeast"/>
                <w:jc w:val="center"/>
              </w:trPr>
              <w:tc>
                <w:tcPr>
                  <w:tcW w:w="807" w:type="dxa"/>
                  <w:vMerge w:val="continue"/>
                  <w:tcBorders>
                    <w:top w:val="nil"/>
                    <w:left w:val="single" w:color="auto" w:sz="4" w:space="0"/>
                    <w:bottom w:val="single" w:color="000000" w:sz="4" w:space="0"/>
                    <w:right w:val="single" w:color="auto" w:sz="4" w:space="0"/>
                  </w:tcBorders>
                  <w:vAlign w:val="center"/>
                </w:tcPr>
                <w:p w14:paraId="056EE29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000000" w:sz="4" w:space="0"/>
                    <w:right w:val="single" w:color="auto" w:sz="4" w:space="0"/>
                  </w:tcBorders>
                  <w:vAlign w:val="center"/>
                </w:tcPr>
                <w:p w14:paraId="066F29E1">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3B1BB15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记录图像数量</w:t>
                  </w:r>
                </w:p>
              </w:tc>
              <w:tc>
                <w:tcPr>
                  <w:tcW w:w="3977" w:type="dxa"/>
                  <w:tcBorders>
                    <w:top w:val="nil"/>
                    <w:left w:val="nil"/>
                    <w:bottom w:val="single" w:color="auto" w:sz="4" w:space="0"/>
                    <w:right w:val="single" w:color="auto" w:sz="4" w:space="0"/>
                  </w:tcBorders>
                  <w:shd w:val="clear" w:color="auto" w:fill="auto"/>
                  <w:vAlign w:val="center"/>
                </w:tcPr>
                <w:p w14:paraId="20AA6D1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系统应记录通行车辆至少2张车辆前部全景图像</w:t>
                  </w:r>
                  <w:r>
                    <w:rPr>
                      <w:rFonts w:hint="eastAsia" w:ascii="宋体" w:hAnsi="宋体" w:eastAsia="宋体" w:cs="宋体"/>
                      <w:color w:val="000000"/>
                      <w:kern w:val="0"/>
                      <w:sz w:val="22"/>
                      <w:szCs w:val="22"/>
                      <w:lang w:eastAsia="zh-CN"/>
                    </w:rPr>
                    <w:t>。</w:t>
                  </w:r>
                </w:p>
              </w:tc>
            </w:tr>
            <w:tr w14:paraId="2D9CD160">
              <w:tblPrEx>
                <w:tblCellMar>
                  <w:top w:w="0" w:type="dxa"/>
                  <w:left w:w="108" w:type="dxa"/>
                  <w:bottom w:w="0" w:type="dxa"/>
                  <w:right w:w="108" w:type="dxa"/>
                </w:tblCellMar>
              </w:tblPrEx>
              <w:trPr>
                <w:trHeight w:val="1084" w:hRule="atLeast"/>
                <w:jc w:val="center"/>
              </w:trPr>
              <w:tc>
                <w:tcPr>
                  <w:tcW w:w="807" w:type="dxa"/>
                  <w:vMerge w:val="continue"/>
                  <w:tcBorders>
                    <w:top w:val="nil"/>
                    <w:left w:val="single" w:color="auto" w:sz="4" w:space="0"/>
                    <w:bottom w:val="single" w:color="000000" w:sz="4" w:space="0"/>
                    <w:right w:val="single" w:color="auto" w:sz="4" w:space="0"/>
                  </w:tcBorders>
                  <w:vAlign w:val="center"/>
                </w:tcPr>
                <w:p w14:paraId="058B3B5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000000" w:sz="4" w:space="0"/>
                    <w:right w:val="single" w:color="auto" w:sz="4" w:space="0"/>
                  </w:tcBorders>
                  <w:vAlign w:val="center"/>
                </w:tcPr>
                <w:p w14:paraId="56E90B38">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3F709FF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记录文本信息内容</w:t>
                  </w:r>
                </w:p>
              </w:tc>
              <w:tc>
                <w:tcPr>
                  <w:tcW w:w="3977" w:type="dxa"/>
                  <w:tcBorders>
                    <w:top w:val="nil"/>
                    <w:left w:val="nil"/>
                    <w:bottom w:val="single" w:color="auto" w:sz="4" w:space="0"/>
                    <w:right w:val="single" w:color="auto" w:sz="4" w:space="0"/>
                  </w:tcBorders>
                  <w:shd w:val="clear" w:color="auto" w:fill="auto"/>
                  <w:vAlign w:val="center"/>
                </w:tcPr>
                <w:p w14:paraId="5FEF89A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文本信息应包括：日期、时间、地点、方向、车道号、图像记录设备编号、号牌号码、号牌颜色、车型、防伪等信息</w:t>
                  </w:r>
                  <w:r>
                    <w:rPr>
                      <w:rFonts w:hint="eastAsia" w:ascii="宋体" w:hAnsi="宋体" w:eastAsia="宋体" w:cs="宋体"/>
                      <w:color w:val="000000"/>
                      <w:kern w:val="0"/>
                      <w:sz w:val="22"/>
                      <w:szCs w:val="22"/>
                      <w:lang w:eastAsia="zh-CN"/>
                    </w:rPr>
                    <w:t>。</w:t>
                  </w:r>
                </w:p>
              </w:tc>
            </w:tr>
            <w:tr w14:paraId="2F7EE967">
              <w:tblPrEx>
                <w:tblCellMar>
                  <w:top w:w="0" w:type="dxa"/>
                  <w:left w:w="108" w:type="dxa"/>
                  <w:bottom w:w="0" w:type="dxa"/>
                  <w:right w:w="108" w:type="dxa"/>
                </w:tblCellMar>
              </w:tblPrEx>
              <w:trPr>
                <w:trHeight w:val="367" w:hRule="atLeast"/>
                <w:jc w:val="center"/>
              </w:trPr>
              <w:tc>
                <w:tcPr>
                  <w:tcW w:w="807" w:type="dxa"/>
                  <w:vMerge w:val="restart"/>
                  <w:tcBorders>
                    <w:top w:val="nil"/>
                    <w:left w:val="single" w:color="auto" w:sz="4" w:space="0"/>
                    <w:bottom w:val="single" w:color="auto" w:sz="4" w:space="0"/>
                    <w:right w:val="single" w:color="auto" w:sz="4" w:space="0"/>
                  </w:tcBorders>
                  <w:shd w:val="clear" w:color="auto" w:fill="auto"/>
                  <w:vAlign w:val="center"/>
                </w:tcPr>
                <w:p w14:paraId="5A6452B8">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994" w:type="dxa"/>
                  <w:vMerge w:val="restart"/>
                  <w:tcBorders>
                    <w:top w:val="nil"/>
                    <w:left w:val="single" w:color="auto" w:sz="4" w:space="0"/>
                    <w:bottom w:val="single" w:color="auto" w:sz="4" w:space="0"/>
                    <w:right w:val="single" w:color="auto" w:sz="4" w:space="0"/>
                  </w:tcBorders>
                  <w:shd w:val="clear" w:color="auto" w:fill="auto"/>
                  <w:vAlign w:val="center"/>
                </w:tcPr>
                <w:p w14:paraId="1F9F340B">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图像及图片要求</w:t>
                  </w:r>
                </w:p>
              </w:tc>
              <w:tc>
                <w:tcPr>
                  <w:tcW w:w="1838" w:type="dxa"/>
                  <w:tcBorders>
                    <w:top w:val="nil"/>
                    <w:left w:val="nil"/>
                    <w:bottom w:val="single" w:color="auto" w:sz="4" w:space="0"/>
                    <w:right w:val="single" w:color="auto" w:sz="4" w:space="0"/>
                  </w:tcBorders>
                  <w:shd w:val="clear" w:color="auto" w:fill="auto"/>
                  <w:vAlign w:val="center"/>
                </w:tcPr>
                <w:p w14:paraId="45E341E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单幅图片分辨率</w:t>
                  </w:r>
                </w:p>
              </w:tc>
              <w:tc>
                <w:tcPr>
                  <w:tcW w:w="3977" w:type="dxa"/>
                  <w:tcBorders>
                    <w:top w:val="nil"/>
                    <w:left w:val="nil"/>
                    <w:bottom w:val="single" w:color="auto" w:sz="4" w:space="0"/>
                    <w:right w:val="single" w:color="auto" w:sz="4" w:space="0"/>
                  </w:tcBorders>
                  <w:shd w:val="clear" w:color="auto" w:fill="auto"/>
                  <w:vAlign w:val="center"/>
                </w:tcPr>
                <w:p w14:paraId="489A720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≥4096×2160像素</w:t>
                  </w:r>
                  <w:r>
                    <w:rPr>
                      <w:rFonts w:hint="eastAsia" w:ascii="宋体" w:hAnsi="宋体" w:eastAsia="宋体" w:cs="宋体"/>
                      <w:color w:val="000000"/>
                      <w:kern w:val="0"/>
                      <w:sz w:val="22"/>
                      <w:szCs w:val="22"/>
                      <w:lang w:eastAsia="zh-CN"/>
                    </w:rPr>
                    <w:t>。</w:t>
                  </w:r>
                </w:p>
              </w:tc>
            </w:tr>
            <w:tr w14:paraId="23624CC1">
              <w:tblPrEx>
                <w:tblCellMar>
                  <w:top w:w="0" w:type="dxa"/>
                  <w:left w:w="108" w:type="dxa"/>
                  <w:bottom w:w="0" w:type="dxa"/>
                  <w:right w:w="108" w:type="dxa"/>
                </w:tblCellMar>
              </w:tblPrEx>
              <w:trPr>
                <w:trHeight w:val="367" w:hRule="atLeast"/>
                <w:jc w:val="center"/>
              </w:trPr>
              <w:tc>
                <w:tcPr>
                  <w:tcW w:w="807" w:type="dxa"/>
                  <w:vMerge w:val="continue"/>
                  <w:tcBorders>
                    <w:top w:val="nil"/>
                    <w:left w:val="single" w:color="auto" w:sz="4" w:space="0"/>
                    <w:bottom w:val="single" w:color="auto" w:sz="4" w:space="0"/>
                    <w:right w:val="single" w:color="auto" w:sz="4" w:space="0"/>
                  </w:tcBorders>
                  <w:vAlign w:val="center"/>
                </w:tcPr>
                <w:p w14:paraId="60CBD2B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auto" w:sz="4" w:space="0"/>
                    <w:right w:val="single" w:color="auto" w:sz="4" w:space="0"/>
                  </w:tcBorders>
                  <w:vAlign w:val="center"/>
                </w:tcPr>
                <w:p w14:paraId="7BD0DFD4">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60E54760">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记录图像数量</w:t>
                  </w:r>
                </w:p>
              </w:tc>
              <w:tc>
                <w:tcPr>
                  <w:tcW w:w="3977" w:type="dxa"/>
                  <w:tcBorders>
                    <w:top w:val="nil"/>
                    <w:left w:val="nil"/>
                    <w:bottom w:val="single" w:color="auto" w:sz="4" w:space="0"/>
                    <w:right w:val="single" w:color="auto" w:sz="4" w:space="0"/>
                  </w:tcBorders>
                  <w:shd w:val="clear" w:color="auto" w:fill="auto"/>
                  <w:vAlign w:val="center"/>
                </w:tcPr>
                <w:p w14:paraId="6D1816A7">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系统应记录通行车辆至少2张车辆前部全景图像</w:t>
                  </w:r>
                  <w:r>
                    <w:rPr>
                      <w:rFonts w:hint="eastAsia" w:ascii="宋体" w:hAnsi="宋体" w:eastAsia="宋体" w:cs="宋体"/>
                      <w:color w:val="000000"/>
                      <w:kern w:val="0"/>
                      <w:sz w:val="22"/>
                      <w:szCs w:val="22"/>
                      <w:lang w:eastAsia="zh-CN"/>
                    </w:rPr>
                    <w:t>。</w:t>
                  </w:r>
                </w:p>
              </w:tc>
            </w:tr>
            <w:tr w14:paraId="574C20AF">
              <w:tblPrEx>
                <w:tblCellMar>
                  <w:top w:w="0" w:type="dxa"/>
                  <w:left w:w="108" w:type="dxa"/>
                  <w:bottom w:w="0" w:type="dxa"/>
                  <w:right w:w="108" w:type="dxa"/>
                </w:tblCellMar>
              </w:tblPrEx>
              <w:trPr>
                <w:trHeight w:val="367" w:hRule="atLeast"/>
                <w:jc w:val="center"/>
              </w:trPr>
              <w:tc>
                <w:tcPr>
                  <w:tcW w:w="807" w:type="dxa"/>
                  <w:vMerge w:val="continue"/>
                  <w:tcBorders>
                    <w:top w:val="nil"/>
                    <w:left w:val="single" w:color="auto" w:sz="4" w:space="0"/>
                    <w:bottom w:val="single" w:color="auto" w:sz="4" w:space="0"/>
                    <w:right w:val="single" w:color="auto" w:sz="4" w:space="0"/>
                  </w:tcBorders>
                  <w:vAlign w:val="center"/>
                </w:tcPr>
                <w:p w14:paraId="38E2DAA0">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auto" w:sz="4" w:space="0"/>
                    <w:right w:val="single" w:color="auto" w:sz="4" w:space="0"/>
                  </w:tcBorders>
                  <w:vAlign w:val="center"/>
                </w:tcPr>
                <w:p w14:paraId="13848BD1">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20B27688">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图像编码</w:t>
                  </w:r>
                </w:p>
              </w:tc>
              <w:tc>
                <w:tcPr>
                  <w:tcW w:w="3977" w:type="dxa"/>
                  <w:tcBorders>
                    <w:top w:val="nil"/>
                    <w:left w:val="nil"/>
                    <w:bottom w:val="single" w:color="auto" w:sz="4" w:space="0"/>
                    <w:right w:val="single" w:color="auto" w:sz="4" w:space="0"/>
                  </w:tcBorders>
                  <w:shd w:val="clear" w:color="auto" w:fill="auto"/>
                  <w:vAlign w:val="center"/>
                </w:tcPr>
                <w:p w14:paraId="56C4A899">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符合ISO/IEC 15444:2000的要求</w:t>
                  </w:r>
                  <w:r>
                    <w:rPr>
                      <w:rFonts w:hint="eastAsia" w:ascii="宋体" w:hAnsi="宋体" w:eastAsia="宋体" w:cs="宋体"/>
                      <w:color w:val="000000"/>
                      <w:kern w:val="0"/>
                      <w:sz w:val="22"/>
                      <w:szCs w:val="22"/>
                      <w:lang w:eastAsia="zh-CN"/>
                    </w:rPr>
                    <w:t>。</w:t>
                  </w:r>
                </w:p>
              </w:tc>
            </w:tr>
            <w:tr w14:paraId="1381AB2D">
              <w:tblPrEx>
                <w:tblCellMar>
                  <w:top w:w="0" w:type="dxa"/>
                  <w:left w:w="108" w:type="dxa"/>
                  <w:bottom w:w="0" w:type="dxa"/>
                  <w:right w:w="108" w:type="dxa"/>
                </w:tblCellMar>
              </w:tblPrEx>
              <w:trPr>
                <w:trHeight w:val="367" w:hRule="atLeast"/>
                <w:jc w:val="center"/>
              </w:trPr>
              <w:tc>
                <w:tcPr>
                  <w:tcW w:w="807" w:type="dxa"/>
                  <w:vMerge w:val="continue"/>
                  <w:tcBorders>
                    <w:top w:val="nil"/>
                    <w:left w:val="single" w:color="auto" w:sz="4" w:space="0"/>
                    <w:bottom w:val="single" w:color="auto" w:sz="4" w:space="0"/>
                    <w:right w:val="single" w:color="auto" w:sz="4" w:space="0"/>
                  </w:tcBorders>
                  <w:vAlign w:val="center"/>
                </w:tcPr>
                <w:p w14:paraId="1100BC6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auto" w:sz="4" w:space="0"/>
                    <w:right w:val="single" w:color="auto" w:sz="4" w:space="0"/>
                  </w:tcBorders>
                  <w:vAlign w:val="center"/>
                </w:tcPr>
                <w:p w14:paraId="6CFD2DF5">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21ACC150">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sz w:val="22"/>
                      <w:szCs w:val="22"/>
                      <w:lang w:eastAsia="zh-CN"/>
                    </w:rPr>
                    <w:t>存储</w:t>
                  </w:r>
                  <w:r>
                    <w:rPr>
                      <w:rFonts w:hint="eastAsia" w:ascii="宋体" w:hAnsi="宋体" w:eastAsia="宋体" w:cs="宋体"/>
                      <w:color w:val="000000"/>
                      <w:kern w:val="0"/>
                      <w:sz w:val="22"/>
                      <w:szCs w:val="22"/>
                    </w:rPr>
                    <w:t>格式</w:t>
                  </w:r>
                </w:p>
              </w:tc>
              <w:tc>
                <w:tcPr>
                  <w:tcW w:w="3977" w:type="dxa"/>
                  <w:tcBorders>
                    <w:top w:val="nil"/>
                    <w:left w:val="nil"/>
                    <w:bottom w:val="single" w:color="auto" w:sz="4" w:space="0"/>
                    <w:right w:val="single" w:color="auto" w:sz="4" w:space="0"/>
                  </w:tcBorders>
                  <w:shd w:val="clear" w:color="auto" w:fill="auto"/>
                  <w:vAlign w:val="center"/>
                </w:tcPr>
                <w:p w14:paraId="4C0FFEA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采用JPEG文件格式</w:t>
                  </w:r>
                  <w:r>
                    <w:rPr>
                      <w:rFonts w:hint="eastAsia" w:ascii="宋体" w:hAnsi="宋体" w:eastAsia="宋体" w:cs="宋体"/>
                      <w:sz w:val="22"/>
                      <w:szCs w:val="22"/>
                      <w:lang w:eastAsia="zh-CN"/>
                    </w:rPr>
                    <w:t>存储</w:t>
                  </w:r>
                  <w:r>
                    <w:rPr>
                      <w:rFonts w:hint="eastAsia" w:ascii="宋体" w:hAnsi="宋体" w:eastAsia="宋体" w:cs="宋体"/>
                      <w:color w:val="000000"/>
                      <w:kern w:val="0"/>
                      <w:sz w:val="22"/>
                      <w:szCs w:val="22"/>
                    </w:rPr>
                    <w:t>，压缩因子低于70。</w:t>
                  </w:r>
                </w:p>
              </w:tc>
            </w:tr>
            <w:tr w14:paraId="6097504D">
              <w:tblPrEx>
                <w:tblCellMar>
                  <w:top w:w="0" w:type="dxa"/>
                  <w:left w:w="108" w:type="dxa"/>
                  <w:bottom w:w="0" w:type="dxa"/>
                  <w:right w:w="108" w:type="dxa"/>
                </w:tblCellMar>
              </w:tblPrEx>
              <w:trPr>
                <w:trHeight w:val="367" w:hRule="atLeast"/>
                <w:jc w:val="center"/>
              </w:trPr>
              <w:tc>
                <w:tcPr>
                  <w:tcW w:w="807" w:type="dxa"/>
                  <w:vMerge w:val="restart"/>
                  <w:tcBorders>
                    <w:top w:val="nil"/>
                    <w:left w:val="single" w:color="auto" w:sz="4" w:space="0"/>
                    <w:bottom w:val="single" w:color="auto" w:sz="4" w:space="0"/>
                    <w:right w:val="single" w:color="auto" w:sz="4" w:space="0"/>
                  </w:tcBorders>
                  <w:shd w:val="clear" w:color="auto" w:fill="auto"/>
                  <w:vAlign w:val="center"/>
                </w:tcPr>
                <w:p w14:paraId="1C5DE9C5">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994" w:type="dxa"/>
                  <w:vMerge w:val="restart"/>
                  <w:tcBorders>
                    <w:top w:val="nil"/>
                    <w:left w:val="single" w:color="auto" w:sz="4" w:space="0"/>
                    <w:bottom w:val="single" w:color="auto" w:sz="4" w:space="0"/>
                    <w:right w:val="single" w:color="auto" w:sz="4" w:space="0"/>
                  </w:tcBorders>
                  <w:shd w:val="clear" w:color="auto" w:fill="auto"/>
                  <w:vAlign w:val="center"/>
                </w:tcPr>
                <w:p w14:paraId="4E8E2048">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交通视频信息记录</w:t>
                  </w:r>
                </w:p>
              </w:tc>
              <w:tc>
                <w:tcPr>
                  <w:tcW w:w="1838" w:type="dxa"/>
                  <w:tcBorders>
                    <w:top w:val="nil"/>
                    <w:left w:val="nil"/>
                    <w:bottom w:val="single" w:color="auto" w:sz="4" w:space="0"/>
                    <w:right w:val="single" w:color="auto" w:sz="4" w:space="0"/>
                  </w:tcBorders>
                  <w:shd w:val="clear" w:color="auto" w:fill="auto"/>
                  <w:vAlign w:val="center"/>
                </w:tcPr>
                <w:p w14:paraId="1E0775F5">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视频质量</w:t>
                  </w:r>
                </w:p>
              </w:tc>
              <w:tc>
                <w:tcPr>
                  <w:tcW w:w="3977" w:type="dxa"/>
                  <w:tcBorders>
                    <w:top w:val="nil"/>
                    <w:left w:val="nil"/>
                    <w:bottom w:val="single" w:color="auto" w:sz="4" w:space="0"/>
                    <w:right w:val="single" w:color="auto" w:sz="4" w:space="0"/>
                  </w:tcBorders>
                  <w:shd w:val="clear" w:color="auto" w:fill="auto"/>
                  <w:vAlign w:val="center"/>
                </w:tcPr>
                <w:p w14:paraId="5AB10D8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达到DB11/T384.5</w:t>
                  </w:r>
                  <w:r>
                    <w:rPr>
                      <w:rFonts w:hint="eastAsia" w:ascii="宋体" w:hAnsi="宋体" w:eastAsia="宋体" w:cs="宋体"/>
                      <w:color w:val="000000"/>
                      <w:kern w:val="0"/>
                      <w:sz w:val="22"/>
                      <w:szCs w:val="22"/>
                      <w:lang w:val="en-US" w:eastAsia="zh-CN"/>
                    </w:rPr>
                    <w:t>要求的</w:t>
                  </w:r>
                  <w:r>
                    <w:rPr>
                      <w:rFonts w:hint="eastAsia" w:ascii="宋体" w:hAnsi="宋体" w:eastAsia="宋体" w:cs="宋体"/>
                      <w:color w:val="000000"/>
                      <w:kern w:val="0"/>
                      <w:sz w:val="22"/>
                      <w:szCs w:val="22"/>
                    </w:rPr>
                    <w:t>“优”等水平</w:t>
                  </w:r>
                  <w:r>
                    <w:rPr>
                      <w:rFonts w:hint="eastAsia" w:ascii="宋体" w:hAnsi="宋体" w:eastAsia="宋体" w:cs="宋体"/>
                      <w:color w:val="000000"/>
                      <w:kern w:val="0"/>
                      <w:sz w:val="22"/>
                      <w:szCs w:val="22"/>
                      <w:lang w:eastAsia="zh-CN"/>
                    </w:rPr>
                    <w:t>。</w:t>
                  </w:r>
                </w:p>
              </w:tc>
            </w:tr>
            <w:tr w14:paraId="2516398C">
              <w:tblPrEx>
                <w:tblCellMar>
                  <w:top w:w="0" w:type="dxa"/>
                  <w:left w:w="108" w:type="dxa"/>
                  <w:bottom w:w="0" w:type="dxa"/>
                  <w:right w:w="108" w:type="dxa"/>
                </w:tblCellMar>
              </w:tblPrEx>
              <w:trPr>
                <w:trHeight w:val="726" w:hRule="atLeast"/>
                <w:jc w:val="center"/>
              </w:trPr>
              <w:tc>
                <w:tcPr>
                  <w:tcW w:w="807" w:type="dxa"/>
                  <w:vMerge w:val="continue"/>
                  <w:tcBorders>
                    <w:top w:val="nil"/>
                    <w:left w:val="single" w:color="auto" w:sz="4" w:space="0"/>
                    <w:bottom w:val="single" w:color="auto" w:sz="4" w:space="0"/>
                    <w:right w:val="single" w:color="auto" w:sz="4" w:space="0"/>
                  </w:tcBorders>
                  <w:vAlign w:val="center"/>
                </w:tcPr>
                <w:p w14:paraId="0BC3ABB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auto" w:sz="4" w:space="0"/>
                    <w:right w:val="single" w:color="auto" w:sz="4" w:space="0"/>
                  </w:tcBorders>
                  <w:vAlign w:val="center"/>
                </w:tcPr>
                <w:p w14:paraId="1B88F483">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1532EBC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视频信号格式</w:t>
                  </w:r>
                </w:p>
              </w:tc>
              <w:tc>
                <w:tcPr>
                  <w:tcW w:w="3977" w:type="dxa"/>
                  <w:tcBorders>
                    <w:top w:val="nil"/>
                    <w:left w:val="nil"/>
                    <w:bottom w:val="single" w:color="auto" w:sz="4" w:space="0"/>
                    <w:right w:val="single" w:color="auto" w:sz="4" w:space="0"/>
                  </w:tcBorders>
                  <w:shd w:val="clear" w:color="auto" w:fill="auto"/>
                  <w:vAlign w:val="center"/>
                </w:tcPr>
                <w:p w14:paraId="3F2005D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按照DB11/T384.2</w:t>
                  </w:r>
                  <w:r>
                    <w:rPr>
                      <w:rFonts w:hint="eastAsia" w:ascii="宋体" w:hAnsi="宋体" w:eastAsia="宋体" w:cs="宋体"/>
                      <w:color w:val="000000"/>
                      <w:kern w:val="0"/>
                      <w:sz w:val="22"/>
                      <w:szCs w:val="22"/>
                      <w:lang w:val="en-US" w:eastAsia="zh-CN"/>
                    </w:rPr>
                    <w:t>要求</w:t>
                  </w:r>
                  <w:r>
                    <w:rPr>
                      <w:rFonts w:hint="eastAsia" w:ascii="宋体" w:hAnsi="宋体" w:eastAsia="宋体" w:cs="宋体"/>
                      <w:color w:val="000000"/>
                      <w:kern w:val="0"/>
                      <w:sz w:val="22"/>
                      <w:szCs w:val="22"/>
                    </w:rPr>
                    <w:t>采用MEPG4或H.265的图像编码格</w:t>
                  </w:r>
                  <w:r>
                    <w:rPr>
                      <w:rFonts w:hint="eastAsia" w:ascii="宋体" w:hAnsi="宋体" w:eastAsia="宋体" w:cs="宋体"/>
                      <w:color w:val="000000"/>
                      <w:kern w:val="0"/>
                      <w:sz w:val="22"/>
                      <w:szCs w:val="22"/>
                      <w:lang w:eastAsia="zh-CN"/>
                    </w:rPr>
                    <w:t>。</w:t>
                  </w:r>
                </w:p>
              </w:tc>
            </w:tr>
            <w:tr w14:paraId="73EFA793">
              <w:tblPrEx>
                <w:tblCellMar>
                  <w:top w:w="0" w:type="dxa"/>
                  <w:left w:w="108" w:type="dxa"/>
                  <w:bottom w:w="0" w:type="dxa"/>
                  <w:right w:w="108" w:type="dxa"/>
                </w:tblCellMar>
              </w:tblPrEx>
              <w:trPr>
                <w:trHeight w:val="367" w:hRule="atLeast"/>
                <w:jc w:val="center"/>
              </w:trPr>
              <w:tc>
                <w:tcPr>
                  <w:tcW w:w="807" w:type="dxa"/>
                  <w:vMerge w:val="continue"/>
                  <w:tcBorders>
                    <w:top w:val="nil"/>
                    <w:left w:val="single" w:color="auto" w:sz="4" w:space="0"/>
                    <w:bottom w:val="single" w:color="auto" w:sz="4" w:space="0"/>
                    <w:right w:val="single" w:color="auto" w:sz="4" w:space="0"/>
                  </w:tcBorders>
                  <w:vAlign w:val="center"/>
                </w:tcPr>
                <w:p w14:paraId="5B4A194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auto" w:sz="4" w:space="0"/>
                    <w:right w:val="single" w:color="auto" w:sz="4" w:space="0"/>
                  </w:tcBorders>
                  <w:vAlign w:val="center"/>
                </w:tcPr>
                <w:p w14:paraId="0F0CC104">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003257B7">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视频分辨率</w:t>
                  </w:r>
                </w:p>
              </w:tc>
              <w:tc>
                <w:tcPr>
                  <w:tcW w:w="3977" w:type="dxa"/>
                  <w:tcBorders>
                    <w:top w:val="nil"/>
                    <w:left w:val="nil"/>
                    <w:bottom w:val="single" w:color="auto" w:sz="4" w:space="0"/>
                    <w:right w:val="single" w:color="auto" w:sz="4" w:space="0"/>
                  </w:tcBorders>
                  <w:shd w:val="clear" w:color="auto" w:fill="auto"/>
                  <w:vAlign w:val="center"/>
                </w:tcPr>
                <w:p w14:paraId="5BE6FBE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≥4096×2160</w:t>
                  </w:r>
                  <w:r>
                    <w:rPr>
                      <w:rFonts w:hint="eastAsia" w:ascii="宋体" w:hAnsi="宋体" w:eastAsia="宋体" w:cs="宋体"/>
                      <w:color w:val="000000"/>
                      <w:kern w:val="0"/>
                      <w:sz w:val="22"/>
                      <w:szCs w:val="22"/>
                      <w:lang w:eastAsia="zh-CN"/>
                    </w:rPr>
                    <w:t>。</w:t>
                  </w:r>
                </w:p>
              </w:tc>
            </w:tr>
            <w:tr w14:paraId="393915A2">
              <w:tblPrEx>
                <w:tblCellMar>
                  <w:top w:w="0" w:type="dxa"/>
                  <w:left w:w="108" w:type="dxa"/>
                  <w:bottom w:w="0" w:type="dxa"/>
                  <w:right w:w="108" w:type="dxa"/>
                </w:tblCellMar>
              </w:tblPrEx>
              <w:trPr>
                <w:trHeight w:val="367" w:hRule="atLeast"/>
                <w:jc w:val="center"/>
              </w:trPr>
              <w:tc>
                <w:tcPr>
                  <w:tcW w:w="807" w:type="dxa"/>
                  <w:vMerge w:val="continue"/>
                  <w:tcBorders>
                    <w:top w:val="nil"/>
                    <w:left w:val="single" w:color="auto" w:sz="4" w:space="0"/>
                    <w:bottom w:val="single" w:color="auto" w:sz="4" w:space="0"/>
                    <w:right w:val="single" w:color="auto" w:sz="4" w:space="0"/>
                  </w:tcBorders>
                  <w:vAlign w:val="center"/>
                </w:tcPr>
                <w:p w14:paraId="771D6B97">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auto" w:sz="4" w:space="0"/>
                    <w:right w:val="single" w:color="auto" w:sz="4" w:space="0"/>
                  </w:tcBorders>
                  <w:vAlign w:val="center"/>
                </w:tcPr>
                <w:p w14:paraId="1BE2C36D">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6FD0978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视频帧率</w:t>
                  </w:r>
                </w:p>
              </w:tc>
              <w:tc>
                <w:tcPr>
                  <w:tcW w:w="3977" w:type="dxa"/>
                  <w:tcBorders>
                    <w:top w:val="nil"/>
                    <w:left w:val="nil"/>
                    <w:bottom w:val="single" w:color="auto" w:sz="4" w:space="0"/>
                    <w:right w:val="single" w:color="auto" w:sz="4" w:space="0"/>
                  </w:tcBorders>
                  <w:shd w:val="clear" w:color="auto" w:fill="auto"/>
                  <w:vAlign w:val="center"/>
                </w:tcPr>
                <w:p w14:paraId="54F2EF8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≥25帧/秒</w:t>
                  </w:r>
                  <w:r>
                    <w:rPr>
                      <w:rFonts w:hint="eastAsia" w:ascii="宋体" w:hAnsi="宋体" w:eastAsia="宋体" w:cs="宋体"/>
                      <w:color w:val="000000"/>
                      <w:kern w:val="0"/>
                      <w:sz w:val="22"/>
                      <w:szCs w:val="22"/>
                      <w:lang w:eastAsia="zh-CN"/>
                    </w:rPr>
                    <w:t>。</w:t>
                  </w:r>
                </w:p>
              </w:tc>
            </w:tr>
            <w:tr w14:paraId="437983FD">
              <w:tblPrEx>
                <w:tblCellMar>
                  <w:top w:w="0" w:type="dxa"/>
                  <w:left w:w="108" w:type="dxa"/>
                  <w:bottom w:w="0" w:type="dxa"/>
                  <w:right w:w="108" w:type="dxa"/>
                </w:tblCellMar>
              </w:tblPrEx>
              <w:trPr>
                <w:trHeight w:val="726" w:hRule="atLeast"/>
                <w:jc w:val="center"/>
              </w:trPr>
              <w:tc>
                <w:tcPr>
                  <w:tcW w:w="807" w:type="dxa"/>
                  <w:vMerge w:val="restart"/>
                  <w:tcBorders>
                    <w:top w:val="nil"/>
                    <w:left w:val="single" w:color="auto" w:sz="4" w:space="0"/>
                    <w:bottom w:val="single" w:color="000000" w:sz="4" w:space="0"/>
                    <w:right w:val="single" w:color="auto" w:sz="4" w:space="0"/>
                  </w:tcBorders>
                  <w:shd w:val="clear" w:color="auto" w:fill="auto"/>
                  <w:vAlign w:val="center"/>
                </w:tcPr>
                <w:p w14:paraId="5A5378E5">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w:t>
                  </w:r>
                </w:p>
              </w:tc>
              <w:tc>
                <w:tcPr>
                  <w:tcW w:w="994" w:type="dxa"/>
                  <w:vMerge w:val="restart"/>
                  <w:tcBorders>
                    <w:top w:val="nil"/>
                    <w:left w:val="single" w:color="auto" w:sz="4" w:space="0"/>
                    <w:bottom w:val="single" w:color="000000" w:sz="4" w:space="0"/>
                    <w:right w:val="single" w:color="auto" w:sz="4" w:space="0"/>
                  </w:tcBorders>
                  <w:shd w:val="clear" w:color="auto" w:fill="auto"/>
                  <w:vAlign w:val="center"/>
                </w:tcPr>
                <w:p w14:paraId="638E77BB">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前端数据存储</w:t>
                  </w:r>
                </w:p>
              </w:tc>
              <w:tc>
                <w:tcPr>
                  <w:tcW w:w="1838" w:type="dxa"/>
                  <w:tcBorders>
                    <w:top w:val="nil"/>
                    <w:left w:val="nil"/>
                    <w:bottom w:val="single" w:color="auto" w:sz="4" w:space="0"/>
                    <w:right w:val="single" w:color="auto" w:sz="4" w:space="0"/>
                  </w:tcBorders>
                  <w:shd w:val="clear" w:color="auto" w:fill="auto"/>
                  <w:vAlign w:val="center"/>
                </w:tcPr>
                <w:p w14:paraId="4016B35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交通安全违法信息</w:t>
                  </w:r>
                </w:p>
              </w:tc>
              <w:tc>
                <w:tcPr>
                  <w:tcW w:w="3977" w:type="dxa"/>
                  <w:tcBorders>
                    <w:top w:val="nil"/>
                    <w:left w:val="nil"/>
                    <w:bottom w:val="single" w:color="auto" w:sz="4" w:space="0"/>
                    <w:right w:val="single" w:color="auto" w:sz="4" w:space="0"/>
                  </w:tcBorders>
                  <w:shd w:val="clear" w:color="auto" w:fill="auto"/>
                  <w:vAlign w:val="center"/>
                </w:tcPr>
                <w:p w14:paraId="3603EC85">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系统前端设备应能够存储≥7天的车辆交通安全违法信息数据</w:t>
                  </w:r>
                  <w:r>
                    <w:rPr>
                      <w:rFonts w:hint="eastAsia" w:ascii="宋体" w:hAnsi="宋体" w:eastAsia="宋体" w:cs="宋体"/>
                      <w:color w:val="000000"/>
                      <w:kern w:val="0"/>
                      <w:sz w:val="22"/>
                      <w:szCs w:val="22"/>
                      <w:lang w:eastAsia="zh-CN"/>
                    </w:rPr>
                    <w:t>。</w:t>
                  </w:r>
                </w:p>
              </w:tc>
            </w:tr>
            <w:tr w14:paraId="140B1B24">
              <w:tblPrEx>
                <w:tblCellMar>
                  <w:top w:w="0" w:type="dxa"/>
                  <w:left w:w="108" w:type="dxa"/>
                  <w:bottom w:w="0" w:type="dxa"/>
                  <w:right w:w="108" w:type="dxa"/>
                </w:tblCellMar>
              </w:tblPrEx>
              <w:trPr>
                <w:trHeight w:val="726" w:hRule="atLeast"/>
                <w:jc w:val="center"/>
              </w:trPr>
              <w:tc>
                <w:tcPr>
                  <w:tcW w:w="807" w:type="dxa"/>
                  <w:vMerge w:val="continue"/>
                  <w:tcBorders>
                    <w:top w:val="nil"/>
                    <w:left w:val="single" w:color="auto" w:sz="4" w:space="0"/>
                    <w:bottom w:val="single" w:color="000000" w:sz="4" w:space="0"/>
                    <w:right w:val="single" w:color="auto" w:sz="4" w:space="0"/>
                  </w:tcBorders>
                  <w:vAlign w:val="center"/>
                </w:tcPr>
                <w:p w14:paraId="5B039A2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000000" w:sz="4" w:space="0"/>
                    <w:right w:val="single" w:color="auto" w:sz="4" w:space="0"/>
                  </w:tcBorders>
                  <w:vAlign w:val="center"/>
                </w:tcPr>
                <w:p w14:paraId="46F2AD64">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32D3F57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车辆通行信息</w:t>
                  </w:r>
                </w:p>
              </w:tc>
              <w:tc>
                <w:tcPr>
                  <w:tcW w:w="3977" w:type="dxa"/>
                  <w:tcBorders>
                    <w:top w:val="nil"/>
                    <w:left w:val="nil"/>
                    <w:bottom w:val="single" w:color="auto" w:sz="4" w:space="0"/>
                    <w:right w:val="single" w:color="auto" w:sz="4" w:space="0"/>
                  </w:tcBorders>
                  <w:shd w:val="clear" w:color="auto" w:fill="auto"/>
                  <w:vAlign w:val="center"/>
                </w:tcPr>
                <w:p w14:paraId="692F6B1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系统前端设备应能够存储≥7天的车辆通行信息数据</w:t>
                  </w:r>
                  <w:r>
                    <w:rPr>
                      <w:rFonts w:hint="eastAsia" w:ascii="宋体" w:hAnsi="宋体" w:eastAsia="宋体" w:cs="宋体"/>
                      <w:color w:val="000000"/>
                      <w:kern w:val="0"/>
                      <w:sz w:val="22"/>
                      <w:szCs w:val="22"/>
                      <w:lang w:eastAsia="zh-CN"/>
                    </w:rPr>
                    <w:t>。</w:t>
                  </w:r>
                </w:p>
              </w:tc>
            </w:tr>
            <w:tr w14:paraId="14BFBF4D">
              <w:tblPrEx>
                <w:tblCellMar>
                  <w:top w:w="0" w:type="dxa"/>
                  <w:left w:w="108" w:type="dxa"/>
                  <w:bottom w:w="0" w:type="dxa"/>
                  <w:right w:w="108" w:type="dxa"/>
                </w:tblCellMar>
              </w:tblPrEx>
              <w:trPr>
                <w:trHeight w:val="726" w:hRule="atLeast"/>
                <w:jc w:val="center"/>
              </w:trPr>
              <w:tc>
                <w:tcPr>
                  <w:tcW w:w="807" w:type="dxa"/>
                  <w:vMerge w:val="continue"/>
                  <w:tcBorders>
                    <w:top w:val="nil"/>
                    <w:left w:val="single" w:color="auto" w:sz="4" w:space="0"/>
                    <w:bottom w:val="single" w:color="000000" w:sz="4" w:space="0"/>
                    <w:right w:val="single" w:color="auto" w:sz="4" w:space="0"/>
                  </w:tcBorders>
                  <w:vAlign w:val="center"/>
                </w:tcPr>
                <w:p w14:paraId="2512049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000000" w:sz="4" w:space="0"/>
                    <w:right w:val="single" w:color="auto" w:sz="4" w:space="0"/>
                  </w:tcBorders>
                  <w:vAlign w:val="center"/>
                </w:tcPr>
                <w:p w14:paraId="3ADFA82C">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2F207F3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交通视频监控录像</w:t>
                  </w:r>
                </w:p>
              </w:tc>
              <w:tc>
                <w:tcPr>
                  <w:tcW w:w="3977" w:type="dxa"/>
                  <w:tcBorders>
                    <w:top w:val="nil"/>
                    <w:left w:val="nil"/>
                    <w:bottom w:val="single" w:color="auto" w:sz="4" w:space="0"/>
                    <w:right w:val="single" w:color="auto" w:sz="4" w:space="0"/>
                  </w:tcBorders>
                  <w:shd w:val="clear" w:color="auto" w:fill="auto"/>
                  <w:vAlign w:val="center"/>
                </w:tcPr>
                <w:p w14:paraId="3E43FF45">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系统前端设备应能够存储≥7天的视频图像信息数据</w:t>
                  </w:r>
                  <w:r>
                    <w:rPr>
                      <w:rFonts w:hint="eastAsia" w:ascii="宋体" w:hAnsi="宋体" w:eastAsia="宋体" w:cs="宋体"/>
                      <w:color w:val="000000"/>
                      <w:kern w:val="0"/>
                      <w:sz w:val="22"/>
                      <w:szCs w:val="22"/>
                      <w:lang w:eastAsia="zh-CN"/>
                    </w:rPr>
                    <w:t>。</w:t>
                  </w:r>
                </w:p>
              </w:tc>
            </w:tr>
            <w:tr w14:paraId="104821B1">
              <w:tblPrEx>
                <w:tblCellMar>
                  <w:top w:w="0" w:type="dxa"/>
                  <w:left w:w="108" w:type="dxa"/>
                  <w:bottom w:w="0" w:type="dxa"/>
                  <w:right w:w="108" w:type="dxa"/>
                </w:tblCellMar>
              </w:tblPrEx>
              <w:trPr>
                <w:trHeight w:val="726" w:hRule="atLeast"/>
                <w:jc w:val="center"/>
              </w:trPr>
              <w:tc>
                <w:tcPr>
                  <w:tcW w:w="807" w:type="dxa"/>
                  <w:vMerge w:val="continue"/>
                  <w:tcBorders>
                    <w:top w:val="nil"/>
                    <w:left w:val="single" w:color="auto" w:sz="4" w:space="0"/>
                    <w:bottom w:val="single" w:color="000000" w:sz="4" w:space="0"/>
                    <w:right w:val="single" w:color="auto" w:sz="4" w:space="0"/>
                  </w:tcBorders>
                  <w:vAlign w:val="center"/>
                </w:tcPr>
                <w:p w14:paraId="577308E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000000" w:sz="4" w:space="0"/>
                    <w:right w:val="single" w:color="auto" w:sz="4" w:space="0"/>
                  </w:tcBorders>
                  <w:vAlign w:val="center"/>
                </w:tcPr>
                <w:p w14:paraId="79CE8C81">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4FE0011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交通流信息</w:t>
                  </w:r>
                </w:p>
              </w:tc>
              <w:tc>
                <w:tcPr>
                  <w:tcW w:w="3977" w:type="dxa"/>
                  <w:tcBorders>
                    <w:top w:val="nil"/>
                    <w:left w:val="nil"/>
                    <w:bottom w:val="single" w:color="auto" w:sz="4" w:space="0"/>
                    <w:right w:val="single" w:color="auto" w:sz="4" w:space="0"/>
                  </w:tcBorders>
                  <w:shd w:val="clear" w:color="auto" w:fill="auto"/>
                  <w:vAlign w:val="center"/>
                </w:tcPr>
                <w:p w14:paraId="293A34A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系统前端设备应能够存储≥7天的交通流信息数据</w:t>
                  </w:r>
                  <w:r>
                    <w:rPr>
                      <w:rFonts w:hint="eastAsia" w:ascii="宋体" w:hAnsi="宋体" w:eastAsia="宋体" w:cs="宋体"/>
                      <w:color w:val="000000"/>
                      <w:kern w:val="0"/>
                      <w:sz w:val="22"/>
                      <w:szCs w:val="22"/>
                      <w:lang w:eastAsia="zh-CN"/>
                    </w:rPr>
                    <w:t>。</w:t>
                  </w:r>
                </w:p>
              </w:tc>
            </w:tr>
            <w:tr w14:paraId="251EF6A0">
              <w:tblPrEx>
                <w:tblCellMar>
                  <w:top w:w="0" w:type="dxa"/>
                  <w:left w:w="108" w:type="dxa"/>
                  <w:bottom w:w="0" w:type="dxa"/>
                  <w:right w:w="108" w:type="dxa"/>
                </w:tblCellMar>
              </w:tblPrEx>
              <w:trPr>
                <w:trHeight w:val="726" w:hRule="atLeast"/>
                <w:jc w:val="center"/>
              </w:trPr>
              <w:tc>
                <w:tcPr>
                  <w:tcW w:w="807" w:type="dxa"/>
                  <w:vMerge w:val="continue"/>
                  <w:tcBorders>
                    <w:top w:val="nil"/>
                    <w:left w:val="single" w:color="auto" w:sz="4" w:space="0"/>
                    <w:bottom w:val="single" w:color="000000" w:sz="4" w:space="0"/>
                    <w:right w:val="single" w:color="auto" w:sz="4" w:space="0"/>
                  </w:tcBorders>
                  <w:vAlign w:val="center"/>
                </w:tcPr>
                <w:p w14:paraId="528F055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000000" w:sz="4" w:space="0"/>
                    <w:right w:val="single" w:color="auto" w:sz="4" w:space="0"/>
                  </w:tcBorders>
                  <w:vAlign w:val="center"/>
                </w:tcPr>
                <w:p w14:paraId="53BE0F35">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3BCC09A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交通事件信息</w:t>
                  </w:r>
                </w:p>
              </w:tc>
              <w:tc>
                <w:tcPr>
                  <w:tcW w:w="3977" w:type="dxa"/>
                  <w:tcBorders>
                    <w:top w:val="nil"/>
                    <w:left w:val="nil"/>
                    <w:bottom w:val="single" w:color="auto" w:sz="4" w:space="0"/>
                    <w:right w:val="single" w:color="auto" w:sz="4" w:space="0"/>
                  </w:tcBorders>
                  <w:shd w:val="clear" w:color="auto" w:fill="auto"/>
                  <w:vAlign w:val="center"/>
                </w:tcPr>
                <w:p w14:paraId="79BDA36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系统前端设备应能够存储≥7天的交通事件信息数据</w:t>
                  </w:r>
                  <w:r>
                    <w:rPr>
                      <w:rFonts w:hint="eastAsia" w:ascii="宋体" w:hAnsi="宋体" w:eastAsia="宋体" w:cs="宋体"/>
                      <w:color w:val="000000"/>
                      <w:kern w:val="0"/>
                      <w:sz w:val="22"/>
                      <w:szCs w:val="22"/>
                      <w:lang w:eastAsia="zh-CN"/>
                    </w:rPr>
                    <w:t>。</w:t>
                  </w:r>
                </w:p>
              </w:tc>
            </w:tr>
            <w:tr w14:paraId="7E1CCAB9">
              <w:tblPrEx>
                <w:tblCellMar>
                  <w:top w:w="0" w:type="dxa"/>
                  <w:left w:w="108" w:type="dxa"/>
                  <w:bottom w:w="0" w:type="dxa"/>
                  <w:right w:w="108" w:type="dxa"/>
                </w:tblCellMar>
              </w:tblPrEx>
              <w:trPr>
                <w:trHeight w:val="367" w:hRule="atLeast"/>
                <w:jc w:val="center"/>
              </w:trPr>
              <w:tc>
                <w:tcPr>
                  <w:tcW w:w="807" w:type="dxa"/>
                  <w:vMerge w:val="continue"/>
                  <w:tcBorders>
                    <w:top w:val="nil"/>
                    <w:left w:val="single" w:color="auto" w:sz="4" w:space="0"/>
                    <w:bottom w:val="single" w:color="000000" w:sz="4" w:space="0"/>
                    <w:right w:val="single" w:color="auto" w:sz="4" w:space="0"/>
                  </w:tcBorders>
                  <w:vAlign w:val="center"/>
                </w:tcPr>
                <w:p w14:paraId="7A752CC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000000" w:sz="4" w:space="0"/>
                    <w:right w:val="single" w:color="auto" w:sz="4" w:space="0"/>
                  </w:tcBorders>
                  <w:vAlign w:val="center"/>
                </w:tcPr>
                <w:p w14:paraId="68432D01">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28BF517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其</w:t>
                  </w:r>
                  <w:r>
                    <w:rPr>
                      <w:rFonts w:hint="eastAsia" w:ascii="宋体" w:hAnsi="宋体" w:eastAsia="宋体" w:cs="宋体"/>
                      <w:color w:val="000000"/>
                      <w:kern w:val="0"/>
                      <w:sz w:val="22"/>
                      <w:szCs w:val="22"/>
                      <w:lang w:val="en-US" w:eastAsia="zh-CN"/>
                    </w:rPr>
                    <w:t>他</w:t>
                  </w:r>
                  <w:r>
                    <w:rPr>
                      <w:rFonts w:hint="eastAsia" w:ascii="宋体" w:hAnsi="宋体" w:eastAsia="宋体" w:cs="宋体"/>
                      <w:color w:val="000000"/>
                      <w:kern w:val="0"/>
                      <w:sz w:val="22"/>
                      <w:szCs w:val="22"/>
                    </w:rPr>
                    <w:t>数据</w:t>
                  </w:r>
                </w:p>
              </w:tc>
              <w:tc>
                <w:tcPr>
                  <w:tcW w:w="3977" w:type="dxa"/>
                  <w:tcBorders>
                    <w:top w:val="nil"/>
                    <w:left w:val="nil"/>
                    <w:bottom w:val="single" w:color="auto" w:sz="4" w:space="0"/>
                    <w:right w:val="single" w:color="auto" w:sz="4" w:space="0"/>
                  </w:tcBorders>
                  <w:shd w:val="clear" w:color="auto" w:fill="auto"/>
                  <w:vAlign w:val="center"/>
                </w:tcPr>
                <w:p w14:paraId="59D3B7C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系统前端设备应能够存储≥7天的</w:t>
                  </w:r>
                  <w:r>
                    <w:rPr>
                      <w:rFonts w:hint="eastAsia" w:ascii="宋体" w:hAnsi="宋体" w:eastAsia="宋体" w:cs="宋体"/>
                      <w:color w:val="000000"/>
                      <w:kern w:val="0"/>
                      <w:sz w:val="22"/>
                      <w:szCs w:val="22"/>
                      <w:lang w:eastAsia="zh-CN"/>
                    </w:rPr>
                    <w:t>其他</w:t>
                  </w:r>
                  <w:r>
                    <w:rPr>
                      <w:rFonts w:hint="eastAsia" w:ascii="宋体" w:hAnsi="宋体" w:eastAsia="宋体" w:cs="宋体"/>
                      <w:color w:val="000000"/>
                      <w:kern w:val="0"/>
                      <w:sz w:val="22"/>
                      <w:szCs w:val="22"/>
                    </w:rPr>
                    <w:t>信息数据</w:t>
                  </w:r>
                  <w:r>
                    <w:rPr>
                      <w:rFonts w:hint="eastAsia" w:ascii="宋体" w:hAnsi="宋体" w:eastAsia="宋体" w:cs="宋体"/>
                      <w:color w:val="000000"/>
                      <w:kern w:val="0"/>
                      <w:sz w:val="22"/>
                      <w:szCs w:val="22"/>
                      <w:lang w:eastAsia="zh-CN"/>
                    </w:rPr>
                    <w:t>。</w:t>
                  </w:r>
                </w:p>
              </w:tc>
            </w:tr>
            <w:tr w14:paraId="470EDE85">
              <w:tblPrEx>
                <w:tblCellMar>
                  <w:top w:w="0" w:type="dxa"/>
                  <w:left w:w="108" w:type="dxa"/>
                  <w:bottom w:w="0" w:type="dxa"/>
                  <w:right w:w="108" w:type="dxa"/>
                </w:tblCellMar>
              </w:tblPrEx>
              <w:trPr>
                <w:trHeight w:val="367" w:hRule="atLeast"/>
                <w:jc w:val="center"/>
              </w:trPr>
              <w:tc>
                <w:tcPr>
                  <w:tcW w:w="807" w:type="dxa"/>
                  <w:vMerge w:val="restart"/>
                  <w:tcBorders>
                    <w:top w:val="nil"/>
                    <w:left w:val="single" w:color="auto" w:sz="4" w:space="0"/>
                    <w:bottom w:val="single" w:color="auto" w:sz="4" w:space="0"/>
                    <w:right w:val="single" w:color="auto" w:sz="4" w:space="0"/>
                  </w:tcBorders>
                  <w:shd w:val="clear" w:color="auto" w:fill="auto"/>
                  <w:vAlign w:val="center"/>
                </w:tcPr>
                <w:p w14:paraId="50BF3DB0">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w:t>
                  </w:r>
                </w:p>
              </w:tc>
              <w:tc>
                <w:tcPr>
                  <w:tcW w:w="994" w:type="dxa"/>
                  <w:vMerge w:val="restart"/>
                  <w:tcBorders>
                    <w:top w:val="nil"/>
                    <w:left w:val="single" w:color="auto" w:sz="4" w:space="0"/>
                    <w:bottom w:val="single" w:color="000000" w:sz="4" w:space="0"/>
                    <w:right w:val="single" w:color="auto" w:sz="4" w:space="0"/>
                  </w:tcBorders>
                  <w:shd w:val="clear" w:color="auto" w:fill="auto"/>
                  <w:vAlign w:val="center"/>
                </w:tcPr>
                <w:p w14:paraId="55ABCDCD">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数据</w:t>
                  </w:r>
                </w:p>
                <w:p w14:paraId="5A00186E">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存储</w:t>
                  </w:r>
                </w:p>
              </w:tc>
              <w:tc>
                <w:tcPr>
                  <w:tcW w:w="1838" w:type="dxa"/>
                  <w:tcBorders>
                    <w:top w:val="nil"/>
                    <w:left w:val="nil"/>
                    <w:bottom w:val="single" w:color="auto" w:sz="4" w:space="0"/>
                    <w:right w:val="single" w:color="auto" w:sz="4" w:space="0"/>
                  </w:tcBorders>
                  <w:shd w:val="clear" w:color="auto" w:fill="auto"/>
                  <w:vAlign w:val="center"/>
                </w:tcPr>
                <w:p w14:paraId="48EE29C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车辆通行数据</w:t>
                  </w:r>
                </w:p>
              </w:tc>
              <w:tc>
                <w:tcPr>
                  <w:tcW w:w="3977" w:type="dxa"/>
                  <w:tcBorders>
                    <w:top w:val="nil"/>
                    <w:left w:val="nil"/>
                    <w:bottom w:val="single" w:color="auto" w:sz="4" w:space="0"/>
                    <w:right w:val="single" w:color="auto" w:sz="4" w:space="0"/>
                  </w:tcBorders>
                  <w:shd w:val="clear" w:color="auto" w:fill="auto"/>
                  <w:vAlign w:val="center"/>
                </w:tcPr>
                <w:p w14:paraId="19224DF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应能够存储≥90天的车辆通行信息数据</w:t>
                  </w:r>
                  <w:r>
                    <w:rPr>
                      <w:rFonts w:hint="eastAsia" w:ascii="宋体" w:hAnsi="宋体" w:eastAsia="宋体" w:cs="宋体"/>
                      <w:color w:val="000000"/>
                      <w:kern w:val="0"/>
                      <w:sz w:val="22"/>
                      <w:szCs w:val="22"/>
                      <w:lang w:eastAsia="zh-CN"/>
                    </w:rPr>
                    <w:t>。</w:t>
                  </w:r>
                </w:p>
              </w:tc>
            </w:tr>
            <w:tr w14:paraId="06A5D72B">
              <w:tblPrEx>
                <w:tblCellMar>
                  <w:top w:w="0" w:type="dxa"/>
                  <w:left w:w="108" w:type="dxa"/>
                  <w:bottom w:w="0" w:type="dxa"/>
                  <w:right w:w="108" w:type="dxa"/>
                </w:tblCellMar>
              </w:tblPrEx>
              <w:trPr>
                <w:trHeight w:val="726" w:hRule="atLeast"/>
                <w:jc w:val="center"/>
              </w:trPr>
              <w:tc>
                <w:tcPr>
                  <w:tcW w:w="807" w:type="dxa"/>
                  <w:vMerge w:val="continue"/>
                  <w:tcBorders>
                    <w:top w:val="nil"/>
                    <w:left w:val="single" w:color="auto" w:sz="4" w:space="0"/>
                    <w:bottom w:val="single" w:color="auto" w:sz="4" w:space="0"/>
                    <w:right w:val="single" w:color="auto" w:sz="4" w:space="0"/>
                  </w:tcBorders>
                  <w:vAlign w:val="center"/>
                </w:tcPr>
                <w:p w14:paraId="49EE798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000000" w:sz="4" w:space="0"/>
                    <w:right w:val="single" w:color="auto" w:sz="4" w:space="0"/>
                  </w:tcBorders>
                  <w:vAlign w:val="center"/>
                </w:tcPr>
                <w:p w14:paraId="18516238">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540E58F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交通视频监控录像数据</w:t>
                  </w:r>
                </w:p>
              </w:tc>
              <w:tc>
                <w:tcPr>
                  <w:tcW w:w="3977" w:type="dxa"/>
                  <w:tcBorders>
                    <w:top w:val="nil"/>
                    <w:left w:val="nil"/>
                    <w:bottom w:val="single" w:color="auto" w:sz="4" w:space="0"/>
                    <w:right w:val="single" w:color="auto" w:sz="4" w:space="0"/>
                  </w:tcBorders>
                  <w:shd w:val="clear" w:color="auto" w:fill="auto"/>
                  <w:vAlign w:val="center"/>
                </w:tcPr>
                <w:p w14:paraId="0A08861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视频图像信息保存时间应≥30天</w:t>
                  </w:r>
                  <w:r>
                    <w:rPr>
                      <w:rFonts w:hint="eastAsia" w:ascii="宋体" w:hAnsi="宋体" w:eastAsia="宋体" w:cs="宋体"/>
                      <w:color w:val="000000"/>
                      <w:kern w:val="0"/>
                      <w:sz w:val="22"/>
                      <w:szCs w:val="22"/>
                      <w:lang w:eastAsia="zh-CN"/>
                    </w:rPr>
                    <w:t>。</w:t>
                  </w:r>
                </w:p>
              </w:tc>
            </w:tr>
            <w:tr w14:paraId="113F3F61">
              <w:tblPrEx>
                <w:tblCellMar>
                  <w:top w:w="0" w:type="dxa"/>
                  <w:left w:w="108" w:type="dxa"/>
                  <w:bottom w:w="0" w:type="dxa"/>
                  <w:right w:w="108" w:type="dxa"/>
                </w:tblCellMar>
              </w:tblPrEx>
              <w:trPr>
                <w:trHeight w:val="726" w:hRule="atLeast"/>
                <w:jc w:val="center"/>
              </w:trPr>
              <w:tc>
                <w:tcPr>
                  <w:tcW w:w="807" w:type="dxa"/>
                  <w:vMerge w:val="continue"/>
                  <w:tcBorders>
                    <w:top w:val="nil"/>
                    <w:left w:val="single" w:color="auto" w:sz="4" w:space="0"/>
                    <w:bottom w:val="single" w:color="auto" w:sz="4" w:space="0"/>
                    <w:right w:val="single" w:color="auto" w:sz="4" w:space="0"/>
                  </w:tcBorders>
                  <w:vAlign w:val="center"/>
                </w:tcPr>
                <w:p w14:paraId="7488BAB9">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000000" w:sz="4" w:space="0"/>
                    <w:right w:val="single" w:color="auto" w:sz="4" w:space="0"/>
                  </w:tcBorders>
                  <w:vAlign w:val="center"/>
                </w:tcPr>
                <w:p w14:paraId="4BAB6737">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4C69DE4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违法图片数据</w:t>
                  </w:r>
                </w:p>
              </w:tc>
              <w:tc>
                <w:tcPr>
                  <w:tcW w:w="3977" w:type="dxa"/>
                  <w:tcBorders>
                    <w:top w:val="nil"/>
                    <w:left w:val="nil"/>
                    <w:bottom w:val="single" w:color="auto" w:sz="4" w:space="0"/>
                    <w:right w:val="single" w:color="auto" w:sz="4" w:space="0"/>
                  </w:tcBorders>
                  <w:shd w:val="clear" w:color="auto" w:fill="auto"/>
                  <w:vAlign w:val="center"/>
                </w:tcPr>
                <w:p w14:paraId="7B990377">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应能够存储≥30天的车辆交通安全违法信息数据</w:t>
                  </w:r>
                  <w:r>
                    <w:rPr>
                      <w:rFonts w:hint="eastAsia" w:ascii="宋体" w:hAnsi="宋体" w:eastAsia="宋体" w:cs="宋体"/>
                      <w:color w:val="000000"/>
                      <w:kern w:val="0"/>
                      <w:sz w:val="22"/>
                      <w:szCs w:val="22"/>
                      <w:lang w:eastAsia="zh-CN"/>
                    </w:rPr>
                    <w:t>。</w:t>
                  </w:r>
                </w:p>
              </w:tc>
            </w:tr>
            <w:tr w14:paraId="3FEFD5E8">
              <w:tblPrEx>
                <w:tblCellMar>
                  <w:top w:w="0" w:type="dxa"/>
                  <w:left w:w="108" w:type="dxa"/>
                  <w:bottom w:w="0" w:type="dxa"/>
                  <w:right w:w="108" w:type="dxa"/>
                </w:tblCellMar>
              </w:tblPrEx>
              <w:trPr>
                <w:trHeight w:val="726" w:hRule="atLeast"/>
                <w:jc w:val="center"/>
              </w:trPr>
              <w:tc>
                <w:tcPr>
                  <w:tcW w:w="807" w:type="dxa"/>
                  <w:vMerge w:val="continue"/>
                  <w:tcBorders>
                    <w:top w:val="nil"/>
                    <w:left w:val="single" w:color="auto" w:sz="4" w:space="0"/>
                    <w:bottom w:val="single" w:color="auto" w:sz="4" w:space="0"/>
                    <w:right w:val="single" w:color="auto" w:sz="4" w:space="0"/>
                  </w:tcBorders>
                  <w:vAlign w:val="center"/>
                </w:tcPr>
                <w:p w14:paraId="419B469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000000" w:sz="4" w:space="0"/>
                    <w:right w:val="single" w:color="auto" w:sz="4" w:space="0"/>
                  </w:tcBorders>
                  <w:vAlign w:val="center"/>
                </w:tcPr>
                <w:p w14:paraId="35316090">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253737F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eastAsia="zh-CN"/>
                    </w:rPr>
                    <w:t>其他数据</w:t>
                  </w:r>
                </w:p>
              </w:tc>
              <w:tc>
                <w:tcPr>
                  <w:tcW w:w="3977" w:type="dxa"/>
                  <w:tcBorders>
                    <w:top w:val="nil"/>
                    <w:left w:val="nil"/>
                    <w:bottom w:val="single" w:color="auto" w:sz="4" w:space="0"/>
                    <w:right w:val="single" w:color="auto" w:sz="4" w:space="0"/>
                  </w:tcBorders>
                  <w:shd w:val="clear" w:color="auto" w:fill="auto"/>
                  <w:vAlign w:val="center"/>
                </w:tcPr>
                <w:p w14:paraId="081E99D0">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eastAsia="zh-CN"/>
                    </w:rPr>
                    <w:t>其他</w:t>
                  </w:r>
                  <w:r>
                    <w:rPr>
                      <w:rFonts w:hint="eastAsia" w:ascii="宋体" w:hAnsi="宋体" w:eastAsia="宋体" w:cs="宋体"/>
                      <w:color w:val="000000"/>
                      <w:kern w:val="0"/>
                      <w:sz w:val="22"/>
                      <w:szCs w:val="22"/>
                    </w:rPr>
                    <w:t>信息数据存储时间应≥30天</w:t>
                  </w:r>
                  <w:r>
                    <w:rPr>
                      <w:rFonts w:hint="eastAsia" w:ascii="宋体" w:hAnsi="宋体" w:eastAsia="宋体" w:cs="宋体"/>
                      <w:color w:val="000000"/>
                      <w:kern w:val="0"/>
                      <w:sz w:val="22"/>
                      <w:szCs w:val="22"/>
                      <w:lang w:eastAsia="zh-CN"/>
                    </w:rPr>
                    <w:t>。</w:t>
                  </w:r>
                </w:p>
              </w:tc>
            </w:tr>
            <w:tr w14:paraId="36D840E2">
              <w:tblPrEx>
                <w:tblCellMar>
                  <w:top w:w="0" w:type="dxa"/>
                  <w:left w:w="108" w:type="dxa"/>
                  <w:bottom w:w="0" w:type="dxa"/>
                  <w:right w:w="108" w:type="dxa"/>
                </w:tblCellMar>
              </w:tblPrEx>
              <w:trPr>
                <w:trHeight w:val="367" w:hRule="atLeast"/>
                <w:jc w:val="center"/>
              </w:trPr>
              <w:tc>
                <w:tcPr>
                  <w:tcW w:w="807" w:type="dxa"/>
                  <w:vMerge w:val="continue"/>
                  <w:tcBorders>
                    <w:top w:val="nil"/>
                    <w:left w:val="single" w:color="auto" w:sz="4" w:space="0"/>
                    <w:bottom w:val="single" w:color="auto" w:sz="4" w:space="0"/>
                    <w:right w:val="single" w:color="auto" w:sz="4" w:space="0"/>
                  </w:tcBorders>
                  <w:vAlign w:val="center"/>
                </w:tcPr>
                <w:p w14:paraId="0B4A488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000000" w:sz="4" w:space="0"/>
                    <w:right w:val="single" w:color="auto" w:sz="4" w:space="0"/>
                  </w:tcBorders>
                  <w:vAlign w:val="center"/>
                </w:tcPr>
                <w:p w14:paraId="45140236">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5B32BEA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接入协议</w:t>
                  </w:r>
                </w:p>
              </w:tc>
              <w:tc>
                <w:tcPr>
                  <w:tcW w:w="3977" w:type="dxa"/>
                  <w:tcBorders>
                    <w:top w:val="nil"/>
                    <w:left w:val="nil"/>
                    <w:bottom w:val="single" w:color="auto" w:sz="4" w:space="0"/>
                    <w:right w:val="single" w:color="auto" w:sz="4" w:space="0"/>
                  </w:tcBorders>
                  <w:shd w:val="clear" w:color="auto" w:fill="auto"/>
                  <w:vAlign w:val="center"/>
                </w:tcPr>
                <w:p w14:paraId="6CB16167">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须符合GA/T 1400</w:t>
                  </w:r>
                  <w:r>
                    <w:rPr>
                      <w:rFonts w:hint="eastAsia" w:ascii="宋体" w:hAnsi="宋体" w:eastAsia="宋体" w:cs="宋体"/>
                      <w:color w:val="000000"/>
                      <w:kern w:val="0"/>
                      <w:sz w:val="22"/>
                      <w:szCs w:val="22"/>
                      <w:lang w:val="en-US" w:eastAsia="zh-CN"/>
                    </w:rPr>
                    <w:t>要求</w:t>
                  </w:r>
                  <w:r>
                    <w:rPr>
                      <w:rFonts w:hint="eastAsia" w:ascii="宋体" w:hAnsi="宋体" w:eastAsia="宋体" w:cs="宋体"/>
                      <w:color w:val="000000"/>
                      <w:kern w:val="0"/>
                      <w:sz w:val="22"/>
                      <w:szCs w:val="22"/>
                      <w:lang w:eastAsia="zh-CN"/>
                    </w:rPr>
                    <w:t>。</w:t>
                  </w:r>
                </w:p>
              </w:tc>
            </w:tr>
            <w:tr w14:paraId="23D19434">
              <w:tblPrEx>
                <w:tblCellMar>
                  <w:top w:w="0" w:type="dxa"/>
                  <w:left w:w="108" w:type="dxa"/>
                  <w:bottom w:w="0" w:type="dxa"/>
                  <w:right w:w="108" w:type="dxa"/>
                </w:tblCellMar>
              </w:tblPrEx>
              <w:trPr>
                <w:trHeight w:val="726" w:hRule="atLeast"/>
                <w:jc w:val="center"/>
              </w:trPr>
              <w:tc>
                <w:tcPr>
                  <w:tcW w:w="807" w:type="dxa"/>
                  <w:vMerge w:val="restart"/>
                  <w:tcBorders>
                    <w:top w:val="nil"/>
                    <w:left w:val="single" w:color="auto" w:sz="4" w:space="0"/>
                    <w:bottom w:val="single" w:color="000000" w:sz="4" w:space="0"/>
                    <w:right w:val="single" w:color="auto" w:sz="4" w:space="0"/>
                  </w:tcBorders>
                  <w:shd w:val="clear" w:color="auto" w:fill="auto"/>
                  <w:vAlign w:val="center"/>
                </w:tcPr>
                <w:p w14:paraId="5C989210">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w:t>
                  </w:r>
                </w:p>
              </w:tc>
              <w:tc>
                <w:tcPr>
                  <w:tcW w:w="994" w:type="dxa"/>
                  <w:vMerge w:val="restart"/>
                  <w:tcBorders>
                    <w:top w:val="nil"/>
                    <w:left w:val="single" w:color="auto" w:sz="4" w:space="0"/>
                    <w:bottom w:val="single" w:color="000000" w:sz="4" w:space="0"/>
                    <w:right w:val="single" w:color="auto" w:sz="4" w:space="0"/>
                  </w:tcBorders>
                  <w:shd w:val="clear" w:color="auto" w:fill="auto"/>
                  <w:vAlign w:val="center"/>
                </w:tcPr>
                <w:p w14:paraId="78357C3F">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安全可靠性要求</w:t>
                  </w:r>
                </w:p>
              </w:tc>
              <w:tc>
                <w:tcPr>
                  <w:tcW w:w="1838" w:type="dxa"/>
                  <w:tcBorders>
                    <w:top w:val="nil"/>
                    <w:left w:val="nil"/>
                    <w:bottom w:val="single" w:color="auto" w:sz="4" w:space="0"/>
                    <w:right w:val="single" w:color="auto" w:sz="4" w:space="0"/>
                  </w:tcBorders>
                  <w:shd w:val="clear" w:color="auto" w:fill="auto"/>
                  <w:vAlign w:val="center"/>
                </w:tcPr>
                <w:p w14:paraId="0AC164B0">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平均无故障连续工作时间</w:t>
                  </w:r>
                </w:p>
              </w:tc>
              <w:tc>
                <w:tcPr>
                  <w:tcW w:w="3977" w:type="dxa"/>
                  <w:tcBorders>
                    <w:top w:val="nil"/>
                    <w:left w:val="nil"/>
                    <w:bottom w:val="single" w:color="auto" w:sz="4" w:space="0"/>
                    <w:right w:val="single" w:color="auto" w:sz="4" w:space="0"/>
                  </w:tcBorders>
                  <w:shd w:val="clear" w:color="auto" w:fill="auto"/>
                  <w:vAlign w:val="center"/>
                </w:tcPr>
                <w:p w14:paraId="46A6F07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5000小时以上(MTBF)</w:t>
                  </w:r>
                  <w:r>
                    <w:rPr>
                      <w:rFonts w:hint="eastAsia" w:ascii="宋体" w:hAnsi="宋体" w:eastAsia="宋体" w:cs="宋体"/>
                      <w:color w:val="000000"/>
                      <w:kern w:val="0"/>
                      <w:sz w:val="22"/>
                      <w:szCs w:val="22"/>
                      <w:lang w:eastAsia="zh-CN"/>
                    </w:rPr>
                    <w:t>。</w:t>
                  </w:r>
                </w:p>
              </w:tc>
            </w:tr>
            <w:tr w14:paraId="64C9A525">
              <w:tblPrEx>
                <w:tblCellMar>
                  <w:top w:w="0" w:type="dxa"/>
                  <w:left w:w="108" w:type="dxa"/>
                  <w:bottom w:w="0" w:type="dxa"/>
                  <w:right w:w="108" w:type="dxa"/>
                </w:tblCellMar>
              </w:tblPrEx>
              <w:trPr>
                <w:trHeight w:val="367" w:hRule="atLeast"/>
                <w:jc w:val="center"/>
              </w:trPr>
              <w:tc>
                <w:tcPr>
                  <w:tcW w:w="807" w:type="dxa"/>
                  <w:vMerge w:val="continue"/>
                  <w:tcBorders>
                    <w:top w:val="nil"/>
                    <w:left w:val="single" w:color="auto" w:sz="4" w:space="0"/>
                    <w:bottom w:val="single" w:color="000000" w:sz="4" w:space="0"/>
                    <w:right w:val="single" w:color="auto" w:sz="4" w:space="0"/>
                  </w:tcBorders>
                  <w:vAlign w:val="center"/>
                </w:tcPr>
                <w:p w14:paraId="0E15C0C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000000" w:sz="4" w:space="0"/>
                    <w:right w:val="single" w:color="auto" w:sz="4" w:space="0"/>
                  </w:tcBorders>
                  <w:vAlign w:val="center"/>
                </w:tcPr>
                <w:p w14:paraId="69530B5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0DF62CE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工作温度</w:t>
                  </w:r>
                </w:p>
              </w:tc>
              <w:tc>
                <w:tcPr>
                  <w:tcW w:w="3977" w:type="dxa"/>
                  <w:tcBorders>
                    <w:top w:val="nil"/>
                    <w:left w:val="nil"/>
                    <w:bottom w:val="single" w:color="auto" w:sz="4" w:space="0"/>
                    <w:right w:val="single" w:color="auto" w:sz="4" w:space="0"/>
                  </w:tcBorders>
                  <w:shd w:val="clear" w:color="auto" w:fill="auto"/>
                  <w:vAlign w:val="center"/>
                </w:tcPr>
                <w:p w14:paraId="4F3B9585">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-20℃～+70℃</w:t>
                  </w:r>
                </w:p>
              </w:tc>
            </w:tr>
            <w:tr w14:paraId="05139D86">
              <w:tblPrEx>
                <w:tblCellMar>
                  <w:top w:w="0" w:type="dxa"/>
                  <w:left w:w="108" w:type="dxa"/>
                  <w:bottom w:w="0" w:type="dxa"/>
                  <w:right w:w="108" w:type="dxa"/>
                </w:tblCellMar>
              </w:tblPrEx>
              <w:trPr>
                <w:trHeight w:val="367" w:hRule="atLeast"/>
                <w:jc w:val="center"/>
              </w:trPr>
              <w:tc>
                <w:tcPr>
                  <w:tcW w:w="807" w:type="dxa"/>
                  <w:vMerge w:val="continue"/>
                  <w:tcBorders>
                    <w:top w:val="nil"/>
                    <w:left w:val="single" w:color="auto" w:sz="4" w:space="0"/>
                    <w:bottom w:val="single" w:color="000000" w:sz="4" w:space="0"/>
                    <w:right w:val="single" w:color="auto" w:sz="4" w:space="0"/>
                  </w:tcBorders>
                  <w:vAlign w:val="center"/>
                </w:tcPr>
                <w:p w14:paraId="229F33E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000000" w:sz="4" w:space="0"/>
                    <w:right w:val="single" w:color="auto" w:sz="4" w:space="0"/>
                  </w:tcBorders>
                  <w:vAlign w:val="center"/>
                </w:tcPr>
                <w:p w14:paraId="19E1976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7C5C2077">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工作相对湿度</w:t>
                  </w:r>
                </w:p>
              </w:tc>
              <w:tc>
                <w:tcPr>
                  <w:tcW w:w="3977" w:type="dxa"/>
                  <w:tcBorders>
                    <w:top w:val="nil"/>
                    <w:left w:val="nil"/>
                    <w:bottom w:val="single" w:color="auto" w:sz="4" w:space="0"/>
                    <w:right w:val="single" w:color="auto" w:sz="4" w:space="0"/>
                  </w:tcBorders>
                  <w:shd w:val="clear" w:color="auto" w:fill="auto"/>
                  <w:vAlign w:val="center"/>
                </w:tcPr>
                <w:p w14:paraId="0F9DEF5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20%～100%（非凝结）</w:t>
                  </w:r>
                </w:p>
              </w:tc>
            </w:tr>
            <w:tr w14:paraId="05D79B94">
              <w:tblPrEx>
                <w:tblCellMar>
                  <w:top w:w="0" w:type="dxa"/>
                  <w:left w:w="108" w:type="dxa"/>
                  <w:bottom w:w="0" w:type="dxa"/>
                  <w:right w:w="108" w:type="dxa"/>
                </w:tblCellMar>
              </w:tblPrEx>
              <w:trPr>
                <w:trHeight w:val="367" w:hRule="atLeast"/>
                <w:jc w:val="center"/>
              </w:trPr>
              <w:tc>
                <w:tcPr>
                  <w:tcW w:w="807" w:type="dxa"/>
                  <w:vMerge w:val="continue"/>
                  <w:tcBorders>
                    <w:top w:val="nil"/>
                    <w:left w:val="single" w:color="auto" w:sz="4" w:space="0"/>
                    <w:bottom w:val="single" w:color="000000" w:sz="4" w:space="0"/>
                    <w:right w:val="single" w:color="auto" w:sz="4" w:space="0"/>
                  </w:tcBorders>
                  <w:vAlign w:val="center"/>
                </w:tcPr>
                <w:p w14:paraId="6449544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000000" w:sz="4" w:space="0"/>
                    <w:right w:val="single" w:color="auto" w:sz="4" w:space="0"/>
                  </w:tcBorders>
                  <w:vAlign w:val="center"/>
                </w:tcPr>
                <w:p w14:paraId="1D54DC1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54FF7BD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抗电</w:t>
                  </w:r>
                </w:p>
              </w:tc>
              <w:tc>
                <w:tcPr>
                  <w:tcW w:w="3977" w:type="dxa"/>
                  <w:tcBorders>
                    <w:top w:val="nil"/>
                    <w:left w:val="nil"/>
                    <w:bottom w:val="single" w:color="auto" w:sz="4" w:space="0"/>
                    <w:right w:val="single" w:color="auto" w:sz="4" w:space="0"/>
                  </w:tcBorders>
                  <w:shd w:val="clear" w:color="auto" w:fill="auto"/>
                  <w:vAlign w:val="center"/>
                </w:tcPr>
                <w:p w14:paraId="2E982FC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1500VDC，1分钟</w:t>
                  </w:r>
                  <w:r>
                    <w:rPr>
                      <w:rFonts w:hint="eastAsia" w:ascii="宋体" w:hAnsi="宋体" w:eastAsia="宋体" w:cs="宋体"/>
                      <w:color w:val="000000"/>
                      <w:kern w:val="0"/>
                      <w:sz w:val="22"/>
                      <w:szCs w:val="22"/>
                      <w:lang w:eastAsia="zh-CN"/>
                    </w:rPr>
                    <w:t>。</w:t>
                  </w:r>
                </w:p>
              </w:tc>
            </w:tr>
            <w:tr w14:paraId="29418408">
              <w:tblPrEx>
                <w:tblCellMar>
                  <w:top w:w="0" w:type="dxa"/>
                  <w:left w:w="108" w:type="dxa"/>
                  <w:bottom w:w="0" w:type="dxa"/>
                  <w:right w:w="108" w:type="dxa"/>
                </w:tblCellMar>
              </w:tblPrEx>
              <w:trPr>
                <w:trHeight w:val="367" w:hRule="atLeast"/>
                <w:jc w:val="center"/>
              </w:trPr>
              <w:tc>
                <w:tcPr>
                  <w:tcW w:w="807" w:type="dxa"/>
                  <w:vMerge w:val="continue"/>
                  <w:tcBorders>
                    <w:top w:val="nil"/>
                    <w:left w:val="single" w:color="auto" w:sz="4" w:space="0"/>
                    <w:bottom w:val="single" w:color="000000" w:sz="4" w:space="0"/>
                    <w:right w:val="single" w:color="auto" w:sz="4" w:space="0"/>
                  </w:tcBorders>
                  <w:vAlign w:val="center"/>
                </w:tcPr>
                <w:p w14:paraId="0A771A25">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000000" w:sz="4" w:space="0"/>
                    <w:right w:val="single" w:color="auto" w:sz="4" w:space="0"/>
                  </w:tcBorders>
                  <w:vAlign w:val="center"/>
                </w:tcPr>
                <w:p w14:paraId="68E3D3F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74C1548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绝缘</w:t>
                  </w:r>
                </w:p>
              </w:tc>
              <w:tc>
                <w:tcPr>
                  <w:tcW w:w="3977" w:type="dxa"/>
                  <w:tcBorders>
                    <w:top w:val="nil"/>
                    <w:left w:val="nil"/>
                    <w:bottom w:val="single" w:color="auto" w:sz="4" w:space="0"/>
                    <w:right w:val="single" w:color="auto" w:sz="4" w:space="0"/>
                  </w:tcBorders>
                  <w:shd w:val="clear" w:color="auto" w:fill="auto"/>
                  <w:vAlign w:val="center"/>
                </w:tcPr>
                <w:p w14:paraId="53D6BA9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&gt;10MΩ(常温下)</w:t>
                  </w:r>
                  <w:r>
                    <w:rPr>
                      <w:rFonts w:hint="eastAsia" w:ascii="宋体" w:hAnsi="宋体" w:eastAsia="宋体" w:cs="宋体"/>
                      <w:color w:val="000000"/>
                      <w:kern w:val="0"/>
                      <w:sz w:val="22"/>
                      <w:szCs w:val="22"/>
                      <w:lang w:eastAsia="zh-CN"/>
                    </w:rPr>
                    <w:t>。</w:t>
                  </w:r>
                </w:p>
              </w:tc>
            </w:tr>
            <w:tr w14:paraId="1AAD784C">
              <w:tblPrEx>
                <w:tblCellMar>
                  <w:top w:w="0" w:type="dxa"/>
                  <w:left w:w="108" w:type="dxa"/>
                  <w:bottom w:w="0" w:type="dxa"/>
                  <w:right w:w="108" w:type="dxa"/>
                </w:tblCellMar>
              </w:tblPrEx>
              <w:trPr>
                <w:trHeight w:val="367" w:hRule="atLeast"/>
                <w:jc w:val="center"/>
              </w:trPr>
              <w:tc>
                <w:tcPr>
                  <w:tcW w:w="807" w:type="dxa"/>
                  <w:vMerge w:val="continue"/>
                  <w:tcBorders>
                    <w:top w:val="nil"/>
                    <w:left w:val="single" w:color="auto" w:sz="4" w:space="0"/>
                    <w:bottom w:val="single" w:color="000000" w:sz="4" w:space="0"/>
                    <w:right w:val="single" w:color="auto" w:sz="4" w:space="0"/>
                  </w:tcBorders>
                  <w:vAlign w:val="center"/>
                </w:tcPr>
                <w:p w14:paraId="724CC915">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000000" w:sz="4" w:space="0"/>
                    <w:right w:val="single" w:color="auto" w:sz="4" w:space="0"/>
                  </w:tcBorders>
                  <w:vAlign w:val="center"/>
                </w:tcPr>
                <w:p w14:paraId="1429E54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22C32D8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接地</w:t>
                  </w:r>
                </w:p>
              </w:tc>
              <w:tc>
                <w:tcPr>
                  <w:tcW w:w="3977" w:type="dxa"/>
                  <w:tcBorders>
                    <w:top w:val="nil"/>
                    <w:left w:val="nil"/>
                    <w:bottom w:val="single" w:color="auto" w:sz="4" w:space="0"/>
                    <w:right w:val="single" w:color="auto" w:sz="4" w:space="0"/>
                  </w:tcBorders>
                  <w:shd w:val="clear" w:color="auto" w:fill="auto"/>
                  <w:vAlign w:val="center"/>
                </w:tcPr>
                <w:p w14:paraId="187D91F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接地电阻应小于4Ω</w:t>
                  </w:r>
                  <w:r>
                    <w:rPr>
                      <w:rFonts w:hint="eastAsia" w:ascii="宋体" w:hAnsi="宋体" w:eastAsia="宋体" w:cs="宋体"/>
                      <w:color w:val="000000"/>
                      <w:kern w:val="0"/>
                      <w:sz w:val="22"/>
                      <w:szCs w:val="22"/>
                      <w:lang w:eastAsia="zh-CN"/>
                    </w:rPr>
                    <w:t>。</w:t>
                  </w:r>
                </w:p>
              </w:tc>
            </w:tr>
            <w:tr w14:paraId="5D625CB3">
              <w:tblPrEx>
                <w:tblCellMar>
                  <w:top w:w="0" w:type="dxa"/>
                  <w:left w:w="108" w:type="dxa"/>
                  <w:bottom w:w="0" w:type="dxa"/>
                  <w:right w:w="108" w:type="dxa"/>
                </w:tblCellMar>
              </w:tblPrEx>
              <w:trPr>
                <w:trHeight w:val="726" w:hRule="atLeast"/>
                <w:jc w:val="center"/>
              </w:trPr>
              <w:tc>
                <w:tcPr>
                  <w:tcW w:w="807" w:type="dxa"/>
                  <w:vMerge w:val="continue"/>
                  <w:tcBorders>
                    <w:top w:val="nil"/>
                    <w:left w:val="single" w:color="auto" w:sz="4" w:space="0"/>
                    <w:bottom w:val="single" w:color="000000" w:sz="4" w:space="0"/>
                    <w:right w:val="single" w:color="auto" w:sz="4" w:space="0"/>
                  </w:tcBorders>
                  <w:vAlign w:val="center"/>
                </w:tcPr>
                <w:p w14:paraId="79CC1B9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000000" w:sz="4" w:space="0"/>
                    <w:right w:val="single" w:color="auto" w:sz="4" w:space="0"/>
                  </w:tcBorders>
                  <w:vAlign w:val="center"/>
                </w:tcPr>
                <w:p w14:paraId="178AA3E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6C2A609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工作方式</w:t>
                  </w:r>
                </w:p>
              </w:tc>
              <w:tc>
                <w:tcPr>
                  <w:tcW w:w="3977" w:type="dxa"/>
                  <w:tcBorders>
                    <w:top w:val="nil"/>
                    <w:left w:val="nil"/>
                    <w:bottom w:val="single" w:color="auto" w:sz="4" w:space="0"/>
                    <w:right w:val="single" w:color="auto" w:sz="4" w:space="0"/>
                  </w:tcBorders>
                  <w:shd w:val="clear" w:color="auto" w:fill="auto"/>
                  <w:vAlign w:val="center"/>
                </w:tcPr>
                <w:p w14:paraId="74D46CC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24小时全天候工作，防雨、防尘、防雷和抗电磁干扰。</w:t>
                  </w:r>
                </w:p>
              </w:tc>
            </w:tr>
            <w:tr w14:paraId="413769C9">
              <w:tblPrEx>
                <w:tblCellMar>
                  <w:top w:w="0" w:type="dxa"/>
                  <w:left w:w="108" w:type="dxa"/>
                  <w:bottom w:w="0" w:type="dxa"/>
                  <w:right w:w="108" w:type="dxa"/>
                </w:tblCellMar>
              </w:tblPrEx>
              <w:trPr>
                <w:trHeight w:val="377" w:hRule="atLeast"/>
                <w:jc w:val="center"/>
              </w:trPr>
              <w:tc>
                <w:tcPr>
                  <w:tcW w:w="807" w:type="dxa"/>
                  <w:vMerge w:val="continue"/>
                  <w:tcBorders>
                    <w:top w:val="nil"/>
                    <w:left w:val="single" w:color="auto" w:sz="4" w:space="0"/>
                    <w:bottom w:val="single" w:color="000000" w:sz="4" w:space="0"/>
                    <w:right w:val="single" w:color="auto" w:sz="4" w:space="0"/>
                  </w:tcBorders>
                  <w:vAlign w:val="center"/>
                </w:tcPr>
                <w:p w14:paraId="411103C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994" w:type="dxa"/>
                  <w:vMerge w:val="continue"/>
                  <w:tcBorders>
                    <w:top w:val="nil"/>
                    <w:left w:val="single" w:color="auto" w:sz="4" w:space="0"/>
                    <w:bottom w:val="single" w:color="000000" w:sz="4" w:space="0"/>
                    <w:right w:val="single" w:color="auto" w:sz="4" w:space="0"/>
                  </w:tcBorders>
                  <w:vAlign w:val="center"/>
                </w:tcPr>
                <w:p w14:paraId="1B13987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838" w:type="dxa"/>
                  <w:tcBorders>
                    <w:top w:val="nil"/>
                    <w:left w:val="nil"/>
                    <w:bottom w:val="single" w:color="auto" w:sz="4" w:space="0"/>
                    <w:right w:val="single" w:color="auto" w:sz="4" w:space="0"/>
                  </w:tcBorders>
                  <w:shd w:val="clear" w:color="auto" w:fill="auto"/>
                  <w:vAlign w:val="center"/>
                </w:tcPr>
                <w:p w14:paraId="23FCF9A7">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防护等级</w:t>
                  </w:r>
                </w:p>
              </w:tc>
              <w:tc>
                <w:tcPr>
                  <w:tcW w:w="3977" w:type="dxa"/>
                  <w:tcBorders>
                    <w:top w:val="nil"/>
                    <w:left w:val="nil"/>
                    <w:bottom w:val="single" w:color="auto" w:sz="4" w:space="0"/>
                    <w:right w:val="single" w:color="auto" w:sz="4" w:space="0"/>
                  </w:tcBorders>
                  <w:shd w:val="clear" w:color="auto" w:fill="auto"/>
                  <w:vAlign w:val="center"/>
                </w:tcPr>
                <w:p w14:paraId="5EB1A818">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w:t>
                  </w:r>
                  <w:r>
                    <w:rPr>
                      <w:rFonts w:hint="eastAsia" w:ascii="宋体" w:hAnsi="宋体" w:eastAsia="宋体" w:cs="宋体"/>
                      <w:color w:val="000000"/>
                      <w:kern w:val="0"/>
                      <w:sz w:val="22"/>
                      <w:szCs w:val="22"/>
                    </w:rPr>
                    <w:t>IP66</w:t>
                  </w:r>
                  <w:r>
                    <w:rPr>
                      <w:rFonts w:hint="eastAsia" w:ascii="宋体" w:hAnsi="宋体" w:eastAsia="宋体" w:cs="宋体"/>
                      <w:color w:val="000000"/>
                      <w:kern w:val="0"/>
                      <w:sz w:val="22"/>
                      <w:szCs w:val="22"/>
                      <w:lang w:eastAsia="zh-CN"/>
                    </w:rPr>
                    <w:t>。</w:t>
                  </w:r>
                </w:p>
              </w:tc>
            </w:tr>
          </w:tbl>
          <w:p w14:paraId="4F2C53E5">
            <w:pPr>
              <w:pageBreakBefore w:val="0"/>
              <w:kinsoku/>
              <w:wordWrap/>
              <w:overflowPunct/>
              <w:topLinePunct w:val="0"/>
              <w:autoSpaceDE/>
              <w:autoSpaceDN/>
              <w:bidi w:val="0"/>
              <w:adjustRightInd/>
              <w:snapToGrid/>
              <w:spacing w:beforeAutospacing="0" w:afterAutospacing="0" w:line="360" w:lineRule="auto"/>
              <w:ind w:firstLine="480"/>
              <w:textAlignment w:val="auto"/>
              <w:rPr>
                <w:rFonts w:hint="eastAsia" w:ascii="宋体" w:hAnsi="宋体" w:eastAsia="宋体" w:cs="宋体"/>
                <w:b w:val="0"/>
                <w:bCs w:val="0"/>
                <w:color w:val="auto"/>
                <w:sz w:val="22"/>
                <w:szCs w:val="22"/>
                <w:highlight w:val="none"/>
                <w:lang w:val="en-US" w:eastAsia="zh-CN" w:bidi="ar-SA"/>
              </w:rPr>
            </w:pPr>
          </w:p>
        </w:tc>
        <w:tc>
          <w:tcPr>
            <w:tcW w:w="1208" w:type="dxa"/>
          </w:tcPr>
          <w:p w14:paraId="522AF144">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50C9BBA2">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5148B39E">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68A8EF00">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5AC2D553">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43FC25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0" w:type="dxa"/>
            <w:vAlign w:val="center"/>
          </w:tcPr>
          <w:p w14:paraId="36BDE0BB">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val="0"/>
                <w:bCs w:val="0"/>
                <w:color w:val="auto"/>
                <w:sz w:val="22"/>
                <w:szCs w:val="22"/>
                <w:highlight w:val="none"/>
                <w:lang w:val="en-US"/>
              </w:rPr>
            </w:pPr>
            <w:r>
              <w:rPr>
                <w:rFonts w:hint="eastAsia" w:ascii="宋体" w:hAnsi="宋体" w:eastAsia="宋体" w:cs="宋体"/>
                <w:i w:val="0"/>
                <w:iCs w:val="0"/>
                <w:color w:val="auto"/>
                <w:kern w:val="0"/>
                <w:sz w:val="22"/>
                <w:szCs w:val="22"/>
                <w:highlight w:val="none"/>
                <w:u w:val="none"/>
                <w:lang w:val="en-US" w:eastAsia="zh-CN" w:bidi="ar"/>
              </w:rPr>
              <w:t>9</w:t>
            </w:r>
          </w:p>
        </w:tc>
        <w:tc>
          <w:tcPr>
            <w:tcW w:w="660" w:type="dxa"/>
          </w:tcPr>
          <w:p w14:paraId="4FB9882B">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545C68E6">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3C372C89">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lang w:val="en-US" w:eastAsia="zh-CN"/>
              </w:rPr>
            </w:pPr>
            <w:r>
              <w:rPr>
                <w:rFonts w:hint="eastAsia" w:ascii="宋体" w:hAnsi="宋体" w:eastAsia="宋体" w:cs="宋体"/>
                <w:b/>
                <w:bCs/>
                <w:kern w:val="2"/>
                <w:sz w:val="22"/>
                <w:szCs w:val="22"/>
                <w:lang w:val="en-US" w:eastAsia="zh-CN" w:bidi="ar-SA"/>
              </w:rPr>
              <w:t>5.3</w:t>
            </w:r>
            <w:r>
              <w:rPr>
                <w:rFonts w:hint="eastAsia" w:ascii="宋体" w:hAnsi="宋体" w:eastAsia="宋体" w:cs="宋体"/>
                <w:b/>
                <w:bCs/>
                <w:sz w:val="22"/>
                <w:szCs w:val="22"/>
              </w:rPr>
              <w:t>高速高清球型摄像设备技术指标</w:t>
            </w:r>
            <w:r>
              <w:rPr>
                <w:rFonts w:hint="eastAsia" w:ascii="宋体" w:hAnsi="宋体" w:eastAsia="宋体" w:cs="宋体"/>
                <w:b/>
                <w:bCs/>
                <w:sz w:val="22"/>
                <w:szCs w:val="22"/>
                <w:lang w:val="en-US" w:eastAsia="zh-CN"/>
              </w:rPr>
              <w:t>要求</w:t>
            </w:r>
          </w:p>
          <w:tbl>
            <w:tblPr>
              <w:tblStyle w:val="18"/>
              <w:tblW w:w="7549" w:type="dxa"/>
              <w:jc w:val="center"/>
              <w:tblLayout w:type="fixed"/>
              <w:tblCellMar>
                <w:top w:w="0" w:type="dxa"/>
                <w:left w:w="108" w:type="dxa"/>
                <w:bottom w:w="0" w:type="dxa"/>
                <w:right w:w="108" w:type="dxa"/>
              </w:tblCellMar>
            </w:tblPr>
            <w:tblGrid>
              <w:gridCol w:w="715"/>
              <w:gridCol w:w="891"/>
              <w:gridCol w:w="1416"/>
              <w:gridCol w:w="4527"/>
            </w:tblGrid>
            <w:tr w14:paraId="0D3D599C">
              <w:tblPrEx>
                <w:tblCellMar>
                  <w:top w:w="0" w:type="dxa"/>
                  <w:left w:w="108" w:type="dxa"/>
                  <w:bottom w:w="0" w:type="dxa"/>
                  <w:right w:w="108" w:type="dxa"/>
                </w:tblCellMar>
              </w:tblPrEx>
              <w:trPr>
                <w:trHeight w:val="684" w:hRule="atLeast"/>
                <w:tblHeader/>
                <w:jc w:val="center"/>
              </w:trPr>
              <w:tc>
                <w:tcPr>
                  <w:tcW w:w="715" w:type="dxa"/>
                  <w:tcBorders>
                    <w:top w:val="single" w:color="auto" w:sz="4" w:space="0"/>
                    <w:left w:val="single" w:color="auto" w:sz="4" w:space="0"/>
                    <w:bottom w:val="single" w:color="auto" w:sz="4" w:space="0"/>
                    <w:right w:val="single" w:color="auto" w:sz="4" w:space="0"/>
                  </w:tcBorders>
                  <w:shd w:val="clear" w:color="000000" w:fill="D7D7D7"/>
                  <w:vAlign w:val="center"/>
                </w:tcPr>
                <w:p w14:paraId="3E80738F">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序号</w:t>
                  </w:r>
                </w:p>
              </w:tc>
              <w:tc>
                <w:tcPr>
                  <w:tcW w:w="2307" w:type="dxa"/>
                  <w:gridSpan w:val="2"/>
                  <w:tcBorders>
                    <w:top w:val="single" w:color="auto" w:sz="4" w:space="0"/>
                    <w:left w:val="nil"/>
                    <w:bottom w:val="single" w:color="auto" w:sz="4" w:space="0"/>
                    <w:right w:val="single" w:color="auto" w:sz="4" w:space="0"/>
                  </w:tcBorders>
                  <w:shd w:val="clear" w:color="000000" w:fill="D7D7D7"/>
                  <w:vAlign w:val="center"/>
                </w:tcPr>
                <w:p w14:paraId="574A0C08">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指标</w:t>
                  </w:r>
                </w:p>
              </w:tc>
              <w:tc>
                <w:tcPr>
                  <w:tcW w:w="4527" w:type="dxa"/>
                  <w:tcBorders>
                    <w:top w:val="single" w:color="auto" w:sz="4" w:space="0"/>
                    <w:left w:val="nil"/>
                    <w:bottom w:val="single" w:color="auto" w:sz="4" w:space="0"/>
                    <w:right w:val="single" w:color="auto" w:sz="4" w:space="0"/>
                  </w:tcBorders>
                  <w:shd w:val="clear" w:color="000000" w:fill="D7D7D7"/>
                  <w:vAlign w:val="center"/>
                </w:tcPr>
                <w:p w14:paraId="739DDF94">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参数</w:t>
                  </w:r>
                </w:p>
              </w:tc>
            </w:tr>
            <w:tr w14:paraId="55B6CFE4">
              <w:tblPrEx>
                <w:tblCellMar>
                  <w:top w:w="0" w:type="dxa"/>
                  <w:left w:w="108" w:type="dxa"/>
                  <w:bottom w:w="0" w:type="dxa"/>
                  <w:right w:w="108" w:type="dxa"/>
                </w:tblCellMar>
              </w:tblPrEx>
              <w:trPr>
                <w:trHeight w:val="425" w:hRule="atLeast"/>
                <w:jc w:val="center"/>
              </w:trPr>
              <w:tc>
                <w:tcPr>
                  <w:tcW w:w="7549" w:type="dxa"/>
                  <w:gridSpan w:val="4"/>
                  <w:tcBorders>
                    <w:top w:val="single" w:color="auto" w:sz="4" w:space="0"/>
                    <w:left w:val="single" w:color="auto" w:sz="4" w:space="0"/>
                    <w:bottom w:val="single" w:color="auto" w:sz="4" w:space="0"/>
                    <w:right w:val="single" w:color="000000" w:sz="4" w:space="0"/>
                  </w:tcBorders>
                  <w:shd w:val="clear" w:color="auto" w:fill="auto"/>
                  <w:vAlign w:val="center"/>
                </w:tcPr>
                <w:p w14:paraId="4D0366F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一</w:t>
                  </w:r>
                  <w:r>
                    <w:rPr>
                      <w:rFonts w:hint="eastAsia" w:ascii="宋体" w:hAnsi="宋体" w:eastAsia="宋体" w:cs="宋体"/>
                      <w:color w:val="000000"/>
                      <w:kern w:val="0"/>
                      <w:sz w:val="22"/>
                      <w:szCs w:val="22"/>
                      <w:lang w:val="en-US" w:eastAsia="zh-CN"/>
                    </w:rPr>
                    <w:t>.</w:t>
                  </w:r>
                  <w:r>
                    <w:rPr>
                      <w:rFonts w:hint="eastAsia" w:ascii="宋体" w:hAnsi="宋体" w:eastAsia="宋体" w:cs="宋体"/>
                      <w:color w:val="000000"/>
                      <w:kern w:val="0"/>
                      <w:sz w:val="22"/>
                      <w:szCs w:val="22"/>
                    </w:rPr>
                    <w:t>电气要求</w:t>
                  </w:r>
                </w:p>
              </w:tc>
            </w:tr>
            <w:tr w14:paraId="6A80FBB7">
              <w:tblPrEx>
                <w:tblCellMar>
                  <w:top w:w="0" w:type="dxa"/>
                  <w:left w:w="108" w:type="dxa"/>
                  <w:bottom w:w="0" w:type="dxa"/>
                  <w:right w:w="108" w:type="dxa"/>
                </w:tblCellMar>
              </w:tblPrEx>
              <w:trPr>
                <w:trHeight w:val="1082" w:hRule="atLeast"/>
                <w:jc w:val="center"/>
              </w:trPr>
              <w:tc>
                <w:tcPr>
                  <w:tcW w:w="715" w:type="dxa"/>
                  <w:tcBorders>
                    <w:top w:val="nil"/>
                    <w:left w:val="single" w:color="auto" w:sz="4" w:space="0"/>
                    <w:bottom w:val="single" w:color="auto" w:sz="4" w:space="0"/>
                    <w:right w:val="single" w:color="auto" w:sz="4" w:space="0"/>
                  </w:tcBorders>
                  <w:shd w:val="clear" w:color="auto" w:fill="auto"/>
                  <w:vAlign w:val="center"/>
                </w:tcPr>
                <w:p w14:paraId="66914BC3">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2307" w:type="dxa"/>
                  <w:gridSpan w:val="2"/>
                  <w:tcBorders>
                    <w:top w:val="single" w:color="auto" w:sz="4" w:space="0"/>
                    <w:left w:val="nil"/>
                    <w:bottom w:val="single" w:color="auto" w:sz="4" w:space="0"/>
                    <w:right w:val="single" w:color="auto" w:sz="4" w:space="0"/>
                  </w:tcBorders>
                  <w:shd w:val="clear" w:color="auto" w:fill="auto"/>
                  <w:vAlign w:val="center"/>
                </w:tcPr>
                <w:p w14:paraId="4A197A84">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电源</w:t>
                  </w:r>
                </w:p>
              </w:tc>
              <w:tc>
                <w:tcPr>
                  <w:tcW w:w="4527" w:type="dxa"/>
                  <w:tcBorders>
                    <w:top w:val="nil"/>
                    <w:left w:val="nil"/>
                    <w:bottom w:val="single" w:color="auto" w:sz="4" w:space="0"/>
                    <w:right w:val="single" w:color="auto" w:sz="4" w:space="0"/>
                  </w:tcBorders>
                  <w:shd w:val="clear" w:color="auto" w:fill="auto"/>
                  <w:vAlign w:val="center"/>
                </w:tcPr>
                <w:p w14:paraId="7AEF214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220VAC±10%，50Hz±2Hz；应具备稳压、过载、短路、漏电保护功能的开关；应</w:t>
                  </w:r>
                  <w:r>
                    <w:rPr>
                      <w:rFonts w:hint="eastAsia" w:ascii="宋体" w:hAnsi="宋体" w:eastAsia="宋体" w:cs="宋体"/>
                      <w:color w:val="000000"/>
                      <w:kern w:val="0"/>
                      <w:sz w:val="22"/>
                      <w:szCs w:val="22"/>
                      <w:lang w:val="en-US" w:eastAsia="zh-CN"/>
                    </w:rPr>
                    <w:t>具备</w:t>
                  </w:r>
                  <w:r>
                    <w:rPr>
                      <w:rFonts w:hint="eastAsia" w:ascii="宋体" w:hAnsi="宋体" w:eastAsia="宋体" w:cs="宋体"/>
                      <w:color w:val="000000"/>
                      <w:kern w:val="0"/>
                      <w:sz w:val="22"/>
                      <w:szCs w:val="22"/>
                    </w:rPr>
                    <w:t>有效防雷措施</w:t>
                  </w:r>
                  <w:r>
                    <w:rPr>
                      <w:rFonts w:hint="eastAsia" w:ascii="宋体" w:hAnsi="宋体" w:eastAsia="宋体" w:cs="宋体"/>
                      <w:color w:val="000000"/>
                      <w:kern w:val="0"/>
                      <w:sz w:val="22"/>
                      <w:szCs w:val="22"/>
                      <w:lang w:eastAsia="zh-CN"/>
                    </w:rPr>
                    <w:t>。</w:t>
                  </w:r>
                </w:p>
              </w:tc>
            </w:tr>
            <w:tr w14:paraId="410A4945">
              <w:tblPrEx>
                <w:tblCellMar>
                  <w:top w:w="0" w:type="dxa"/>
                  <w:left w:w="108" w:type="dxa"/>
                  <w:bottom w:w="0" w:type="dxa"/>
                  <w:right w:w="108" w:type="dxa"/>
                </w:tblCellMar>
              </w:tblPrEx>
              <w:trPr>
                <w:trHeight w:val="367" w:hRule="atLeast"/>
                <w:jc w:val="center"/>
              </w:trPr>
              <w:tc>
                <w:tcPr>
                  <w:tcW w:w="754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781D8E9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二</w:t>
                  </w:r>
                  <w:r>
                    <w:rPr>
                      <w:rFonts w:hint="eastAsia" w:ascii="宋体" w:hAnsi="宋体" w:eastAsia="宋体" w:cs="宋体"/>
                      <w:color w:val="000000"/>
                      <w:kern w:val="0"/>
                      <w:sz w:val="22"/>
                      <w:szCs w:val="22"/>
                      <w:lang w:val="en-US" w:eastAsia="zh-CN"/>
                    </w:rPr>
                    <w:t>.</w:t>
                  </w:r>
                  <w:r>
                    <w:rPr>
                      <w:rFonts w:hint="eastAsia" w:ascii="宋体" w:hAnsi="宋体" w:eastAsia="宋体" w:cs="宋体"/>
                      <w:color w:val="000000"/>
                      <w:kern w:val="0"/>
                      <w:sz w:val="22"/>
                      <w:szCs w:val="22"/>
                    </w:rPr>
                    <w:t>功能要求</w:t>
                  </w:r>
                </w:p>
              </w:tc>
            </w:tr>
            <w:tr w14:paraId="09A67725">
              <w:tblPrEx>
                <w:tblCellMar>
                  <w:top w:w="0" w:type="dxa"/>
                  <w:left w:w="108" w:type="dxa"/>
                  <w:bottom w:w="0" w:type="dxa"/>
                  <w:right w:w="108" w:type="dxa"/>
                </w:tblCellMar>
              </w:tblPrEx>
              <w:trPr>
                <w:trHeight w:val="503" w:hRule="atLeast"/>
                <w:jc w:val="center"/>
              </w:trPr>
              <w:tc>
                <w:tcPr>
                  <w:tcW w:w="715" w:type="dxa"/>
                  <w:tcBorders>
                    <w:top w:val="nil"/>
                    <w:left w:val="single" w:color="auto" w:sz="4" w:space="0"/>
                    <w:bottom w:val="single" w:color="auto" w:sz="4" w:space="0"/>
                    <w:right w:val="single" w:color="auto" w:sz="4" w:space="0"/>
                  </w:tcBorders>
                  <w:shd w:val="clear" w:color="auto" w:fill="auto"/>
                  <w:vAlign w:val="center"/>
                </w:tcPr>
                <w:p w14:paraId="57B2CB50">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2307" w:type="dxa"/>
                  <w:gridSpan w:val="2"/>
                  <w:tcBorders>
                    <w:top w:val="single" w:color="auto" w:sz="4" w:space="0"/>
                    <w:left w:val="nil"/>
                    <w:bottom w:val="single" w:color="auto" w:sz="4" w:space="0"/>
                    <w:right w:val="single" w:color="auto" w:sz="4" w:space="0"/>
                  </w:tcBorders>
                  <w:shd w:val="clear" w:color="auto" w:fill="auto"/>
                  <w:vAlign w:val="center"/>
                </w:tcPr>
                <w:p w14:paraId="2221D36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车辆检测方式</w:t>
                  </w:r>
                </w:p>
              </w:tc>
              <w:tc>
                <w:tcPr>
                  <w:tcW w:w="4527" w:type="dxa"/>
                  <w:tcBorders>
                    <w:top w:val="nil"/>
                    <w:left w:val="nil"/>
                    <w:bottom w:val="single" w:color="auto" w:sz="4" w:space="0"/>
                    <w:right w:val="single" w:color="auto" w:sz="4" w:space="0"/>
                  </w:tcBorders>
                  <w:shd w:val="clear" w:color="auto" w:fill="auto"/>
                  <w:vAlign w:val="center"/>
                </w:tcPr>
                <w:p w14:paraId="51D4271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多功能高速球机抓拍模式</w:t>
                  </w:r>
                  <w:r>
                    <w:rPr>
                      <w:rFonts w:hint="eastAsia" w:ascii="宋体" w:hAnsi="宋体" w:eastAsia="宋体" w:cs="宋体"/>
                      <w:color w:val="000000"/>
                      <w:kern w:val="0"/>
                      <w:sz w:val="22"/>
                      <w:szCs w:val="22"/>
                      <w:lang w:eastAsia="zh-CN"/>
                    </w:rPr>
                    <w:t>。</w:t>
                  </w:r>
                </w:p>
              </w:tc>
            </w:tr>
            <w:tr w14:paraId="764109AC">
              <w:tblPrEx>
                <w:tblCellMar>
                  <w:top w:w="0" w:type="dxa"/>
                  <w:left w:w="108" w:type="dxa"/>
                  <w:bottom w:w="0" w:type="dxa"/>
                  <w:right w:w="108" w:type="dxa"/>
                </w:tblCellMar>
              </w:tblPrEx>
              <w:trPr>
                <w:trHeight w:val="426" w:hRule="atLeast"/>
                <w:jc w:val="center"/>
              </w:trPr>
              <w:tc>
                <w:tcPr>
                  <w:tcW w:w="715" w:type="dxa"/>
                  <w:tcBorders>
                    <w:top w:val="nil"/>
                    <w:left w:val="single" w:color="auto" w:sz="4" w:space="0"/>
                    <w:bottom w:val="single" w:color="auto" w:sz="4" w:space="0"/>
                    <w:right w:val="single" w:color="auto" w:sz="4" w:space="0"/>
                  </w:tcBorders>
                  <w:shd w:val="clear" w:color="auto" w:fill="auto"/>
                  <w:vAlign w:val="center"/>
                </w:tcPr>
                <w:p w14:paraId="501C1543">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2307" w:type="dxa"/>
                  <w:gridSpan w:val="2"/>
                  <w:tcBorders>
                    <w:top w:val="single" w:color="auto" w:sz="4" w:space="0"/>
                    <w:left w:val="nil"/>
                    <w:bottom w:val="single" w:color="auto" w:sz="4" w:space="0"/>
                    <w:right w:val="single" w:color="auto" w:sz="4" w:space="0"/>
                  </w:tcBorders>
                  <w:shd w:val="clear" w:color="auto" w:fill="auto"/>
                  <w:vAlign w:val="center"/>
                </w:tcPr>
                <w:p w14:paraId="68A9E12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车辆捕获范围</w:t>
                  </w:r>
                </w:p>
              </w:tc>
              <w:tc>
                <w:tcPr>
                  <w:tcW w:w="4527" w:type="dxa"/>
                  <w:tcBorders>
                    <w:top w:val="nil"/>
                    <w:left w:val="nil"/>
                    <w:bottom w:val="single" w:color="auto" w:sz="4" w:space="0"/>
                    <w:right w:val="single" w:color="auto" w:sz="4" w:space="0"/>
                  </w:tcBorders>
                  <w:shd w:val="clear" w:color="auto" w:fill="auto"/>
                  <w:vAlign w:val="center"/>
                </w:tcPr>
                <w:p w14:paraId="0B505CF9">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≥300米</w:t>
                  </w:r>
                  <w:r>
                    <w:rPr>
                      <w:rFonts w:hint="eastAsia" w:ascii="宋体" w:hAnsi="宋体" w:eastAsia="宋体" w:cs="宋体"/>
                      <w:color w:val="000000"/>
                      <w:kern w:val="0"/>
                      <w:sz w:val="22"/>
                      <w:szCs w:val="22"/>
                      <w:lang w:eastAsia="zh-CN"/>
                    </w:rPr>
                    <w:t>。</w:t>
                  </w:r>
                </w:p>
              </w:tc>
            </w:tr>
            <w:tr w14:paraId="1C7AF7CE">
              <w:tblPrEx>
                <w:tblCellMar>
                  <w:top w:w="0" w:type="dxa"/>
                  <w:left w:w="108" w:type="dxa"/>
                  <w:bottom w:w="0" w:type="dxa"/>
                  <w:right w:w="108" w:type="dxa"/>
                </w:tblCellMar>
              </w:tblPrEx>
              <w:trPr>
                <w:trHeight w:val="725" w:hRule="atLeast"/>
                <w:jc w:val="center"/>
              </w:trPr>
              <w:tc>
                <w:tcPr>
                  <w:tcW w:w="715" w:type="dxa"/>
                  <w:vMerge w:val="restart"/>
                  <w:tcBorders>
                    <w:top w:val="nil"/>
                    <w:left w:val="single" w:color="auto" w:sz="4" w:space="0"/>
                    <w:bottom w:val="nil"/>
                    <w:right w:val="single" w:color="auto" w:sz="4" w:space="0"/>
                  </w:tcBorders>
                  <w:shd w:val="clear" w:color="auto" w:fill="auto"/>
                  <w:vAlign w:val="center"/>
                </w:tcPr>
                <w:p w14:paraId="5D9072E8">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891" w:type="dxa"/>
                  <w:vMerge w:val="restart"/>
                  <w:tcBorders>
                    <w:top w:val="nil"/>
                    <w:left w:val="single" w:color="auto" w:sz="4" w:space="0"/>
                    <w:bottom w:val="nil"/>
                    <w:right w:val="single" w:color="auto" w:sz="4" w:space="0"/>
                  </w:tcBorders>
                  <w:shd w:val="clear" w:color="auto" w:fill="auto"/>
                  <w:vAlign w:val="center"/>
                </w:tcPr>
                <w:p w14:paraId="55544600">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交通安全违法行为记录</w:t>
                  </w:r>
                </w:p>
              </w:tc>
              <w:tc>
                <w:tcPr>
                  <w:tcW w:w="1416" w:type="dxa"/>
                  <w:vMerge w:val="restart"/>
                  <w:tcBorders>
                    <w:top w:val="nil"/>
                    <w:left w:val="single" w:color="auto" w:sz="4" w:space="0"/>
                    <w:bottom w:val="single" w:color="auto" w:sz="4" w:space="0"/>
                    <w:right w:val="single" w:color="auto" w:sz="4" w:space="0"/>
                  </w:tcBorders>
                  <w:shd w:val="clear" w:color="auto" w:fill="auto"/>
                  <w:vAlign w:val="center"/>
                </w:tcPr>
                <w:p w14:paraId="1F83A14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禁止停车区域内停车行为记录</w:t>
                  </w:r>
                </w:p>
              </w:tc>
              <w:tc>
                <w:tcPr>
                  <w:tcW w:w="4527" w:type="dxa"/>
                  <w:vMerge w:val="restart"/>
                  <w:tcBorders>
                    <w:top w:val="nil"/>
                    <w:left w:val="single" w:color="auto" w:sz="4" w:space="0"/>
                    <w:bottom w:val="single" w:color="auto" w:sz="4" w:space="0"/>
                    <w:right w:val="single" w:color="auto" w:sz="4" w:space="0"/>
                  </w:tcBorders>
                  <w:shd w:val="clear" w:color="auto" w:fill="auto"/>
                  <w:vAlign w:val="center"/>
                </w:tcPr>
                <w:p w14:paraId="7F2DAF7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停车后至少三分钟（可调）的视频信息以反映机动车违法过程。</w:t>
                  </w:r>
                </w:p>
              </w:tc>
            </w:tr>
            <w:tr w14:paraId="76C0CCD8">
              <w:tblPrEx>
                <w:tblCellMar>
                  <w:top w:w="0" w:type="dxa"/>
                  <w:left w:w="108" w:type="dxa"/>
                  <w:bottom w:w="0" w:type="dxa"/>
                  <w:right w:w="108" w:type="dxa"/>
                </w:tblCellMar>
              </w:tblPrEx>
              <w:trPr>
                <w:trHeight w:val="321" w:hRule="atLeast"/>
                <w:jc w:val="center"/>
              </w:trPr>
              <w:tc>
                <w:tcPr>
                  <w:tcW w:w="715" w:type="dxa"/>
                  <w:vMerge w:val="continue"/>
                  <w:tcBorders>
                    <w:top w:val="nil"/>
                    <w:left w:val="single" w:color="auto" w:sz="4" w:space="0"/>
                    <w:bottom w:val="nil"/>
                    <w:right w:val="single" w:color="auto" w:sz="4" w:space="0"/>
                  </w:tcBorders>
                  <w:vAlign w:val="center"/>
                </w:tcPr>
                <w:p w14:paraId="2D7791A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891" w:type="dxa"/>
                  <w:vMerge w:val="continue"/>
                  <w:tcBorders>
                    <w:top w:val="nil"/>
                    <w:left w:val="single" w:color="auto" w:sz="4" w:space="0"/>
                    <w:bottom w:val="nil"/>
                    <w:right w:val="single" w:color="auto" w:sz="4" w:space="0"/>
                  </w:tcBorders>
                  <w:vAlign w:val="center"/>
                </w:tcPr>
                <w:p w14:paraId="413599D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416" w:type="dxa"/>
                  <w:vMerge w:val="continue"/>
                  <w:tcBorders>
                    <w:top w:val="nil"/>
                    <w:left w:val="single" w:color="auto" w:sz="4" w:space="0"/>
                    <w:bottom w:val="single" w:color="auto" w:sz="4" w:space="0"/>
                    <w:right w:val="single" w:color="auto" w:sz="4" w:space="0"/>
                  </w:tcBorders>
                  <w:vAlign w:val="center"/>
                </w:tcPr>
                <w:p w14:paraId="6F021D35">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4527" w:type="dxa"/>
                  <w:vMerge w:val="continue"/>
                  <w:tcBorders>
                    <w:top w:val="nil"/>
                    <w:left w:val="single" w:color="auto" w:sz="4" w:space="0"/>
                    <w:bottom w:val="single" w:color="auto" w:sz="4" w:space="0"/>
                    <w:right w:val="single" w:color="auto" w:sz="4" w:space="0"/>
                  </w:tcBorders>
                  <w:vAlign w:val="center"/>
                </w:tcPr>
                <w:p w14:paraId="1FECB2D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r>
            <w:tr w14:paraId="0D180558">
              <w:tblPrEx>
                <w:tblCellMar>
                  <w:top w:w="0" w:type="dxa"/>
                  <w:left w:w="108" w:type="dxa"/>
                  <w:bottom w:w="0" w:type="dxa"/>
                  <w:right w:w="108" w:type="dxa"/>
                </w:tblCellMar>
              </w:tblPrEx>
              <w:trPr>
                <w:trHeight w:val="321" w:hRule="atLeast"/>
                <w:jc w:val="center"/>
              </w:trPr>
              <w:tc>
                <w:tcPr>
                  <w:tcW w:w="715" w:type="dxa"/>
                  <w:vMerge w:val="continue"/>
                  <w:tcBorders>
                    <w:top w:val="nil"/>
                    <w:left w:val="single" w:color="auto" w:sz="4" w:space="0"/>
                    <w:bottom w:val="nil"/>
                    <w:right w:val="single" w:color="auto" w:sz="4" w:space="0"/>
                  </w:tcBorders>
                  <w:vAlign w:val="center"/>
                </w:tcPr>
                <w:p w14:paraId="1043C2A9">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891" w:type="dxa"/>
                  <w:vMerge w:val="continue"/>
                  <w:tcBorders>
                    <w:top w:val="nil"/>
                    <w:left w:val="single" w:color="auto" w:sz="4" w:space="0"/>
                    <w:bottom w:val="nil"/>
                    <w:right w:val="single" w:color="auto" w:sz="4" w:space="0"/>
                  </w:tcBorders>
                  <w:vAlign w:val="center"/>
                </w:tcPr>
                <w:p w14:paraId="15B25A9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416" w:type="dxa"/>
                  <w:vMerge w:val="continue"/>
                  <w:tcBorders>
                    <w:top w:val="nil"/>
                    <w:left w:val="single" w:color="auto" w:sz="4" w:space="0"/>
                    <w:bottom w:val="single" w:color="auto" w:sz="4" w:space="0"/>
                    <w:right w:val="single" w:color="auto" w:sz="4" w:space="0"/>
                  </w:tcBorders>
                  <w:vAlign w:val="center"/>
                </w:tcPr>
                <w:p w14:paraId="4D726E2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4527" w:type="dxa"/>
                  <w:vMerge w:val="continue"/>
                  <w:tcBorders>
                    <w:top w:val="nil"/>
                    <w:left w:val="single" w:color="auto" w:sz="4" w:space="0"/>
                    <w:bottom w:val="single" w:color="auto" w:sz="4" w:space="0"/>
                    <w:right w:val="single" w:color="auto" w:sz="4" w:space="0"/>
                  </w:tcBorders>
                  <w:vAlign w:val="center"/>
                </w:tcPr>
                <w:p w14:paraId="7DBA6F1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r>
            <w:tr w14:paraId="75EDD506">
              <w:tblPrEx>
                <w:tblCellMar>
                  <w:top w:w="0" w:type="dxa"/>
                  <w:left w:w="108" w:type="dxa"/>
                  <w:bottom w:w="0" w:type="dxa"/>
                  <w:right w:w="108" w:type="dxa"/>
                </w:tblCellMar>
              </w:tblPrEx>
              <w:trPr>
                <w:trHeight w:val="1156" w:hRule="atLeast"/>
                <w:jc w:val="center"/>
              </w:trPr>
              <w:tc>
                <w:tcPr>
                  <w:tcW w:w="715" w:type="dxa"/>
                  <w:vMerge w:val="continue"/>
                  <w:tcBorders>
                    <w:top w:val="nil"/>
                    <w:left w:val="single" w:color="auto" w:sz="4" w:space="0"/>
                    <w:bottom w:val="nil"/>
                    <w:right w:val="single" w:color="auto" w:sz="4" w:space="0"/>
                  </w:tcBorders>
                  <w:vAlign w:val="center"/>
                </w:tcPr>
                <w:p w14:paraId="08A55B97">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891" w:type="dxa"/>
                  <w:vMerge w:val="continue"/>
                  <w:tcBorders>
                    <w:top w:val="nil"/>
                    <w:left w:val="single" w:color="auto" w:sz="4" w:space="0"/>
                    <w:bottom w:val="nil"/>
                    <w:right w:val="single" w:color="auto" w:sz="4" w:space="0"/>
                  </w:tcBorders>
                  <w:vAlign w:val="center"/>
                </w:tcPr>
                <w:p w14:paraId="0F00667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416" w:type="dxa"/>
                  <w:tcBorders>
                    <w:top w:val="nil"/>
                    <w:left w:val="nil"/>
                    <w:bottom w:val="single" w:color="auto" w:sz="4" w:space="0"/>
                    <w:right w:val="single" w:color="auto" w:sz="4" w:space="0"/>
                  </w:tcBorders>
                  <w:shd w:val="clear" w:color="auto" w:fill="auto"/>
                  <w:vAlign w:val="center"/>
                </w:tcPr>
                <w:p w14:paraId="40686AC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机动车违反禁止标线指示等交通违法行为</w:t>
                  </w:r>
                </w:p>
              </w:tc>
              <w:tc>
                <w:tcPr>
                  <w:tcW w:w="4527" w:type="dxa"/>
                  <w:tcBorders>
                    <w:top w:val="nil"/>
                    <w:left w:val="nil"/>
                    <w:bottom w:val="single" w:color="auto" w:sz="4" w:space="0"/>
                    <w:right w:val="single" w:color="auto" w:sz="4" w:space="0"/>
                  </w:tcBorders>
                  <w:shd w:val="clear" w:color="auto" w:fill="auto"/>
                  <w:vAlign w:val="center"/>
                </w:tcPr>
                <w:p w14:paraId="6B3A829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车辆违法过程的全景、近景、特写图片共3张，图片可清晰辨认车辆全景特征、车牌号码等，同时还含有违法地点、违法时间等数据信息</w:t>
                  </w:r>
                  <w:r>
                    <w:rPr>
                      <w:rFonts w:hint="eastAsia" w:ascii="宋体" w:hAnsi="宋体" w:eastAsia="宋体" w:cs="宋体"/>
                      <w:color w:val="000000"/>
                      <w:kern w:val="0"/>
                      <w:sz w:val="22"/>
                      <w:szCs w:val="22"/>
                      <w:lang w:eastAsia="zh-CN"/>
                    </w:rPr>
                    <w:t>。</w:t>
                  </w:r>
                </w:p>
              </w:tc>
            </w:tr>
            <w:tr w14:paraId="0AAB7A00">
              <w:tblPrEx>
                <w:tblCellMar>
                  <w:top w:w="0" w:type="dxa"/>
                  <w:left w:w="108" w:type="dxa"/>
                  <w:bottom w:w="0" w:type="dxa"/>
                  <w:right w:w="108" w:type="dxa"/>
                </w:tblCellMar>
              </w:tblPrEx>
              <w:trPr>
                <w:trHeight w:val="837" w:hRule="atLeast"/>
                <w:jc w:val="center"/>
              </w:trPr>
              <w:tc>
                <w:tcPr>
                  <w:tcW w:w="715" w:type="dxa"/>
                  <w:vMerge w:val="continue"/>
                  <w:tcBorders>
                    <w:top w:val="nil"/>
                    <w:left w:val="single" w:color="auto" w:sz="4" w:space="0"/>
                    <w:bottom w:val="nil"/>
                    <w:right w:val="single" w:color="auto" w:sz="4" w:space="0"/>
                  </w:tcBorders>
                  <w:vAlign w:val="center"/>
                </w:tcPr>
                <w:p w14:paraId="76486E5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891" w:type="dxa"/>
                  <w:vMerge w:val="continue"/>
                  <w:tcBorders>
                    <w:top w:val="nil"/>
                    <w:left w:val="single" w:color="auto" w:sz="4" w:space="0"/>
                    <w:bottom w:val="nil"/>
                    <w:right w:val="single" w:color="auto" w:sz="4" w:space="0"/>
                  </w:tcBorders>
                  <w:vAlign w:val="center"/>
                </w:tcPr>
                <w:p w14:paraId="78DB836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416" w:type="dxa"/>
                  <w:tcBorders>
                    <w:top w:val="nil"/>
                    <w:left w:val="nil"/>
                    <w:bottom w:val="single" w:color="auto" w:sz="4" w:space="0"/>
                    <w:right w:val="single" w:color="auto" w:sz="4" w:space="0"/>
                  </w:tcBorders>
                  <w:shd w:val="clear" w:color="auto" w:fill="auto"/>
                  <w:vAlign w:val="center"/>
                </w:tcPr>
                <w:p w14:paraId="05B959E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机动车不按规定驶入导向车道行为记录</w:t>
                  </w:r>
                </w:p>
              </w:tc>
              <w:tc>
                <w:tcPr>
                  <w:tcW w:w="4527" w:type="dxa"/>
                  <w:tcBorders>
                    <w:top w:val="nil"/>
                    <w:left w:val="nil"/>
                    <w:bottom w:val="single" w:color="auto" w:sz="4" w:space="0"/>
                    <w:right w:val="single" w:color="auto" w:sz="4" w:space="0"/>
                  </w:tcBorders>
                  <w:shd w:val="clear" w:color="auto" w:fill="auto"/>
                  <w:vAlign w:val="center"/>
                </w:tcPr>
                <w:p w14:paraId="087A4355">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车辆违法过程的全景、近景、特写图片共3张，图片可清晰辨认车辆全景特征、车牌号码等，同时还含有违法地点、违法时间等数据信息</w:t>
                  </w:r>
                  <w:r>
                    <w:rPr>
                      <w:rFonts w:hint="eastAsia" w:ascii="宋体" w:hAnsi="宋体" w:eastAsia="宋体" w:cs="宋体"/>
                      <w:color w:val="000000"/>
                      <w:kern w:val="0"/>
                      <w:sz w:val="22"/>
                      <w:szCs w:val="22"/>
                      <w:lang w:eastAsia="zh-CN"/>
                    </w:rPr>
                    <w:t>。</w:t>
                  </w:r>
                </w:p>
              </w:tc>
            </w:tr>
            <w:tr w14:paraId="6EF0138F">
              <w:tblPrEx>
                <w:tblCellMar>
                  <w:top w:w="0" w:type="dxa"/>
                  <w:left w:w="108" w:type="dxa"/>
                  <w:bottom w:w="0" w:type="dxa"/>
                  <w:right w:w="108" w:type="dxa"/>
                </w:tblCellMar>
              </w:tblPrEx>
              <w:trPr>
                <w:trHeight w:val="1274" w:hRule="atLeast"/>
                <w:jc w:val="center"/>
              </w:trPr>
              <w:tc>
                <w:tcPr>
                  <w:tcW w:w="715" w:type="dxa"/>
                  <w:vMerge w:val="continue"/>
                  <w:tcBorders>
                    <w:top w:val="nil"/>
                    <w:left w:val="single" w:color="auto" w:sz="4" w:space="0"/>
                    <w:bottom w:val="nil"/>
                    <w:right w:val="single" w:color="auto" w:sz="4" w:space="0"/>
                  </w:tcBorders>
                  <w:vAlign w:val="center"/>
                </w:tcPr>
                <w:p w14:paraId="3FC0D6C5">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891" w:type="dxa"/>
                  <w:vMerge w:val="continue"/>
                  <w:tcBorders>
                    <w:top w:val="nil"/>
                    <w:left w:val="single" w:color="auto" w:sz="4" w:space="0"/>
                    <w:bottom w:val="nil"/>
                    <w:right w:val="single" w:color="auto" w:sz="4" w:space="0"/>
                  </w:tcBorders>
                  <w:vAlign w:val="center"/>
                </w:tcPr>
                <w:p w14:paraId="3DF5ECB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416" w:type="dxa"/>
                  <w:tcBorders>
                    <w:top w:val="nil"/>
                    <w:left w:val="nil"/>
                    <w:bottom w:val="single" w:color="auto" w:sz="4" w:space="0"/>
                    <w:right w:val="single" w:color="auto" w:sz="4" w:space="0"/>
                  </w:tcBorders>
                  <w:shd w:val="clear" w:color="auto" w:fill="auto"/>
                  <w:vAlign w:val="center"/>
                </w:tcPr>
                <w:p w14:paraId="036E6FB8">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逆向行驶行为记录</w:t>
                  </w:r>
                </w:p>
              </w:tc>
              <w:tc>
                <w:tcPr>
                  <w:tcW w:w="4527" w:type="dxa"/>
                  <w:tcBorders>
                    <w:top w:val="nil"/>
                    <w:left w:val="nil"/>
                    <w:bottom w:val="single" w:color="auto" w:sz="4" w:space="0"/>
                    <w:right w:val="single" w:color="auto" w:sz="4" w:space="0"/>
                  </w:tcBorders>
                  <w:shd w:val="clear" w:color="auto" w:fill="auto"/>
                  <w:vAlign w:val="center"/>
                </w:tcPr>
                <w:p w14:paraId="121BB5D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车辆违法过程的全景、近景、特写图片共3张，图片可清晰辨认车辆全景特征、车牌号码等，同时还含有违法地点、违法时间等数据信息</w:t>
                  </w:r>
                  <w:r>
                    <w:rPr>
                      <w:rFonts w:hint="eastAsia" w:ascii="宋体" w:hAnsi="宋体" w:eastAsia="宋体" w:cs="宋体"/>
                      <w:color w:val="000000"/>
                      <w:kern w:val="0"/>
                      <w:sz w:val="22"/>
                      <w:szCs w:val="22"/>
                      <w:lang w:eastAsia="zh-CN"/>
                    </w:rPr>
                    <w:t>。</w:t>
                  </w:r>
                </w:p>
              </w:tc>
            </w:tr>
            <w:tr w14:paraId="68454E88">
              <w:tblPrEx>
                <w:tblCellMar>
                  <w:top w:w="0" w:type="dxa"/>
                  <w:left w:w="108" w:type="dxa"/>
                  <w:bottom w:w="0" w:type="dxa"/>
                  <w:right w:w="108" w:type="dxa"/>
                </w:tblCellMar>
              </w:tblPrEx>
              <w:trPr>
                <w:trHeight w:val="562"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28690046">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2307" w:type="dxa"/>
                  <w:gridSpan w:val="2"/>
                  <w:tcBorders>
                    <w:top w:val="single" w:color="auto" w:sz="4" w:space="0"/>
                    <w:left w:val="nil"/>
                    <w:bottom w:val="single" w:color="auto" w:sz="4" w:space="0"/>
                    <w:right w:val="single" w:color="auto" w:sz="4" w:space="0"/>
                  </w:tcBorders>
                  <w:shd w:val="clear" w:color="auto" w:fill="auto"/>
                  <w:vAlign w:val="center"/>
                </w:tcPr>
                <w:p w14:paraId="35DC299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交通安全违法信息</w:t>
                  </w:r>
                </w:p>
                <w:p w14:paraId="4B877D8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记录</w:t>
                  </w:r>
                </w:p>
              </w:tc>
              <w:tc>
                <w:tcPr>
                  <w:tcW w:w="4527" w:type="dxa"/>
                  <w:tcBorders>
                    <w:top w:val="nil"/>
                    <w:left w:val="nil"/>
                    <w:bottom w:val="single" w:color="auto" w:sz="4" w:space="0"/>
                    <w:right w:val="single" w:color="auto" w:sz="4" w:space="0"/>
                  </w:tcBorders>
                  <w:shd w:val="clear" w:color="auto" w:fill="auto"/>
                  <w:vAlign w:val="center"/>
                </w:tcPr>
                <w:p w14:paraId="2D30943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文本信息：应包括交通安全违法日期、时间、地点、方向、车道号、交通违法代码、图像取证设备编号、号牌号码、号牌颜色、车型、防伪等信息。机动车交通安全违法信息写入关联数据库，并能够将交通安全违法日期、时间、地点、方向、图像取证设备编号、防伪等相关文本信息叠加到图片上</w:t>
                  </w:r>
                  <w:r>
                    <w:rPr>
                      <w:rFonts w:hint="eastAsia" w:ascii="宋体" w:hAnsi="宋体" w:eastAsia="宋体" w:cs="宋体"/>
                      <w:color w:val="000000"/>
                      <w:kern w:val="0"/>
                      <w:sz w:val="22"/>
                      <w:szCs w:val="22"/>
                      <w:lang w:eastAsia="zh-CN"/>
                    </w:rPr>
                    <w:t>。</w:t>
                  </w:r>
                </w:p>
              </w:tc>
            </w:tr>
            <w:tr w14:paraId="30C190C3">
              <w:tblPrEx>
                <w:tblCellMar>
                  <w:top w:w="0" w:type="dxa"/>
                  <w:left w:w="108" w:type="dxa"/>
                  <w:bottom w:w="0" w:type="dxa"/>
                  <w:right w:w="108" w:type="dxa"/>
                </w:tblCellMar>
              </w:tblPrEx>
              <w:trPr>
                <w:trHeight w:val="637" w:hRule="atLeast"/>
                <w:jc w:val="center"/>
              </w:trPr>
              <w:tc>
                <w:tcPr>
                  <w:tcW w:w="715" w:type="dxa"/>
                  <w:tcBorders>
                    <w:top w:val="nil"/>
                    <w:left w:val="single" w:color="auto" w:sz="4" w:space="0"/>
                    <w:bottom w:val="single" w:color="auto" w:sz="4" w:space="0"/>
                    <w:right w:val="single" w:color="auto" w:sz="4" w:space="0"/>
                  </w:tcBorders>
                  <w:shd w:val="clear" w:color="auto" w:fill="auto"/>
                  <w:vAlign w:val="center"/>
                </w:tcPr>
                <w:p w14:paraId="3C1EF9EA">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2307" w:type="dxa"/>
                  <w:gridSpan w:val="2"/>
                  <w:tcBorders>
                    <w:top w:val="single" w:color="auto" w:sz="4" w:space="0"/>
                    <w:left w:val="nil"/>
                    <w:bottom w:val="single" w:color="auto" w:sz="4" w:space="0"/>
                    <w:right w:val="single" w:color="auto" w:sz="4" w:space="0"/>
                  </w:tcBorders>
                  <w:shd w:val="clear" w:color="auto" w:fill="auto"/>
                  <w:vAlign w:val="center"/>
                </w:tcPr>
                <w:p w14:paraId="2F795E0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自动抓拍捕获设置与判断</w:t>
                  </w:r>
                </w:p>
              </w:tc>
              <w:tc>
                <w:tcPr>
                  <w:tcW w:w="4527" w:type="dxa"/>
                  <w:tcBorders>
                    <w:top w:val="nil"/>
                    <w:left w:val="nil"/>
                    <w:bottom w:val="single" w:color="auto" w:sz="4" w:space="0"/>
                    <w:right w:val="single" w:color="auto" w:sz="4" w:space="0"/>
                  </w:tcBorders>
                  <w:shd w:val="clear" w:color="auto" w:fill="auto"/>
                  <w:vAlign w:val="center"/>
                </w:tcPr>
                <w:p w14:paraId="5110E4D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可设置多个场景，在不同场景区域内设定指定的违法行为进行重点抓拍；</w:t>
                  </w:r>
                  <w:r>
                    <w:rPr>
                      <w:rFonts w:hint="eastAsia" w:ascii="宋体" w:hAnsi="宋体" w:eastAsia="宋体" w:cs="宋体"/>
                      <w:color w:val="000000"/>
                      <w:kern w:val="0"/>
                      <w:sz w:val="22"/>
                      <w:szCs w:val="22"/>
                      <w:lang w:eastAsia="zh-CN"/>
                    </w:rPr>
                    <w:t>违</w:t>
                  </w:r>
                  <w:r>
                    <w:rPr>
                      <w:rFonts w:hint="eastAsia" w:ascii="宋体" w:hAnsi="宋体" w:eastAsia="宋体" w:cs="宋体"/>
                      <w:color w:val="000000"/>
                      <w:kern w:val="0"/>
                      <w:sz w:val="22"/>
                      <w:szCs w:val="22"/>
                    </w:rPr>
                    <w:t>法行为域内判断有多辆违法车辆出现时，系统则以抓拍到的第一台车辆完成整个过程为主，后按顺序一辆一辆抓拍车辆（若违停车辆在同一监控点内，24小时内不抓拍同一车辆）</w:t>
                  </w:r>
                  <w:r>
                    <w:rPr>
                      <w:rFonts w:hint="eastAsia" w:ascii="宋体" w:hAnsi="宋体" w:eastAsia="宋体" w:cs="宋体"/>
                      <w:color w:val="000000"/>
                      <w:kern w:val="0"/>
                      <w:sz w:val="22"/>
                      <w:szCs w:val="22"/>
                      <w:lang w:eastAsia="zh-CN"/>
                    </w:rPr>
                    <w:t>。</w:t>
                  </w:r>
                </w:p>
              </w:tc>
            </w:tr>
            <w:tr w14:paraId="6E2A0154">
              <w:tblPrEx>
                <w:tblCellMar>
                  <w:top w:w="0" w:type="dxa"/>
                  <w:left w:w="108" w:type="dxa"/>
                  <w:bottom w:w="0" w:type="dxa"/>
                  <w:right w:w="108" w:type="dxa"/>
                </w:tblCellMar>
              </w:tblPrEx>
              <w:trPr>
                <w:trHeight w:val="562" w:hRule="atLeast"/>
                <w:jc w:val="center"/>
              </w:trPr>
              <w:tc>
                <w:tcPr>
                  <w:tcW w:w="715" w:type="dxa"/>
                  <w:vMerge w:val="restart"/>
                  <w:tcBorders>
                    <w:top w:val="nil"/>
                    <w:left w:val="single" w:color="auto" w:sz="4" w:space="0"/>
                    <w:bottom w:val="single" w:color="000000" w:sz="4" w:space="0"/>
                    <w:right w:val="single" w:color="auto" w:sz="4" w:space="0"/>
                  </w:tcBorders>
                  <w:shd w:val="clear" w:color="auto" w:fill="auto"/>
                  <w:vAlign w:val="center"/>
                </w:tcPr>
                <w:p w14:paraId="1CE5778C">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891" w:type="dxa"/>
                  <w:vMerge w:val="restart"/>
                  <w:tcBorders>
                    <w:top w:val="nil"/>
                    <w:left w:val="single" w:color="auto" w:sz="4" w:space="0"/>
                    <w:bottom w:val="single" w:color="000000" w:sz="4" w:space="0"/>
                    <w:right w:val="single" w:color="auto" w:sz="4" w:space="0"/>
                  </w:tcBorders>
                  <w:shd w:val="clear" w:color="auto" w:fill="auto"/>
                  <w:vAlign w:val="center"/>
                </w:tcPr>
                <w:p w14:paraId="1A225598">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机动车号牌自动识别</w:t>
                  </w:r>
                </w:p>
              </w:tc>
              <w:tc>
                <w:tcPr>
                  <w:tcW w:w="1416" w:type="dxa"/>
                  <w:tcBorders>
                    <w:top w:val="nil"/>
                    <w:left w:val="nil"/>
                    <w:bottom w:val="single" w:color="auto" w:sz="4" w:space="0"/>
                    <w:right w:val="single" w:color="auto" w:sz="4" w:space="0"/>
                  </w:tcBorders>
                  <w:shd w:val="clear" w:color="auto" w:fill="auto"/>
                  <w:vAlign w:val="center"/>
                </w:tcPr>
                <w:p w14:paraId="4F81C69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可识别的号牌结构</w:t>
                  </w:r>
                </w:p>
              </w:tc>
              <w:tc>
                <w:tcPr>
                  <w:tcW w:w="4527" w:type="dxa"/>
                  <w:tcBorders>
                    <w:top w:val="nil"/>
                    <w:left w:val="nil"/>
                    <w:bottom w:val="single" w:color="auto" w:sz="4" w:space="0"/>
                    <w:right w:val="single" w:color="auto" w:sz="4" w:space="0"/>
                  </w:tcBorders>
                  <w:shd w:val="clear" w:color="auto" w:fill="auto"/>
                  <w:vAlign w:val="center"/>
                </w:tcPr>
                <w:p w14:paraId="4A6FBF3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应符合GA/T833</w:t>
                  </w:r>
                  <w:r>
                    <w:rPr>
                      <w:rFonts w:hint="eastAsia" w:ascii="宋体" w:hAnsi="宋体" w:eastAsia="宋体" w:cs="宋体"/>
                      <w:color w:val="000000"/>
                      <w:kern w:val="0"/>
                      <w:sz w:val="22"/>
                      <w:szCs w:val="22"/>
                      <w:lang w:val="en-US" w:eastAsia="zh-CN"/>
                    </w:rPr>
                    <w:t>要求</w:t>
                  </w:r>
                  <w:r>
                    <w:rPr>
                      <w:rFonts w:hint="eastAsia" w:ascii="宋体" w:hAnsi="宋体" w:eastAsia="宋体" w:cs="宋体"/>
                      <w:color w:val="000000"/>
                      <w:kern w:val="0"/>
                      <w:sz w:val="22"/>
                      <w:szCs w:val="22"/>
                      <w:lang w:eastAsia="zh-CN"/>
                    </w:rPr>
                    <w:t>。</w:t>
                  </w:r>
                </w:p>
              </w:tc>
            </w:tr>
            <w:tr w14:paraId="17829AA3">
              <w:tblPrEx>
                <w:tblCellMar>
                  <w:top w:w="0" w:type="dxa"/>
                  <w:left w:w="108" w:type="dxa"/>
                  <w:bottom w:w="0" w:type="dxa"/>
                  <w:right w:w="108" w:type="dxa"/>
                </w:tblCellMar>
              </w:tblPrEx>
              <w:trPr>
                <w:trHeight w:val="556" w:hRule="atLeast"/>
                <w:jc w:val="center"/>
              </w:trPr>
              <w:tc>
                <w:tcPr>
                  <w:tcW w:w="715" w:type="dxa"/>
                  <w:vMerge w:val="continue"/>
                  <w:tcBorders>
                    <w:top w:val="nil"/>
                    <w:left w:val="single" w:color="auto" w:sz="4" w:space="0"/>
                    <w:bottom w:val="single" w:color="000000" w:sz="4" w:space="0"/>
                    <w:right w:val="single" w:color="auto" w:sz="4" w:space="0"/>
                  </w:tcBorders>
                  <w:vAlign w:val="center"/>
                </w:tcPr>
                <w:p w14:paraId="284CE07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891" w:type="dxa"/>
                  <w:vMerge w:val="continue"/>
                  <w:tcBorders>
                    <w:top w:val="nil"/>
                    <w:left w:val="single" w:color="auto" w:sz="4" w:space="0"/>
                    <w:bottom w:val="single" w:color="000000" w:sz="4" w:space="0"/>
                    <w:right w:val="single" w:color="auto" w:sz="4" w:space="0"/>
                  </w:tcBorders>
                  <w:vAlign w:val="center"/>
                </w:tcPr>
                <w:p w14:paraId="784D8ED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416" w:type="dxa"/>
                  <w:tcBorders>
                    <w:top w:val="nil"/>
                    <w:left w:val="nil"/>
                    <w:bottom w:val="single" w:color="auto" w:sz="4" w:space="0"/>
                    <w:right w:val="single" w:color="auto" w:sz="4" w:space="0"/>
                  </w:tcBorders>
                  <w:shd w:val="clear" w:color="auto" w:fill="auto"/>
                  <w:vAlign w:val="center"/>
                </w:tcPr>
                <w:p w14:paraId="1D6D211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可识别的号牌字符</w:t>
                  </w:r>
                </w:p>
              </w:tc>
              <w:tc>
                <w:tcPr>
                  <w:tcW w:w="4527" w:type="dxa"/>
                  <w:tcBorders>
                    <w:top w:val="nil"/>
                    <w:left w:val="nil"/>
                    <w:bottom w:val="single" w:color="auto" w:sz="4" w:space="0"/>
                    <w:right w:val="single" w:color="auto" w:sz="4" w:space="0"/>
                  </w:tcBorders>
                  <w:shd w:val="clear" w:color="auto" w:fill="auto"/>
                  <w:vAlign w:val="center"/>
                </w:tcPr>
                <w:p w14:paraId="585CC8C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应符合GA/T833</w:t>
                  </w:r>
                  <w:r>
                    <w:rPr>
                      <w:rFonts w:hint="eastAsia" w:ascii="宋体" w:hAnsi="宋体" w:eastAsia="宋体" w:cs="宋体"/>
                      <w:color w:val="000000"/>
                      <w:kern w:val="0"/>
                      <w:sz w:val="22"/>
                      <w:szCs w:val="22"/>
                      <w:lang w:val="en-US" w:eastAsia="zh-CN"/>
                    </w:rPr>
                    <w:t>要求</w:t>
                  </w:r>
                  <w:r>
                    <w:rPr>
                      <w:rFonts w:hint="eastAsia" w:ascii="宋体" w:hAnsi="宋体" w:eastAsia="宋体" w:cs="宋体"/>
                      <w:color w:val="000000"/>
                      <w:kern w:val="0"/>
                      <w:sz w:val="22"/>
                      <w:szCs w:val="22"/>
                      <w:lang w:eastAsia="zh-CN"/>
                    </w:rPr>
                    <w:t>。</w:t>
                  </w:r>
                </w:p>
              </w:tc>
            </w:tr>
            <w:tr w14:paraId="5C1BA1B2">
              <w:tblPrEx>
                <w:tblCellMar>
                  <w:top w:w="0" w:type="dxa"/>
                  <w:left w:w="108" w:type="dxa"/>
                  <w:bottom w:w="0" w:type="dxa"/>
                  <w:right w:w="108" w:type="dxa"/>
                </w:tblCellMar>
              </w:tblPrEx>
              <w:trPr>
                <w:trHeight w:val="564" w:hRule="atLeast"/>
                <w:jc w:val="center"/>
              </w:trPr>
              <w:tc>
                <w:tcPr>
                  <w:tcW w:w="715" w:type="dxa"/>
                  <w:vMerge w:val="continue"/>
                  <w:tcBorders>
                    <w:top w:val="nil"/>
                    <w:left w:val="single" w:color="auto" w:sz="4" w:space="0"/>
                    <w:bottom w:val="single" w:color="000000" w:sz="4" w:space="0"/>
                    <w:right w:val="single" w:color="auto" w:sz="4" w:space="0"/>
                  </w:tcBorders>
                  <w:vAlign w:val="center"/>
                </w:tcPr>
                <w:p w14:paraId="5CC6CB15">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891" w:type="dxa"/>
                  <w:vMerge w:val="continue"/>
                  <w:tcBorders>
                    <w:top w:val="nil"/>
                    <w:left w:val="single" w:color="auto" w:sz="4" w:space="0"/>
                    <w:bottom w:val="single" w:color="000000" w:sz="4" w:space="0"/>
                    <w:right w:val="single" w:color="auto" w:sz="4" w:space="0"/>
                  </w:tcBorders>
                  <w:vAlign w:val="center"/>
                </w:tcPr>
                <w:p w14:paraId="5E9100A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416" w:type="dxa"/>
                  <w:tcBorders>
                    <w:top w:val="nil"/>
                    <w:left w:val="nil"/>
                    <w:bottom w:val="single" w:color="auto" w:sz="4" w:space="0"/>
                    <w:right w:val="single" w:color="auto" w:sz="4" w:space="0"/>
                  </w:tcBorders>
                  <w:shd w:val="clear" w:color="auto" w:fill="auto"/>
                  <w:vAlign w:val="center"/>
                </w:tcPr>
                <w:p w14:paraId="7F84C2E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可识别的号牌颜色</w:t>
                  </w:r>
                </w:p>
              </w:tc>
              <w:tc>
                <w:tcPr>
                  <w:tcW w:w="4527" w:type="dxa"/>
                  <w:tcBorders>
                    <w:top w:val="nil"/>
                    <w:left w:val="nil"/>
                    <w:bottom w:val="single" w:color="auto" w:sz="4" w:space="0"/>
                    <w:right w:val="single" w:color="auto" w:sz="4" w:space="0"/>
                  </w:tcBorders>
                  <w:shd w:val="clear" w:color="auto" w:fill="auto"/>
                  <w:vAlign w:val="center"/>
                </w:tcPr>
                <w:p w14:paraId="19E2D36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应符合GA/T833</w:t>
                  </w:r>
                  <w:r>
                    <w:rPr>
                      <w:rFonts w:hint="eastAsia" w:ascii="宋体" w:hAnsi="宋体" w:eastAsia="宋体" w:cs="宋体"/>
                      <w:color w:val="000000"/>
                      <w:kern w:val="0"/>
                      <w:sz w:val="22"/>
                      <w:szCs w:val="22"/>
                      <w:lang w:val="en-US" w:eastAsia="zh-CN"/>
                    </w:rPr>
                    <w:t>要求</w:t>
                  </w:r>
                  <w:r>
                    <w:rPr>
                      <w:rFonts w:hint="eastAsia" w:ascii="宋体" w:hAnsi="宋体" w:eastAsia="宋体" w:cs="宋体"/>
                      <w:color w:val="000000"/>
                      <w:kern w:val="0"/>
                      <w:sz w:val="22"/>
                      <w:szCs w:val="22"/>
                      <w:lang w:eastAsia="zh-CN"/>
                    </w:rPr>
                    <w:t>。</w:t>
                  </w:r>
                </w:p>
              </w:tc>
            </w:tr>
            <w:tr w14:paraId="071AE943">
              <w:tblPrEx>
                <w:tblCellMar>
                  <w:top w:w="0" w:type="dxa"/>
                  <w:left w:w="108" w:type="dxa"/>
                  <w:bottom w:w="0" w:type="dxa"/>
                  <w:right w:w="108" w:type="dxa"/>
                </w:tblCellMar>
              </w:tblPrEx>
              <w:trPr>
                <w:trHeight w:val="725" w:hRule="atLeast"/>
                <w:jc w:val="center"/>
              </w:trPr>
              <w:tc>
                <w:tcPr>
                  <w:tcW w:w="715" w:type="dxa"/>
                  <w:vMerge w:val="continue"/>
                  <w:tcBorders>
                    <w:top w:val="nil"/>
                    <w:left w:val="single" w:color="auto" w:sz="4" w:space="0"/>
                    <w:bottom w:val="single" w:color="000000" w:sz="4" w:space="0"/>
                    <w:right w:val="single" w:color="auto" w:sz="4" w:space="0"/>
                  </w:tcBorders>
                  <w:vAlign w:val="center"/>
                </w:tcPr>
                <w:p w14:paraId="3A613D6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891" w:type="dxa"/>
                  <w:vMerge w:val="continue"/>
                  <w:tcBorders>
                    <w:top w:val="nil"/>
                    <w:left w:val="single" w:color="auto" w:sz="4" w:space="0"/>
                    <w:bottom w:val="single" w:color="000000" w:sz="4" w:space="0"/>
                    <w:right w:val="single" w:color="auto" w:sz="4" w:space="0"/>
                  </w:tcBorders>
                  <w:vAlign w:val="center"/>
                </w:tcPr>
                <w:p w14:paraId="3C62BE3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416" w:type="dxa"/>
                  <w:tcBorders>
                    <w:top w:val="nil"/>
                    <w:left w:val="nil"/>
                    <w:bottom w:val="single" w:color="auto" w:sz="4" w:space="0"/>
                    <w:right w:val="single" w:color="auto" w:sz="4" w:space="0"/>
                  </w:tcBorders>
                  <w:shd w:val="clear" w:color="auto" w:fill="auto"/>
                  <w:vAlign w:val="center"/>
                </w:tcPr>
                <w:p w14:paraId="628B12E0">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机动车号牌识别时间</w:t>
                  </w:r>
                </w:p>
              </w:tc>
              <w:tc>
                <w:tcPr>
                  <w:tcW w:w="4527" w:type="dxa"/>
                  <w:tcBorders>
                    <w:top w:val="nil"/>
                    <w:left w:val="nil"/>
                    <w:bottom w:val="single" w:color="auto" w:sz="4" w:space="0"/>
                    <w:right w:val="single" w:color="auto" w:sz="4" w:space="0"/>
                  </w:tcBorders>
                  <w:shd w:val="clear" w:color="auto" w:fill="auto"/>
                  <w:vAlign w:val="center"/>
                </w:tcPr>
                <w:p w14:paraId="6C41B0F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≤1秒</w:t>
                  </w:r>
                  <w:r>
                    <w:rPr>
                      <w:rFonts w:hint="eastAsia" w:ascii="宋体" w:hAnsi="宋体" w:eastAsia="宋体" w:cs="宋体"/>
                      <w:color w:val="000000"/>
                      <w:kern w:val="0"/>
                      <w:sz w:val="22"/>
                      <w:szCs w:val="22"/>
                      <w:lang w:eastAsia="zh-CN"/>
                    </w:rPr>
                    <w:t>。</w:t>
                  </w:r>
                </w:p>
              </w:tc>
            </w:tr>
            <w:tr w14:paraId="4094DAC7">
              <w:tblPrEx>
                <w:tblCellMar>
                  <w:top w:w="0" w:type="dxa"/>
                  <w:left w:w="108" w:type="dxa"/>
                  <w:bottom w:w="0" w:type="dxa"/>
                  <w:right w:w="108" w:type="dxa"/>
                </w:tblCellMar>
              </w:tblPrEx>
              <w:trPr>
                <w:trHeight w:val="367" w:hRule="atLeast"/>
                <w:jc w:val="center"/>
              </w:trPr>
              <w:tc>
                <w:tcPr>
                  <w:tcW w:w="715" w:type="dxa"/>
                  <w:vMerge w:val="continue"/>
                  <w:tcBorders>
                    <w:top w:val="nil"/>
                    <w:left w:val="single" w:color="auto" w:sz="4" w:space="0"/>
                    <w:bottom w:val="single" w:color="000000" w:sz="4" w:space="0"/>
                    <w:right w:val="single" w:color="auto" w:sz="4" w:space="0"/>
                  </w:tcBorders>
                  <w:vAlign w:val="center"/>
                </w:tcPr>
                <w:p w14:paraId="7D776E8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891" w:type="dxa"/>
                  <w:vMerge w:val="continue"/>
                  <w:tcBorders>
                    <w:top w:val="nil"/>
                    <w:left w:val="single" w:color="auto" w:sz="4" w:space="0"/>
                    <w:bottom w:val="single" w:color="000000" w:sz="4" w:space="0"/>
                    <w:right w:val="single" w:color="auto" w:sz="4" w:space="0"/>
                  </w:tcBorders>
                  <w:vAlign w:val="center"/>
                </w:tcPr>
                <w:p w14:paraId="6DE0C1B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416" w:type="dxa"/>
                  <w:tcBorders>
                    <w:top w:val="nil"/>
                    <w:left w:val="nil"/>
                    <w:bottom w:val="single" w:color="auto" w:sz="4" w:space="0"/>
                    <w:right w:val="single" w:color="auto" w:sz="4" w:space="0"/>
                  </w:tcBorders>
                  <w:shd w:val="clear" w:color="auto" w:fill="auto"/>
                  <w:vAlign w:val="center"/>
                </w:tcPr>
                <w:p w14:paraId="7C2C4C4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号牌识别准确率</w:t>
                  </w:r>
                </w:p>
              </w:tc>
              <w:tc>
                <w:tcPr>
                  <w:tcW w:w="4527" w:type="dxa"/>
                  <w:tcBorders>
                    <w:top w:val="nil"/>
                    <w:left w:val="nil"/>
                    <w:bottom w:val="single" w:color="auto" w:sz="4" w:space="0"/>
                    <w:right w:val="single" w:color="auto" w:sz="4" w:space="0"/>
                  </w:tcBorders>
                  <w:shd w:val="clear" w:color="auto" w:fill="auto"/>
                  <w:vAlign w:val="center"/>
                </w:tcPr>
                <w:p w14:paraId="018A0BF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白天车辆号牌识别准确率≥95%；夜间车辆号牌识别准确率≥92%</w:t>
                  </w:r>
                  <w:r>
                    <w:rPr>
                      <w:rFonts w:hint="eastAsia" w:ascii="宋体" w:hAnsi="宋体" w:eastAsia="宋体" w:cs="宋体"/>
                      <w:color w:val="000000"/>
                      <w:kern w:val="0"/>
                      <w:sz w:val="22"/>
                      <w:szCs w:val="22"/>
                      <w:lang w:eastAsia="zh-CN"/>
                    </w:rPr>
                    <w:t>。</w:t>
                  </w:r>
                </w:p>
              </w:tc>
            </w:tr>
            <w:tr w14:paraId="499DE1A7">
              <w:tblPrEx>
                <w:tblCellMar>
                  <w:top w:w="0" w:type="dxa"/>
                  <w:left w:w="108" w:type="dxa"/>
                  <w:bottom w:w="0" w:type="dxa"/>
                  <w:right w:w="108" w:type="dxa"/>
                </w:tblCellMar>
              </w:tblPrEx>
              <w:trPr>
                <w:trHeight w:val="725" w:hRule="atLeast"/>
                <w:jc w:val="center"/>
              </w:trPr>
              <w:tc>
                <w:tcPr>
                  <w:tcW w:w="715" w:type="dxa"/>
                  <w:tcBorders>
                    <w:top w:val="nil"/>
                    <w:left w:val="single" w:color="auto" w:sz="4" w:space="0"/>
                    <w:bottom w:val="single" w:color="auto" w:sz="4" w:space="0"/>
                    <w:right w:val="single" w:color="auto" w:sz="4" w:space="0"/>
                  </w:tcBorders>
                  <w:shd w:val="clear" w:color="auto" w:fill="auto"/>
                  <w:vAlign w:val="center"/>
                </w:tcPr>
                <w:p w14:paraId="1555BCB7">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2307" w:type="dxa"/>
                  <w:gridSpan w:val="2"/>
                  <w:tcBorders>
                    <w:top w:val="single" w:color="auto" w:sz="4" w:space="0"/>
                    <w:left w:val="nil"/>
                    <w:bottom w:val="single" w:color="auto" w:sz="4" w:space="0"/>
                    <w:right w:val="single" w:color="auto" w:sz="4" w:space="0"/>
                  </w:tcBorders>
                  <w:shd w:val="clear" w:color="auto" w:fill="auto"/>
                  <w:vAlign w:val="center"/>
                </w:tcPr>
                <w:p w14:paraId="50CBCD27">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数据传输和维护</w:t>
                  </w:r>
                </w:p>
              </w:tc>
              <w:tc>
                <w:tcPr>
                  <w:tcW w:w="4527" w:type="dxa"/>
                  <w:tcBorders>
                    <w:top w:val="nil"/>
                    <w:left w:val="nil"/>
                    <w:bottom w:val="single" w:color="auto" w:sz="4" w:space="0"/>
                    <w:right w:val="single" w:color="auto" w:sz="4" w:space="0"/>
                  </w:tcBorders>
                  <w:shd w:val="clear" w:color="auto" w:fill="auto"/>
                  <w:vAlign w:val="center"/>
                </w:tcPr>
                <w:p w14:paraId="42881430">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应能通过网络实现数据传输、远程访问和远程系统维护。</w:t>
                  </w:r>
                </w:p>
              </w:tc>
            </w:tr>
            <w:tr w14:paraId="5FB2D38E">
              <w:tblPrEx>
                <w:tblCellMar>
                  <w:top w:w="0" w:type="dxa"/>
                  <w:left w:w="108" w:type="dxa"/>
                  <w:bottom w:w="0" w:type="dxa"/>
                  <w:right w:w="108" w:type="dxa"/>
                </w:tblCellMar>
              </w:tblPrEx>
              <w:trPr>
                <w:trHeight w:val="367" w:hRule="atLeast"/>
                <w:jc w:val="center"/>
              </w:trPr>
              <w:tc>
                <w:tcPr>
                  <w:tcW w:w="754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7888EC2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b w:val="0"/>
                      <w:bCs w:val="0"/>
                      <w:color w:val="000000"/>
                      <w:kern w:val="0"/>
                      <w:sz w:val="22"/>
                      <w:szCs w:val="22"/>
                    </w:rPr>
                    <w:t>三、图像及图片要求</w:t>
                  </w:r>
                </w:p>
              </w:tc>
            </w:tr>
            <w:tr w14:paraId="08546028">
              <w:tblPrEx>
                <w:tblCellMar>
                  <w:top w:w="0" w:type="dxa"/>
                  <w:left w:w="108" w:type="dxa"/>
                  <w:bottom w:w="0" w:type="dxa"/>
                  <w:right w:w="108" w:type="dxa"/>
                </w:tblCellMar>
              </w:tblPrEx>
              <w:trPr>
                <w:trHeight w:val="367" w:hRule="atLeast"/>
                <w:jc w:val="center"/>
              </w:trPr>
              <w:tc>
                <w:tcPr>
                  <w:tcW w:w="715" w:type="dxa"/>
                  <w:tcBorders>
                    <w:top w:val="nil"/>
                    <w:left w:val="single" w:color="auto" w:sz="4" w:space="0"/>
                    <w:bottom w:val="single" w:color="auto" w:sz="4" w:space="0"/>
                    <w:right w:val="single" w:color="auto" w:sz="4" w:space="0"/>
                  </w:tcBorders>
                  <w:shd w:val="clear" w:color="auto" w:fill="auto"/>
                  <w:vAlign w:val="center"/>
                </w:tcPr>
                <w:p w14:paraId="6F198A9C">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2307" w:type="dxa"/>
                  <w:gridSpan w:val="2"/>
                  <w:tcBorders>
                    <w:top w:val="single" w:color="auto" w:sz="4" w:space="0"/>
                    <w:left w:val="nil"/>
                    <w:bottom w:val="single" w:color="auto" w:sz="4" w:space="0"/>
                    <w:right w:val="single" w:color="auto" w:sz="4" w:space="0"/>
                  </w:tcBorders>
                  <w:shd w:val="clear" w:color="auto" w:fill="auto"/>
                  <w:vAlign w:val="center"/>
                </w:tcPr>
                <w:p w14:paraId="788FCE69">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单幅图片分辨率</w:t>
                  </w:r>
                </w:p>
              </w:tc>
              <w:tc>
                <w:tcPr>
                  <w:tcW w:w="4527" w:type="dxa"/>
                  <w:tcBorders>
                    <w:top w:val="nil"/>
                    <w:left w:val="nil"/>
                    <w:bottom w:val="single" w:color="auto" w:sz="4" w:space="0"/>
                    <w:right w:val="single" w:color="auto" w:sz="4" w:space="0"/>
                  </w:tcBorders>
                  <w:shd w:val="clear" w:color="auto" w:fill="auto"/>
                  <w:vAlign w:val="center"/>
                </w:tcPr>
                <w:p w14:paraId="2FD84C09">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≥2592×1520</w:t>
                  </w:r>
                </w:p>
              </w:tc>
            </w:tr>
            <w:tr w14:paraId="5D2C2AAE">
              <w:tblPrEx>
                <w:tblCellMar>
                  <w:top w:w="0" w:type="dxa"/>
                  <w:left w:w="108" w:type="dxa"/>
                  <w:bottom w:w="0" w:type="dxa"/>
                  <w:right w:w="108" w:type="dxa"/>
                </w:tblCellMar>
              </w:tblPrEx>
              <w:trPr>
                <w:trHeight w:val="725" w:hRule="atLeast"/>
                <w:jc w:val="center"/>
              </w:trPr>
              <w:tc>
                <w:tcPr>
                  <w:tcW w:w="715" w:type="dxa"/>
                  <w:tcBorders>
                    <w:top w:val="nil"/>
                    <w:left w:val="single" w:color="auto" w:sz="4" w:space="0"/>
                    <w:bottom w:val="single" w:color="auto" w:sz="4" w:space="0"/>
                    <w:right w:val="single" w:color="auto" w:sz="4" w:space="0"/>
                  </w:tcBorders>
                  <w:shd w:val="clear" w:color="auto" w:fill="auto"/>
                  <w:vAlign w:val="center"/>
                </w:tcPr>
                <w:p w14:paraId="41699BDC">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2307" w:type="dxa"/>
                  <w:gridSpan w:val="2"/>
                  <w:tcBorders>
                    <w:top w:val="single" w:color="auto" w:sz="4" w:space="0"/>
                    <w:left w:val="nil"/>
                    <w:bottom w:val="single" w:color="auto" w:sz="4" w:space="0"/>
                    <w:right w:val="single" w:color="auto" w:sz="4" w:space="0"/>
                  </w:tcBorders>
                  <w:shd w:val="clear" w:color="auto" w:fill="auto"/>
                  <w:vAlign w:val="center"/>
                </w:tcPr>
                <w:p w14:paraId="017A60E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图像编码及</w:t>
                  </w:r>
                  <w:r>
                    <w:rPr>
                      <w:rFonts w:hint="eastAsia" w:ascii="宋体" w:hAnsi="宋体" w:eastAsia="宋体" w:cs="宋体"/>
                      <w:sz w:val="22"/>
                      <w:szCs w:val="22"/>
                      <w:lang w:eastAsia="zh-CN"/>
                    </w:rPr>
                    <w:t>存储</w:t>
                  </w:r>
                  <w:r>
                    <w:rPr>
                      <w:rFonts w:hint="eastAsia" w:ascii="宋体" w:hAnsi="宋体" w:eastAsia="宋体" w:cs="宋体"/>
                      <w:color w:val="000000"/>
                      <w:kern w:val="0"/>
                      <w:sz w:val="22"/>
                      <w:szCs w:val="22"/>
                    </w:rPr>
                    <w:t>格式</w:t>
                  </w:r>
                </w:p>
              </w:tc>
              <w:tc>
                <w:tcPr>
                  <w:tcW w:w="4527" w:type="dxa"/>
                  <w:tcBorders>
                    <w:top w:val="nil"/>
                    <w:left w:val="nil"/>
                    <w:bottom w:val="single" w:color="auto" w:sz="4" w:space="0"/>
                    <w:right w:val="single" w:color="auto" w:sz="4" w:space="0"/>
                  </w:tcBorders>
                  <w:shd w:val="clear" w:color="auto" w:fill="auto"/>
                  <w:vAlign w:val="center"/>
                </w:tcPr>
                <w:p w14:paraId="5188FC4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图像编码符合ISO/IEC15444:2000的要求，采用JPEG文件格式</w:t>
                  </w:r>
                  <w:r>
                    <w:rPr>
                      <w:rFonts w:hint="eastAsia" w:ascii="宋体" w:hAnsi="宋体" w:eastAsia="宋体" w:cs="宋体"/>
                      <w:sz w:val="22"/>
                      <w:szCs w:val="22"/>
                      <w:lang w:eastAsia="zh-CN"/>
                    </w:rPr>
                    <w:t>存储</w:t>
                  </w:r>
                  <w:r>
                    <w:rPr>
                      <w:rFonts w:hint="eastAsia" w:ascii="宋体" w:hAnsi="宋体" w:eastAsia="宋体" w:cs="宋体"/>
                      <w:color w:val="000000"/>
                      <w:kern w:val="0"/>
                      <w:sz w:val="22"/>
                      <w:szCs w:val="22"/>
                    </w:rPr>
                    <w:t>，压缩因子低于70。</w:t>
                  </w:r>
                </w:p>
              </w:tc>
            </w:tr>
            <w:tr w14:paraId="0F78E536">
              <w:tblPrEx>
                <w:tblCellMar>
                  <w:top w:w="0" w:type="dxa"/>
                  <w:left w:w="108" w:type="dxa"/>
                  <w:bottom w:w="0" w:type="dxa"/>
                  <w:right w:w="108" w:type="dxa"/>
                </w:tblCellMar>
              </w:tblPrEx>
              <w:trPr>
                <w:trHeight w:val="367" w:hRule="atLeast"/>
                <w:jc w:val="center"/>
              </w:trPr>
              <w:tc>
                <w:tcPr>
                  <w:tcW w:w="715" w:type="dxa"/>
                  <w:vMerge w:val="restart"/>
                  <w:tcBorders>
                    <w:top w:val="nil"/>
                    <w:left w:val="single" w:color="auto" w:sz="4" w:space="0"/>
                    <w:bottom w:val="single" w:color="000000" w:sz="4" w:space="0"/>
                    <w:right w:val="single" w:color="auto" w:sz="4" w:space="0"/>
                  </w:tcBorders>
                  <w:shd w:val="clear" w:color="auto" w:fill="auto"/>
                  <w:vAlign w:val="center"/>
                </w:tcPr>
                <w:p w14:paraId="67E99FA1">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891" w:type="dxa"/>
                  <w:vMerge w:val="restart"/>
                  <w:tcBorders>
                    <w:top w:val="nil"/>
                    <w:left w:val="single" w:color="auto" w:sz="4" w:space="0"/>
                    <w:bottom w:val="single" w:color="000000" w:sz="4" w:space="0"/>
                    <w:right w:val="single" w:color="auto" w:sz="4" w:space="0"/>
                  </w:tcBorders>
                  <w:shd w:val="clear" w:color="auto" w:fill="auto"/>
                  <w:vAlign w:val="center"/>
                </w:tcPr>
                <w:p w14:paraId="5A77F0D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交通视频信息记录</w:t>
                  </w:r>
                </w:p>
              </w:tc>
              <w:tc>
                <w:tcPr>
                  <w:tcW w:w="1416" w:type="dxa"/>
                  <w:tcBorders>
                    <w:top w:val="nil"/>
                    <w:left w:val="nil"/>
                    <w:bottom w:val="single" w:color="auto" w:sz="4" w:space="0"/>
                    <w:right w:val="single" w:color="auto" w:sz="4" w:space="0"/>
                  </w:tcBorders>
                  <w:shd w:val="clear" w:color="auto" w:fill="auto"/>
                  <w:vAlign w:val="center"/>
                </w:tcPr>
                <w:p w14:paraId="227F5378">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视频质量</w:t>
                  </w:r>
                </w:p>
              </w:tc>
              <w:tc>
                <w:tcPr>
                  <w:tcW w:w="4527" w:type="dxa"/>
                  <w:tcBorders>
                    <w:top w:val="nil"/>
                    <w:left w:val="nil"/>
                    <w:bottom w:val="single" w:color="auto" w:sz="4" w:space="0"/>
                    <w:right w:val="single" w:color="auto" w:sz="4" w:space="0"/>
                  </w:tcBorders>
                  <w:shd w:val="clear" w:color="auto" w:fill="auto"/>
                  <w:vAlign w:val="center"/>
                </w:tcPr>
                <w:p w14:paraId="622917B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达到DB11/T384.5</w:t>
                  </w:r>
                  <w:r>
                    <w:rPr>
                      <w:rFonts w:hint="eastAsia" w:ascii="宋体" w:hAnsi="宋体" w:eastAsia="宋体" w:cs="宋体"/>
                      <w:color w:val="000000"/>
                      <w:kern w:val="0"/>
                      <w:sz w:val="22"/>
                      <w:szCs w:val="22"/>
                      <w:lang w:val="en-US" w:eastAsia="zh-CN"/>
                    </w:rPr>
                    <w:t>要求的</w:t>
                  </w:r>
                  <w:r>
                    <w:rPr>
                      <w:rFonts w:hint="eastAsia" w:ascii="宋体" w:hAnsi="宋体" w:eastAsia="宋体" w:cs="宋体"/>
                      <w:color w:val="000000"/>
                      <w:kern w:val="0"/>
                      <w:sz w:val="22"/>
                      <w:szCs w:val="22"/>
                    </w:rPr>
                    <w:t>“优”等水平</w:t>
                  </w:r>
                  <w:r>
                    <w:rPr>
                      <w:rFonts w:hint="eastAsia" w:ascii="宋体" w:hAnsi="宋体" w:eastAsia="宋体" w:cs="宋体"/>
                      <w:color w:val="000000"/>
                      <w:kern w:val="0"/>
                      <w:sz w:val="22"/>
                      <w:szCs w:val="22"/>
                      <w:lang w:eastAsia="zh-CN"/>
                    </w:rPr>
                    <w:t>。</w:t>
                  </w:r>
                </w:p>
              </w:tc>
            </w:tr>
            <w:tr w14:paraId="602B8BF1">
              <w:tblPrEx>
                <w:tblCellMar>
                  <w:top w:w="0" w:type="dxa"/>
                  <w:left w:w="108" w:type="dxa"/>
                  <w:bottom w:w="0" w:type="dxa"/>
                  <w:right w:w="108" w:type="dxa"/>
                </w:tblCellMar>
              </w:tblPrEx>
              <w:trPr>
                <w:trHeight w:val="725" w:hRule="atLeast"/>
                <w:jc w:val="center"/>
              </w:trPr>
              <w:tc>
                <w:tcPr>
                  <w:tcW w:w="715" w:type="dxa"/>
                  <w:vMerge w:val="continue"/>
                  <w:tcBorders>
                    <w:top w:val="nil"/>
                    <w:left w:val="single" w:color="auto" w:sz="4" w:space="0"/>
                    <w:bottom w:val="single" w:color="000000" w:sz="4" w:space="0"/>
                    <w:right w:val="single" w:color="auto" w:sz="4" w:space="0"/>
                  </w:tcBorders>
                  <w:vAlign w:val="center"/>
                </w:tcPr>
                <w:p w14:paraId="11E8C7F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891" w:type="dxa"/>
                  <w:vMerge w:val="continue"/>
                  <w:tcBorders>
                    <w:top w:val="nil"/>
                    <w:left w:val="single" w:color="auto" w:sz="4" w:space="0"/>
                    <w:bottom w:val="single" w:color="000000" w:sz="4" w:space="0"/>
                    <w:right w:val="single" w:color="auto" w:sz="4" w:space="0"/>
                  </w:tcBorders>
                  <w:vAlign w:val="center"/>
                </w:tcPr>
                <w:p w14:paraId="22248E28">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416" w:type="dxa"/>
                  <w:tcBorders>
                    <w:top w:val="nil"/>
                    <w:left w:val="nil"/>
                    <w:bottom w:val="single" w:color="auto" w:sz="4" w:space="0"/>
                    <w:right w:val="single" w:color="auto" w:sz="4" w:space="0"/>
                  </w:tcBorders>
                  <w:shd w:val="clear" w:color="auto" w:fill="auto"/>
                  <w:vAlign w:val="center"/>
                </w:tcPr>
                <w:p w14:paraId="01967A9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视频信号格式</w:t>
                  </w:r>
                </w:p>
              </w:tc>
              <w:tc>
                <w:tcPr>
                  <w:tcW w:w="4527" w:type="dxa"/>
                  <w:tcBorders>
                    <w:top w:val="nil"/>
                    <w:left w:val="nil"/>
                    <w:bottom w:val="single" w:color="auto" w:sz="4" w:space="0"/>
                    <w:right w:val="single" w:color="auto" w:sz="4" w:space="0"/>
                  </w:tcBorders>
                  <w:shd w:val="clear" w:color="auto" w:fill="auto"/>
                  <w:vAlign w:val="center"/>
                </w:tcPr>
                <w:p w14:paraId="7DF662A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按照DB11/T384.2</w:t>
                  </w:r>
                  <w:r>
                    <w:rPr>
                      <w:rFonts w:hint="eastAsia" w:ascii="宋体" w:hAnsi="宋体" w:eastAsia="宋体" w:cs="宋体"/>
                      <w:color w:val="000000"/>
                      <w:kern w:val="0"/>
                      <w:sz w:val="22"/>
                      <w:szCs w:val="22"/>
                      <w:lang w:val="en-US" w:eastAsia="zh-CN"/>
                    </w:rPr>
                    <w:t>要求</w:t>
                  </w:r>
                  <w:r>
                    <w:rPr>
                      <w:rFonts w:hint="eastAsia" w:ascii="宋体" w:hAnsi="宋体" w:eastAsia="宋体" w:cs="宋体"/>
                      <w:color w:val="000000"/>
                      <w:kern w:val="0"/>
                      <w:sz w:val="22"/>
                      <w:szCs w:val="22"/>
                    </w:rPr>
                    <w:t>采用MEPG4或H.265的图像编码格</w:t>
                  </w:r>
                  <w:r>
                    <w:rPr>
                      <w:rFonts w:hint="eastAsia" w:ascii="宋体" w:hAnsi="宋体" w:eastAsia="宋体" w:cs="宋体"/>
                      <w:color w:val="000000"/>
                      <w:kern w:val="0"/>
                      <w:sz w:val="22"/>
                      <w:szCs w:val="22"/>
                      <w:lang w:eastAsia="zh-CN"/>
                    </w:rPr>
                    <w:t>。</w:t>
                  </w:r>
                </w:p>
              </w:tc>
            </w:tr>
            <w:tr w14:paraId="097A28CF">
              <w:tblPrEx>
                <w:tblCellMar>
                  <w:top w:w="0" w:type="dxa"/>
                  <w:left w:w="108" w:type="dxa"/>
                  <w:bottom w:w="0" w:type="dxa"/>
                  <w:right w:w="108" w:type="dxa"/>
                </w:tblCellMar>
              </w:tblPrEx>
              <w:trPr>
                <w:trHeight w:val="367" w:hRule="atLeast"/>
                <w:jc w:val="center"/>
              </w:trPr>
              <w:tc>
                <w:tcPr>
                  <w:tcW w:w="715" w:type="dxa"/>
                  <w:vMerge w:val="continue"/>
                  <w:tcBorders>
                    <w:top w:val="nil"/>
                    <w:left w:val="single" w:color="auto" w:sz="4" w:space="0"/>
                    <w:bottom w:val="single" w:color="000000" w:sz="4" w:space="0"/>
                    <w:right w:val="single" w:color="auto" w:sz="4" w:space="0"/>
                  </w:tcBorders>
                  <w:vAlign w:val="center"/>
                </w:tcPr>
                <w:p w14:paraId="501E44B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891" w:type="dxa"/>
                  <w:vMerge w:val="continue"/>
                  <w:tcBorders>
                    <w:top w:val="nil"/>
                    <w:left w:val="single" w:color="auto" w:sz="4" w:space="0"/>
                    <w:bottom w:val="single" w:color="000000" w:sz="4" w:space="0"/>
                    <w:right w:val="single" w:color="auto" w:sz="4" w:space="0"/>
                  </w:tcBorders>
                  <w:vAlign w:val="center"/>
                </w:tcPr>
                <w:p w14:paraId="26C7075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416" w:type="dxa"/>
                  <w:tcBorders>
                    <w:top w:val="nil"/>
                    <w:left w:val="nil"/>
                    <w:bottom w:val="single" w:color="auto" w:sz="4" w:space="0"/>
                    <w:right w:val="single" w:color="auto" w:sz="4" w:space="0"/>
                  </w:tcBorders>
                  <w:shd w:val="clear" w:color="auto" w:fill="auto"/>
                  <w:vAlign w:val="center"/>
                </w:tcPr>
                <w:p w14:paraId="354C58A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视频分辨率</w:t>
                  </w:r>
                </w:p>
              </w:tc>
              <w:tc>
                <w:tcPr>
                  <w:tcW w:w="4527" w:type="dxa"/>
                  <w:tcBorders>
                    <w:top w:val="nil"/>
                    <w:left w:val="nil"/>
                    <w:bottom w:val="single" w:color="auto" w:sz="4" w:space="0"/>
                    <w:right w:val="single" w:color="auto" w:sz="4" w:space="0"/>
                  </w:tcBorders>
                  <w:shd w:val="clear" w:color="auto" w:fill="auto"/>
                  <w:vAlign w:val="center"/>
                </w:tcPr>
                <w:p w14:paraId="3F9432A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≥1920×1080</w:t>
                  </w:r>
                  <w:r>
                    <w:rPr>
                      <w:rFonts w:hint="eastAsia" w:ascii="宋体" w:hAnsi="宋体" w:eastAsia="宋体" w:cs="宋体"/>
                      <w:color w:val="000000"/>
                      <w:kern w:val="0"/>
                      <w:sz w:val="22"/>
                      <w:szCs w:val="22"/>
                      <w:lang w:eastAsia="zh-CN"/>
                    </w:rPr>
                    <w:t>。</w:t>
                  </w:r>
                </w:p>
              </w:tc>
            </w:tr>
            <w:tr w14:paraId="1164861B">
              <w:tblPrEx>
                <w:tblCellMar>
                  <w:top w:w="0" w:type="dxa"/>
                  <w:left w:w="108" w:type="dxa"/>
                  <w:bottom w:w="0" w:type="dxa"/>
                  <w:right w:w="108" w:type="dxa"/>
                </w:tblCellMar>
              </w:tblPrEx>
              <w:trPr>
                <w:trHeight w:val="367" w:hRule="atLeast"/>
                <w:jc w:val="center"/>
              </w:trPr>
              <w:tc>
                <w:tcPr>
                  <w:tcW w:w="715" w:type="dxa"/>
                  <w:vMerge w:val="continue"/>
                  <w:tcBorders>
                    <w:top w:val="nil"/>
                    <w:left w:val="single" w:color="auto" w:sz="4" w:space="0"/>
                    <w:bottom w:val="single" w:color="000000" w:sz="4" w:space="0"/>
                    <w:right w:val="single" w:color="auto" w:sz="4" w:space="0"/>
                  </w:tcBorders>
                  <w:vAlign w:val="center"/>
                </w:tcPr>
                <w:p w14:paraId="5C256B68">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891" w:type="dxa"/>
                  <w:vMerge w:val="continue"/>
                  <w:tcBorders>
                    <w:top w:val="nil"/>
                    <w:left w:val="single" w:color="auto" w:sz="4" w:space="0"/>
                    <w:bottom w:val="single" w:color="000000" w:sz="4" w:space="0"/>
                    <w:right w:val="single" w:color="auto" w:sz="4" w:space="0"/>
                  </w:tcBorders>
                  <w:vAlign w:val="center"/>
                </w:tcPr>
                <w:p w14:paraId="0B6AE4C5">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416" w:type="dxa"/>
                  <w:tcBorders>
                    <w:top w:val="nil"/>
                    <w:left w:val="nil"/>
                    <w:bottom w:val="single" w:color="auto" w:sz="4" w:space="0"/>
                    <w:right w:val="single" w:color="auto" w:sz="4" w:space="0"/>
                  </w:tcBorders>
                  <w:shd w:val="clear" w:color="auto" w:fill="auto"/>
                  <w:vAlign w:val="center"/>
                </w:tcPr>
                <w:p w14:paraId="52E33D5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视频帧率</w:t>
                  </w:r>
                </w:p>
              </w:tc>
              <w:tc>
                <w:tcPr>
                  <w:tcW w:w="4527" w:type="dxa"/>
                  <w:tcBorders>
                    <w:top w:val="nil"/>
                    <w:left w:val="nil"/>
                    <w:bottom w:val="single" w:color="auto" w:sz="4" w:space="0"/>
                    <w:right w:val="single" w:color="auto" w:sz="4" w:space="0"/>
                  </w:tcBorders>
                  <w:shd w:val="clear" w:color="auto" w:fill="auto"/>
                  <w:vAlign w:val="center"/>
                </w:tcPr>
                <w:p w14:paraId="4A3C2450">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≥25帧/秒</w:t>
                  </w:r>
                  <w:r>
                    <w:rPr>
                      <w:rFonts w:hint="eastAsia" w:ascii="宋体" w:hAnsi="宋体" w:eastAsia="宋体" w:cs="宋体"/>
                      <w:color w:val="000000"/>
                      <w:kern w:val="0"/>
                      <w:sz w:val="22"/>
                      <w:szCs w:val="22"/>
                      <w:lang w:eastAsia="zh-CN"/>
                    </w:rPr>
                    <w:t>。</w:t>
                  </w:r>
                </w:p>
              </w:tc>
            </w:tr>
            <w:tr w14:paraId="60EEF79E">
              <w:tblPrEx>
                <w:tblCellMar>
                  <w:top w:w="0" w:type="dxa"/>
                  <w:left w:w="108" w:type="dxa"/>
                  <w:bottom w:w="0" w:type="dxa"/>
                  <w:right w:w="108" w:type="dxa"/>
                </w:tblCellMar>
              </w:tblPrEx>
              <w:trPr>
                <w:trHeight w:val="367" w:hRule="atLeast"/>
                <w:jc w:val="center"/>
              </w:trPr>
              <w:tc>
                <w:tcPr>
                  <w:tcW w:w="754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3112359">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四、数据</w:t>
                  </w:r>
                  <w:r>
                    <w:rPr>
                      <w:rFonts w:hint="eastAsia" w:ascii="宋体" w:hAnsi="宋体" w:eastAsia="宋体" w:cs="宋体"/>
                      <w:sz w:val="22"/>
                      <w:szCs w:val="22"/>
                      <w:lang w:eastAsia="zh-CN"/>
                    </w:rPr>
                    <w:t>存储</w:t>
                  </w:r>
                  <w:r>
                    <w:rPr>
                      <w:rFonts w:hint="eastAsia" w:ascii="宋体" w:hAnsi="宋体" w:eastAsia="宋体" w:cs="宋体"/>
                      <w:color w:val="000000"/>
                      <w:kern w:val="0"/>
                      <w:sz w:val="22"/>
                      <w:szCs w:val="22"/>
                    </w:rPr>
                    <w:t>要求</w:t>
                  </w:r>
                </w:p>
              </w:tc>
            </w:tr>
            <w:tr w14:paraId="368D2DA9">
              <w:tblPrEx>
                <w:tblCellMar>
                  <w:top w:w="0" w:type="dxa"/>
                  <w:left w:w="108" w:type="dxa"/>
                  <w:bottom w:w="0" w:type="dxa"/>
                  <w:right w:w="108" w:type="dxa"/>
                </w:tblCellMar>
              </w:tblPrEx>
              <w:trPr>
                <w:trHeight w:val="725" w:hRule="atLeast"/>
                <w:jc w:val="center"/>
              </w:trPr>
              <w:tc>
                <w:tcPr>
                  <w:tcW w:w="715" w:type="dxa"/>
                  <w:vMerge w:val="restart"/>
                  <w:tcBorders>
                    <w:top w:val="nil"/>
                    <w:left w:val="single" w:color="auto" w:sz="4" w:space="0"/>
                    <w:bottom w:val="single" w:color="000000" w:sz="4" w:space="0"/>
                    <w:right w:val="single" w:color="auto" w:sz="4" w:space="0"/>
                  </w:tcBorders>
                  <w:shd w:val="clear" w:color="auto" w:fill="auto"/>
                  <w:vAlign w:val="center"/>
                </w:tcPr>
                <w:p w14:paraId="54237C23">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891" w:type="dxa"/>
                  <w:vMerge w:val="restart"/>
                  <w:tcBorders>
                    <w:top w:val="nil"/>
                    <w:left w:val="single" w:color="auto" w:sz="4" w:space="0"/>
                    <w:bottom w:val="single" w:color="000000" w:sz="4" w:space="0"/>
                    <w:right w:val="single" w:color="auto" w:sz="4" w:space="0"/>
                  </w:tcBorders>
                  <w:shd w:val="clear" w:color="auto" w:fill="auto"/>
                  <w:vAlign w:val="center"/>
                </w:tcPr>
                <w:p w14:paraId="4684AF4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系统中心管理平台</w:t>
                  </w:r>
                </w:p>
              </w:tc>
              <w:tc>
                <w:tcPr>
                  <w:tcW w:w="1416" w:type="dxa"/>
                  <w:tcBorders>
                    <w:top w:val="nil"/>
                    <w:left w:val="nil"/>
                    <w:bottom w:val="single" w:color="auto" w:sz="4" w:space="0"/>
                    <w:right w:val="single" w:color="auto" w:sz="4" w:space="0"/>
                  </w:tcBorders>
                  <w:shd w:val="clear" w:color="auto" w:fill="auto"/>
                  <w:vAlign w:val="center"/>
                </w:tcPr>
                <w:p w14:paraId="060178C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交通视频监控录像数据</w:t>
                  </w:r>
                </w:p>
              </w:tc>
              <w:tc>
                <w:tcPr>
                  <w:tcW w:w="4527" w:type="dxa"/>
                  <w:tcBorders>
                    <w:top w:val="nil"/>
                    <w:left w:val="nil"/>
                    <w:bottom w:val="single" w:color="auto" w:sz="4" w:space="0"/>
                    <w:right w:val="single" w:color="auto" w:sz="4" w:space="0"/>
                  </w:tcBorders>
                  <w:shd w:val="clear" w:color="auto" w:fill="auto"/>
                  <w:vAlign w:val="center"/>
                </w:tcPr>
                <w:p w14:paraId="029CF2D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视频图像信息保存时间应≥30天</w:t>
                  </w:r>
                  <w:r>
                    <w:rPr>
                      <w:rFonts w:hint="eastAsia" w:ascii="宋体" w:hAnsi="宋体" w:eastAsia="宋体" w:cs="宋体"/>
                      <w:color w:val="000000"/>
                      <w:kern w:val="0"/>
                      <w:sz w:val="22"/>
                      <w:szCs w:val="22"/>
                      <w:lang w:eastAsia="zh-CN"/>
                    </w:rPr>
                    <w:t>。</w:t>
                  </w:r>
                </w:p>
              </w:tc>
            </w:tr>
            <w:tr w14:paraId="34165799">
              <w:tblPrEx>
                <w:tblCellMar>
                  <w:top w:w="0" w:type="dxa"/>
                  <w:left w:w="108" w:type="dxa"/>
                  <w:bottom w:w="0" w:type="dxa"/>
                  <w:right w:w="108" w:type="dxa"/>
                </w:tblCellMar>
              </w:tblPrEx>
              <w:trPr>
                <w:trHeight w:val="367" w:hRule="atLeast"/>
                <w:jc w:val="center"/>
              </w:trPr>
              <w:tc>
                <w:tcPr>
                  <w:tcW w:w="715" w:type="dxa"/>
                  <w:vMerge w:val="continue"/>
                  <w:tcBorders>
                    <w:top w:val="nil"/>
                    <w:left w:val="single" w:color="auto" w:sz="4" w:space="0"/>
                    <w:bottom w:val="single" w:color="000000" w:sz="4" w:space="0"/>
                    <w:right w:val="single" w:color="auto" w:sz="4" w:space="0"/>
                  </w:tcBorders>
                  <w:vAlign w:val="center"/>
                </w:tcPr>
                <w:p w14:paraId="1769F728">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891" w:type="dxa"/>
                  <w:vMerge w:val="continue"/>
                  <w:tcBorders>
                    <w:top w:val="nil"/>
                    <w:left w:val="single" w:color="auto" w:sz="4" w:space="0"/>
                    <w:bottom w:val="single" w:color="000000" w:sz="4" w:space="0"/>
                    <w:right w:val="single" w:color="auto" w:sz="4" w:space="0"/>
                  </w:tcBorders>
                  <w:vAlign w:val="center"/>
                </w:tcPr>
                <w:p w14:paraId="44B902F7">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416" w:type="dxa"/>
                  <w:tcBorders>
                    <w:top w:val="nil"/>
                    <w:left w:val="nil"/>
                    <w:bottom w:val="single" w:color="auto" w:sz="4" w:space="0"/>
                    <w:right w:val="single" w:color="auto" w:sz="4" w:space="0"/>
                  </w:tcBorders>
                  <w:shd w:val="clear" w:color="auto" w:fill="auto"/>
                  <w:vAlign w:val="center"/>
                </w:tcPr>
                <w:p w14:paraId="1BEDF51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违法图片数据</w:t>
                  </w:r>
                </w:p>
              </w:tc>
              <w:tc>
                <w:tcPr>
                  <w:tcW w:w="4527" w:type="dxa"/>
                  <w:tcBorders>
                    <w:top w:val="nil"/>
                    <w:left w:val="nil"/>
                    <w:bottom w:val="single" w:color="auto" w:sz="4" w:space="0"/>
                    <w:right w:val="single" w:color="auto" w:sz="4" w:space="0"/>
                  </w:tcBorders>
                  <w:shd w:val="clear" w:color="auto" w:fill="auto"/>
                  <w:vAlign w:val="center"/>
                </w:tcPr>
                <w:p w14:paraId="1F1A672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应能够存储≥30天的车辆交通安全违法信息数据</w:t>
                  </w:r>
                  <w:r>
                    <w:rPr>
                      <w:rFonts w:hint="eastAsia" w:ascii="宋体" w:hAnsi="宋体" w:eastAsia="宋体" w:cs="宋体"/>
                      <w:color w:val="000000"/>
                      <w:kern w:val="0"/>
                      <w:sz w:val="22"/>
                      <w:szCs w:val="22"/>
                      <w:lang w:eastAsia="zh-CN"/>
                    </w:rPr>
                    <w:t>。</w:t>
                  </w:r>
                </w:p>
              </w:tc>
            </w:tr>
            <w:tr w14:paraId="34880F08">
              <w:tblPrEx>
                <w:tblCellMar>
                  <w:top w:w="0" w:type="dxa"/>
                  <w:left w:w="108" w:type="dxa"/>
                  <w:bottom w:w="0" w:type="dxa"/>
                  <w:right w:w="108" w:type="dxa"/>
                </w:tblCellMar>
              </w:tblPrEx>
              <w:trPr>
                <w:trHeight w:val="725" w:hRule="atLeast"/>
                <w:jc w:val="center"/>
              </w:trPr>
              <w:tc>
                <w:tcPr>
                  <w:tcW w:w="715" w:type="dxa"/>
                  <w:vMerge w:val="continue"/>
                  <w:tcBorders>
                    <w:top w:val="nil"/>
                    <w:left w:val="single" w:color="auto" w:sz="4" w:space="0"/>
                    <w:bottom w:val="single" w:color="000000" w:sz="4" w:space="0"/>
                    <w:right w:val="single" w:color="auto" w:sz="4" w:space="0"/>
                  </w:tcBorders>
                  <w:vAlign w:val="center"/>
                </w:tcPr>
                <w:p w14:paraId="0747FAA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891" w:type="dxa"/>
                  <w:vMerge w:val="continue"/>
                  <w:tcBorders>
                    <w:top w:val="nil"/>
                    <w:left w:val="single" w:color="auto" w:sz="4" w:space="0"/>
                    <w:bottom w:val="single" w:color="000000" w:sz="4" w:space="0"/>
                    <w:right w:val="single" w:color="auto" w:sz="4" w:space="0"/>
                  </w:tcBorders>
                  <w:vAlign w:val="center"/>
                </w:tcPr>
                <w:p w14:paraId="1D52142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416" w:type="dxa"/>
                  <w:tcBorders>
                    <w:top w:val="nil"/>
                    <w:left w:val="nil"/>
                    <w:bottom w:val="single" w:color="auto" w:sz="4" w:space="0"/>
                    <w:right w:val="single" w:color="auto" w:sz="4" w:space="0"/>
                  </w:tcBorders>
                  <w:shd w:val="clear" w:color="auto" w:fill="auto"/>
                  <w:vAlign w:val="center"/>
                </w:tcPr>
                <w:p w14:paraId="61B18B3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其他</w:t>
                  </w:r>
                  <w:r>
                    <w:rPr>
                      <w:rFonts w:hint="eastAsia" w:ascii="宋体" w:hAnsi="宋体" w:eastAsia="宋体" w:cs="宋体"/>
                      <w:color w:val="000000"/>
                      <w:kern w:val="0"/>
                      <w:sz w:val="22"/>
                      <w:szCs w:val="22"/>
                    </w:rPr>
                    <w:t>数据</w:t>
                  </w:r>
                </w:p>
              </w:tc>
              <w:tc>
                <w:tcPr>
                  <w:tcW w:w="4527" w:type="dxa"/>
                  <w:tcBorders>
                    <w:top w:val="nil"/>
                    <w:left w:val="nil"/>
                    <w:bottom w:val="single" w:color="auto" w:sz="4" w:space="0"/>
                    <w:right w:val="single" w:color="auto" w:sz="4" w:space="0"/>
                  </w:tcBorders>
                  <w:shd w:val="clear" w:color="auto" w:fill="auto"/>
                  <w:vAlign w:val="center"/>
                </w:tcPr>
                <w:p w14:paraId="7E5E0CF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eastAsia="zh-CN"/>
                    </w:rPr>
                    <w:t>其他</w:t>
                  </w:r>
                  <w:r>
                    <w:rPr>
                      <w:rFonts w:hint="eastAsia" w:ascii="宋体" w:hAnsi="宋体" w:eastAsia="宋体" w:cs="宋体"/>
                      <w:color w:val="000000"/>
                      <w:kern w:val="0"/>
                      <w:sz w:val="22"/>
                      <w:szCs w:val="22"/>
                    </w:rPr>
                    <w:t>信息数据存储时间应≥30天</w:t>
                  </w:r>
                  <w:r>
                    <w:rPr>
                      <w:rFonts w:hint="eastAsia" w:ascii="宋体" w:hAnsi="宋体" w:eastAsia="宋体" w:cs="宋体"/>
                      <w:color w:val="000000"/>
                      <w:kern w:val="0"/>
                      <w:sz w:val="22"/>
                      <w:szCs w:val="22"/>
                      <w:lang w:eastAsia="zh-CN"/>
                    </w:rPr>
                    <w:t>。</w:t>
                  </w:r>
                </w:p>
              </w:tc>
            </w:tr>
            <w:tr w14:paraId="367623C1">
              <w:tblPrEx>
                <w:tblCellMar>
                  <w:top w:w="0" w:type="dxa"/>
                  <w:left w:w="108" w:type="dxa"/>
                  <w:bottom w:w="0" w:type="dxa"/>
                  <w:right w:w="108" w:type="dxa"/>
                </w:tblCellMar>
              </w:tblPrEx>
              <w:trPr>
                <w:trHeight w:val="367" w:hRule="atLeast"/>
                <w:jc w:val="center"/>
              </w:trPr>
              <w:tc>
                <w:tcPr>
                  <w:tcW w:w="715" w:type="dxa"/>
                  <w:vMerge w:val="continue"/>
                  <w:tcBorders>
                    <w:top w:val="nil"/>
                    <w:left w:val="single" w:color="auto" w:sz="4" w:space="0"/>
                    <w:bottom w:val="single" w:color="000000" w:sz="4" w:space="0"/>
                    <w:right w:val="single" w:color="auto" w:sz="4" w:space="0"/>
                  </w:tcBorders>
                  <w:vAlign w:val="center"/>
                </w:tcPr>
                <w:p w14:paraId="586B440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891" w:type="dxa"/>
                  <w:vMerge w:val="continue"/>
                  <w:tcBorders>
                    <w:top w:val="nil"/>
                    <w:left w:val="single" w:color="auto" w:sz="4" w:space="0"/>
                    <w:bottom w:val="single" w:color="000000" w:sz="4" w:space="0"/>
                    <w:right w:val="single" w:color="auto" w:sz="4" w:space="0"/>
                  </w:tcBorders>
                  <w:vAlign w:val="center"/>
                </w:tcPr>
                <w:p w14:paraId="20A5659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1416" w:type="dxa"/>
                  <w:tcBorders>
                    <w:top w:val="nil"/>
                    <w:left w:val="nil"/>
                    <w:bottom w:val="single" w:color="auto" w:sz="4" w:space="0"/>
                    <w:right w:val="single" w:color="auto" w:sz="4" w:space="0"/>
                  </w:tcBorders>
                  <w:shd w:val="clear" w:color="auto" w:fill="auto"/>
                  <w:vAlign w:val="center"/>
                </w:tcPr>
                <w:p w14:paraId="778AE61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接入协议</w:t>
                  </w:r>
                </w:p>
              </w:tc>
              <w:tc>
                <w:tcPr>
                  <w:tcW w:w="4527" w:type="dxa"/>
                  <w:tcBorders>
                    <w:top w:val="nil"/>
                    <w:left w:val="nil"/>
                    <w:bottom w:val="single" w:color="auto" w:sz="4" w:space="0"/>
                    <w:right w:val="single" w:color="auto" w:sz="4" w:space="0"/>
                  </w:tcBorders>
                  <w:shd w:val="clear" w:color="auto" w:fill="auto"/>
                  <w:vAlign w:val="center"/>
                </w:tcPr>
                <w:p w14:paraId="42814A8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须符合GA/T 1400</w:t>
                  </w:r>
                  <w:r>
                    <w:rPr>
                      <w:rFonts w:hint="eastAsia" w:ascii="宋体" w:hAnsi="宋体" w:eastAsia="宋体" w:cs="宋体"/>
                      <w:color w:val="000000"/>
                      <w:kern w:val="0"/>
                      <w:sz w:val="22"/>
                      <w:szCs w:val="22"/>
                      <w:lang w:val="en-US" w:eastAsia="zh-CN"/>
                    </w:rPr>
                    <w:t>要求</w:t>
                  </w:r>
                  <w:r>
                    <w:rPr>
                      <w:rFonts w:hint="eastAsia" w:ascii="宋体" w:hAnsi="宋体" w:eastAsia="宋体" w:cs="宋体"/>
                      <w:color w:val="000000"/>
                      <w:kern w:val="0"/>
                      <w:sz w:val="22"/>
                      <w:szCs w:val="22"/>
                      <w:lang w:eastAsia="zh-CN"/>
                    </w:rPr>
                    <w:t>。</w:t>
                  </w:r>
                </w:p>
              </w:tc>
            </w:tr>
            <w:tr w14:paraId="05D3C91E">
              <w:tblPrEx>
                <w:tblCellMar>
                  <w:top w:w="0" w:type="dxa"/>
                  <w:left w:w="108" w:type="dxa"/>
                  <w:bottom w:w="0" w:type="dxa"/>
                  <w:right w:w="108" w:type="dxa"/>
                </w:tblCellMar>
              </w:tblPrEx>
              <w:trPr>
                <w:trHeight w:val="367" w:hRule="atLeast"/>
                <w:jc w:val="center"/>
              </w:trPr>
              <w:tc>
                <w:tcPr>
                  <w:tcW w:w="754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6751076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五、安全可靠性要求</w:t>
                  </w:r>
                </w:p>
              </w:tc>
            </w:tr>
            <w:tr w14:paraId="6E7F4459">
              <w:tblPrEx>
                <w:tblCellMar>
                  <w:top w:w="0" w:type="dxa"/>
                  <w:left w:w="108" w:type="dxa"/>
                  <w:bottom w:w="0" w:type="dxa"/>
                  <w:right w:w="108" w:type="dxa"/>
                </w:tblCellMar>
              </w:tblPrEx>
              <w:trPr>
                <w:trHeight w:val="367" w:hRule="atLeast"/>
                <w:jc w:val="center"/>
              </w:trPr>
              <w:tc>
                <w:tcPr>
                  <w:tcW w:w="715" w:type="dxa"/>
                  <w:tcBorders>
                    <w:top w:val="nil"/>
                    <w:left w:val="single" w:color="auto" w:sz="4" w:space="0"/>
                    <w:bottom w:val="single" w:color="auto" w:sz="4" w:space="0"/>
                    <w:right w:val="single" w:color="auto" w:sz="4" w:space="0"/>
                  </w:tcBorders>
                  <w:shd w:val="clear" w:color="auto" w:fill="auto"/>
                  <w:vAlign w:val="center"/>
                </w:tcPr>
                <w:p w14:paraId="03B65B25">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2307" w:type="dxa"/>
                  <w:gridSpan w:val="2"/>
                  <w:tcBorders>
                    <w:top w:val="single" w:color="auto" w:sz="4" w:space="0"/>
                    <w:left w:val="nil"/>
                    <w:bottom w:val="single" w:color="auto" w:sz="4" w:space="0"/>
                    <w:right w:val="single" w:color="auto" w:sz="4" w:space="0"/>
                  </w:tcBorders>
                  <w:shd w:val="clear" w:color="auto" w:fill="auto"/>
                  <w:vAlign w:val="center"/>
                </w:tcPr>
                <w:p w14:paraId="5A00BDF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平均无故障连续工作时间</w:t>
                  </w:r>
                </w:p>
              </w:tc>
              <w:tc>
                <w:tcPr>
                  <w:tcW w:w="4527" w:type="dxa"/>
                  <w:tcBorders>
                    <w:top w:val="nil"/>
                    <w:left w:val="nil"/>
                    <w:bottom w:val="single" w:color="auto" w:sz="4" w:space="0"/>
                    <w:right w:val="single" w:color="auto" w:sz="4" w:space="0"/>
                  </w:tcBorders>
                  <w:shd w:val="clear" w:color="auto" w:fill="auto"/>
                  <w:vAlign w:val="center"/>
                </w:tcPr>
                <w:p w14:paraId="64C0B78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5000小时以上(MTBF)</w:t>
                  </w:r>
                  <w:r>
                    <w:rPr>
                      <w:rFonts w:hint="eastAsia" w:ascii="宋体" w:hAnsi="宋体" w:eastAsia="宋体" w:cs="宋体"/>
                      <w:color w:val="000000"/>
                      <w:kern w:val="0"/>
                      <w:sz w:val="22"/>
                      <w:szCs w:val="22"/>
                      <w:lang w:eastAsia="zh-CN"/>
                    </w:rPr>
                    <w:t>。</w:t>
                  </w:r>
                </w:p>
              </w:tc>
            </w:tr>
            <w:tr w14:paraId="2CE93214">
              <w:tblPrEx>
                <w:tblCellMar>
                  <w:top w:w="0" w:type="dxa"/>
                  <w:left w:w="108" w:type="dxa"/>
                  <w:bottom w:w="0" w:type="dxa"/>
                  <w:right w:w="108" w:type="dxa"/>
                </w:tblCellMar>
              </w:tblPrEx>
              <w:trPr>
                <w:trHeight w:val="367" w:hRule="atLeast"/>
                <w:jc w:val="center"/>
              </w:trPr>
              <w:tc>
                <w:tcPr>
                  <w:tcW w:w="715" w:type="dxa"/>
                  <w:tcBorders>
                    <w:top w:val="nil"/>
                    <w:left w:val="single" w:color="auto" w:sz="4" w:space="0"/>
                    <w:bottom w:val="single" w:color="auto" w:sz="4" w:space="0"/>
                    <w:right w:val="single" w:color="auto" w:sz="4" w:space="0"/>
                  </w:tcBorders>
                  <w:shd w:val="clear" w:color="auto" w:fill="auto"/>
                  <w:vAlign w:val="center"/>
                </w:tcPr>
                <w:p w14:paraId="164E74E4">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2307" w:type="dxa"/>
                  <w:gridSpan w:val="2"/>
                  <w:tcBorders>
                    <w:top w:val="single" w:color="auto" w:sz="4" w:space="0"/>
                    <w:left w:val="nil"/>
                    <w:bottom w:val="single" w:color="auto" w:sz="4" w:space="0"/>
                    <w:right w:val="single" w:color="auto" w:sz="4" w:space="0"/>
                  </w:tcBorders>
                  <w:shd w:val="clear" w:color="auto" w:fill="auto"/>
                  <w:vAlign w:val="center"/>
                </w:tcPr>
                <w:p w14:paraId="4251164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工作温度</w:t>
                  </w:r>
                </w:p>
              </w:tc>
              <w:tc>
                <w:tcPr>
                  <w:tcW w:w="4527" w:type="dxa"/>
                  <w:tcBorders>
                    <w:top w:val="nil"/>
                    <w:left w:val="nil"/>
                    <w:bottom w:val="single" w:color="auto" w:sz="4" w:space="0"/>
                    <w:right w:val="single" w:color="auto" w:sz="4" w:space="0"/>
                  </w:tcBorders>
                  <w:shd w:val="clear" w:color="auto" w:fill="auto"/>
                  <w:vAlign w:val="center"/>
                </w:tcPr>
                <w:p w14:paraId="29119B2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-20℃～+70℃</w:t>
                  </w:r>
                  <w:r>
                    <w:rPr>
                      <w:rFonts w:hint="eastAsia" w:ascii="宋体" w:hAnsi="宋体" w:eastAsia="宋体" w:cs="宋体"/>
                      <w:color w:val="000000"/>
                      <w:kern w:val="0"/>
                      <w:sz w:val="22"/>
                      <w:szCs w:val="22"/>
                      <w:lang w:eastAsia="zh-CN"/>
                    </w:rPr>
                    <w:t>。</w:t>
                  </w:r>
                </w:p>
              </w:tc>
            </w:tr>
            <w:tr w14:paraId="04BE2085">
              <w:tblPrEx>
                <w:tblCellMar>
                  <w:top w:w="0" w:type="dxa"/>
                  <w:left w:w="108" w:type="dxa"/>
                  <w:bottom w:w="0" w:type="dxa"/>
                  <w:right w:w="108" w:type="dxa"/>
                </w:tblCellMar>
              </w:tblPrEx>
              <w:trPr>
                <w:trHeight w:val="367" w:hRule="atLeast"/>
                <w:jc w:val="center"/>
              </w:trPr>
              <w:tc>
                <w:tcPr>
                  <w:tcW w:w="715" w:type="dxa"/>
                  <w:tcBorders>
                    <w:top w:val="nil"/>
                    <w:left w:val="single" w:color="auto" w:sz="4" w:space="0"/>
                    <w:bottom w:val="single" w:color="auto" w:sz="4" w:space="0"/>
                    <w:right w:val="single" w:color="auto" w:sz="4" w:space="0"/>
                  </w:tcBorders>
                  <w:shd w:val="clear" w:color="auto" w:fill="auto"/>
                  <w:vAlign w:val="center"/>
                </w:tcPr>
                <w:p w14:paraId="23C9F43D">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2307" w:type="dxa"/>
                  <w:gridSpan w:val="2"/>
                  <w:tcBorders>
                    <w:top w:val="single" w:color="auto" w:sz="4" w:space="0"/>
                    <w:left w:val="nil"/>
                    <w:bottom w:val="single" w:color="auto" w:sz="4" w:space="0"/>
                    <w:right w:val="single" w:color="auto" w:sz="4" w:space="0"/>
                  </w:tcBorders>
                  <w:shd w:val="clear" w:color="auto" w:fill="auto"/>
                  <w:vAlign w:val="center"/>
                </w:tcPr>
                <w:p w14:paraId="6BDAA20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工作相对湿度</w:t>
                  </w:r>
                </w:p>
              </w:tc>
              <w:tc>
                <w:tcPr>
                  <w:tcW w:w="4527" w:type="dxa"/>
                  <w:tcBorders>
                    <w:top w:val="nil"/>
                    <w:left w:val="nil"/>
                    <w:bottom w:val="single" w:color="auto" w:sz="4" w:space="0"/>
                    <w:right w:val="single" w:color="auto" w:sz="4" w:space="0"/>
                  </w:tcBorders>
                  <w:shd w:val="clear" w:color="auto" w:fill="auto"/>
                  <w:vAlign w:val="center"/>
                </w:tcPr>
                <w:p w14:paraId="5D4449B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20%～100%（非凝结）</w:t>
                  </w:r>
                  <w:r>
                    <w:rPr>
                      <w:rFonts w:hint="eastAsia" w:ascii="宋体" w:hAnsi="宋体" w:eastAsia="宋体" w:cs="宋体"/>
                      <w:color w:val="000000"/>
                      <w:kern w:val="0"/>
                      <w:sz w:val="22"/>
                      <w:szCs w:val="22"/>
                      <w:lang w:eastAsia="zh-CN"/>
                    </w:rPr>
                    <w:t>。</w:t>
                  </w:r>
                </w:p>
              </w:tc>
            </w:tr>
            <w:tr w14:paraId="2B13AF5C">
              <w:tblPrEx>
                <w:tblCellMar>
                  <w:top w:w="0" w:type="dxa"/>
                  <w:left w:w="108" w:type="dxa"/>
                  <w:bottom w:w="0" w:type="dxa"/>
                  <w:right w:w="108" w:type="dxa"/>
                </w:tblCellMar>
              </w:tblPrEx>
              <w:trPr>
                <w:trHeight w:val="367" w:hRule="atLeast"/>
                <w:jc w:val="center"/>
              </w:trPr>
              <w:tc>
                <w:tcPr>
                  <w:tcW w:w="715" w:type="dxa"/>
                  <w:tcBorders>
                    <w:top w:val="nil"/>
                    <w:left w:val="single" w:color="auto" w:sz="4" w:space="0"/>
                    <w:bottom w:val="single" w:color="auto" w:sz="4" w:space="0"/>
                    <w:right w:val="single" w:color="auto" w:sz="4" w:space="0"/>
                  </w:tcBorders>
                  <w:shd w:val="clear" w:color="auto" w:fill="auto"/>
                  <w:vAlign w:val="center"/>
                </w:tcPr>
                <w:p w14:paraId="26C880E4">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2307" w:type="dxa"/>
                  <w:gridSpan w:val="2"/>
                  <w:tcBorders>
                    <w:top w:val="single" w:color="auto" w:sz="4" w:space="0"/>
                    <w:left w:val="nil"/>
                    <w:bottom w:val="single" w:color="auto" w:sz="4" w:space="0"/>
                    <w:right w:val="single" w:color="auto" w:sz="4" w:space="0"/>
                  </w:tcBorders>
                  <w:shd w:val="clear" w:color="auto" w:fill="auto"/>
                  <w:vAlign w:val="center"/>
                </w:tcPr>
                <w:p w14:paraId="44E517F0">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抗电</w:t>
                  </w:r>
                </w:p>
              </w:tc>
              <w:tc>
                <w:tcPr>
                  <w:tcW w:w="4527" w:type="dxa"/>
                  <w:tcBorders>
                    <w:top w:val="nil"/>
                    <w:left w:val="nil"/>
                    <w:bottom w:val="single" w:color="auto" w:sz="4" w:space="0"/>
                    <w:right w:val="single" w:color="auto" w:sz="4" w:space="0"/>
                  </w:tcBorders>
                  <w:shd w:val="clear" w:color="auto" w:fill="auto"/>
                  <w:vAlign w:val="center"/>
                </w:tcPr>
                <w:p w14:paraId="11EDE9A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1500VDC，1分钟</w:t>
                  </w:r>
                  <w:r>
                    <w:rPr>
                      <w:rFonts w:hint="eastAsia" w:ascii="宋体" w:hAnsi="宋体" w:eastAsia="宋体" w:cs="宋体"/>
                      <w:color w:val="000000"/>
                      <w:kern w:val="0"/>
                      <w:sz w:val="22"/>
                      <w:szCs w:val="22"/>
                      <w:lang w:eastAsia="zh-CN"/>
                    </w:rPr>
                    <w:t>。</w:t>
                  </w:r>
                </w:p>
              </w:tc>
            </w:tr>
            <w:tr w14:paraId="3C49A0A7">
              <w:tblPrEx>
                <w:tblCellMar>
                  <w:top w:w="0" w:type="dxa"/>
                  <w:left w:w="108" w:type="dxa"/>
                  <w:bottom w:w="0" w:type="dxa"/>
                  <w:right w:w="108" w:type="dxa"/>
                </w:tblCellMar>
              </w:tblPrEx>
              <w:trPr>
                <w:trHeight w:val="367" w:hRule="atLeast"/>
                <w:jc w:val="center"/>
              </w:trPr>
              <w:tc>
                <w:tcPr>
                  <w:tcW w:w="715" w:type="dxa"/>
                  <w:tcBorders>
                    <w:top w:val="nil"/>
                    <w:left w:val="single" w:color="auto" w:sz="4" w:space="0"/>
                    <w:bottom w:val="single" w:color="auto" w:sz="4" w:space="0"/>
                    <w:right w:val="single" w:color="auto" w:sz="4" w:space="0"/>
                  </w:tcBorders>
                  <w:shd w:val="clear" w:color="auto" w:fill="auto"/>
                  <w:vAlign w:val="center"/>
                </w:tcPr>
                <w:p w14:paraId="103CD99F">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2307" w:type="dxa"/>
                  <w:gridSpan w:val="2"/>
                  <w:tcBorders>
                    <w:top w:val="single" w:color="auto" w:sz="4" w:space="0"/>
                    <w:left w:val="nil"/>
                    <w:bottom w:val="single" w:color="auto" w:sz="4" w:space="0"/>
                    <w:right w:val="single" w:color="auto" w:sz="4" w:space="0"/>
                  </w:tcBorders>
                  <w:shd w:val="clear" w:color="auto" w:fill="auto"/>
                  <w:vAlign w:val="center"/>
                </w:tcPr>
                <w:p w14:paraId="65D891C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绝缘</w:t>
                  </w:r>
                </w:p>
              </w:tc>
              <w:tc>
                <w:tcPr>
                  <w:tcW w:w="4527" w:type="dxa"/>
                  <w:tcBorders>
                    <w:top w:val="nil"/>
                    <w:left w:val="nil"/>
                    <w:bottom w:val="single" w:color="auto" w:sz="4" w:space="0"/>
                    <w:right w:val="single" w:color="auto" w:sz="4" w:space="0"/>
                  </w:tcBorders>
                  <w:shd w:val="clear" w:color="auto" w:fill="auto"/>
                  <w:vAlign w:val="center"/>
                </w:tcPr>
                <w:p w14:paraId="79D80FB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&gt;10MΩ(常温下)</w:t>
                  </w:r>
                  <w:r>
                    <w:rPr>
                      <w:rFonts w:hint="eastAsia" w:ascii="宋体" w:hAnsi="宋体" w:eastAsia="宋体" w:cs="宋体"/>
                      <w:color w:val="000000"/>
                      <w:kern w:val="0"/>
                      <w:sz w:val="22"/>
                      <w:szCs w:val="22"/>
                      <w:lang w:eastAsia="zh-CN"/>
                    </w:rPr>
                    <w:t>。</w:t>
                  </w:r>
                </w:p>
              </w:tc>
            </w:tr>
            <w:tr w14:paraId="72A9409D">
              <w:tblPrEx>
                <w:tblCellMar>
                  <w:top w:w="0" w:type="dxa"/>
                  <w:left w:w="108" w:type="dxa"/>
                  <w:bottom w:w="0" w:type="dxa"/>
                  <w:right w:w="108" w:type="dxa"/>
                </w:tblCellMar>
              </w:tblPrEx>
              <w:trPr>
                <w:trHeight w:val="367" w:hRule="atLeast"/>
                <w:jc w:val="center"/>
              </w:trPr>
              <w:tc>
                <w:tcPr>
                  <w:tcW w:w="715" w:type="dxa"/>
                  <w:tcBorders>
                    <w:top w:val="nil"/>
                    <w:left w:val="single" w:color="auto" w:sz="4" w:space="0"/>
                    <w:bottom w:val="single" w:color="auto" w:sz="4" w:space="0"/>
                    <w:right w:val="single" w:color="auto" w:sz="4" w:space="0"/>
                  </w:tcBorders>
                  <w:shd w:val="clear" w:color="auto" w:fill="auto"/>
                  <w:vAlign w:val="center"/>
                </w:tcPr>
                <w:p w14:paraId="06EBF0FB">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2307" w:type="dxa"/>
                  <w:gridSpan w:val="2"/>
                  <w:tcBorders>
                    <w:top w:val="single" w:color="auto" w:sz="4" w:space="0"/>
                    <w:left w:val="nil"/>
                    <w:bottom w:val="single" w:color="auto" w:sz="4" w:space="0"/>
                    <w:right w:val="single" w:color="auto" w:sz="4" w:space="0"/>
                  </w:tcBorders>
                  <w:shd w:val="clear" w:color="auto" w:fill="auto"/>
                  <w:vAlign w:val="center"/>
                </w:tcPr>
                <w:p w14:paraId="19948AA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接地</w:t>
                  </w:r>
                </w:p>
              </w:tc>
              <w:tc>
                <w:tcPr>
                  <w:tcW w:w="4527" w:type="dxa"/>
                  <w:tcBorders>
                    <w:top w:val="nil"/>
                    <w:left w:val="nil"/>
                    <w:bottom w:val="single" w:color="auto" w:sz="4" w:space="0"/>
                    <w:right w:val="single" w:color="auto" w:sz="4" w:space="0"/>
                  </w:tcBorders>
                  <w:shd w:val="clear" w:color="auto" w:fill="auto"/>
                  <w:vAlign w:val="center"/>
                </w:tcPr>
                <w:p w14:paraId="7AA3B660">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接地电阻应小于4Ω</w:t>
                  </w:r>
                  <w:r>
                    <w:rPr>
                      <w:rFonts w:hint="eastAsia" w:ascii="宋体" w:hAnsi="宋体" w:eastAsia="宋体" w:cs="宋体"/>
                      <w:color w:val="000000"/>
                      <w:kern w:val="0"/>
                      <w:sz w:val="22"/>
                      <w:szCs w:val="22"/>
                      <w:lang w:eastAsia="zh-CN"/>
                    </w:rPr>
                    <w:t>。</w:t>
                  </w:r>
                </w:p>
              </w:tc>
            </w:tr>
            <w:tr w14:paraId="7AFEEB30">
              <w:tblPrEx>
                <w:tblCellMar>
                  <w:top w:w="0" w:type="dxa"/>
                  <w:left w:w="108" w:type="dxa"/>
                  <w:bottom w:w="0" w:type="dxa"/>
                  <w:right w:w="108" w:type="dxa"/>
                </w:tblCellMar>
              </w:tblPrEx>
              <w:trPr>
                <w:trHeight w:val="725" w:hRule="atLeast"/>
                <w:jc w:val="center"/>
              </w:trPr>
              <w:tc>
                <w:tcPr>
                  <w:tcW w:w="715" w:type="dxa"/>
                  <w:tcBorders>
                    <w:top w:val="nil"/>
                    <w:left w:val="single" w:color="auto" w:sz="4" w:space="0"/>
                    <w:bottom w:val="single" w:color="auto" w:sz="4" w:space="0"/>
                    <w:right w:val="single" w:color="auto" w:sz="4" w:space="0"/>
                  </w:tcBorders>
                  <w:shd w:val="clear" w:color="auto" w:fill="auto"/>
                  <w:vAlign w:val="center"/>
                </w:tcPr>
                <w:p w14:paraId="07185DA6">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2307" w:type="dxa"/>
                  <w:gridSpan w:val="2"/>
                  <w:tcBorders>
                    <w:top w:val="single" w:color="auto" w:sz="4" w:space="0"/>
                    <w:left w:val="nil"/>
                    <w:bottom w:val="single" w:color="auto" w:sz="4" w:space="0"/>
                    <w:right w:val="single" w:color="auto" w:sz="4" w:space="0"/>
                  </w:tcBorders>
                  <w:shd w:val="clear" w:color="auto" w:fill="auto"/>
                  <w:vAlign w:val="center"/>
                </w:tcPr>
                <w:p w14:paraId="4E301558">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工作方式</w:t>
                  </w:r>
                </w:p>
              </w:tc>
              <w:tc>
                <w:tcPr>
                  <w:tcW w:w="4527" w:type="dxa"/>
                  <w:tcBorders>
                    <w:top w:val="nil"/>
                    <w:left w:val="nil"/>
                    <w:bottom w:val="single" w:color="auto" w:sz="4" w:space="0"/>
                    <w:right w:val="single" w:color="auto" w:sz="4" w:space="0"/>
                  </w:tcBorders>
                  <w:shd w:val="clear" w:color="auto" w:fill="auto"/>
                  <w:vAlign w:val="center"/>
                </w:tcPr>
                <w:p w14:paraId="0BE1AC08">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24小时全天候工作，防雨、防尘、防雷和抗电磁干扰。</w:t>
                  </w:r>
                </w:p>
              </w:tc>
            </w:tr>
            <w:tr w14:paraId="3986FEAF">
              <w:tblPrEx>
                <w:tblCellMar>
                  <w:top w:w="0" w:type="dxa"/>
                  <w:left w:w="108" w:type="dxa"/>
                  <w:bottom w:w="0" w:type="dxa"/>
                  <w:right w:w="108" w:type="dxa"/>
                </w:tblCellMar>
              </w:tblPrEx>
              <w:trPr>
                <w:trHeight w:val="725" w:hRule="atLeast"/>
                <w:jc w:val="center"/>
              </w:trPr>
              <w:tc>
                <w:tcPr>
                  <w:tcW w:w="715" w:type="dxa"/>
                  <w:tcBorders>
                    <w:top w:val="nil"/>
                    <w:left w:val="single" w:color="auto" w:sz="4" w:space="0"/>
                    <w:bottom w:val="single" w:color="auto" w:sz="4" w:space="0"/>
                    <w:right w:val="single" w:color="auto" w:sz="4" w:space="0"/>
                  </w:tcBorders>
                  <w:shd w:val="clear" w:color="auto" w:fill="auto"/>
                  <w:vAlign w:val="center"/>
                </w:tcPr>
                <w:p w14:paraId="68DCDCFF">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w:t>
                  </w:r>
                </w:p>
              </w:tc>
              <w:tc>
                <w:tcPr>
                  <w:tcW w:w="2307" w:type="dxa"/>
                  <w:gridSpan w:val="2"/>
                  <w:tcBorders>
                    <w:top w:val="single" w:color="auto" w:sz="4" w:space="0"/>
                    <w:left w:val="nil"/>
                    <w:bottom w:val="single" w:color="auto" w:sz="4" w:space="0"/>
                    <w:right w:val="single" w:color="auto" w:sz="4" w:space="0"/>
                  </w:tcBorders>
                  <w:shd w:val="clear" w:color="auto" w:fill="auto"/>
                  <w:vAlign w:val="center"/>
                </w:tcPr>
                <w:p w14:paraId="3B000655">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防暴防窃取</w:t>
                  </w:r>
                </w:p>
              </w:tc>
              <w:tc>
                <w:tcPr>
                  <w:tcW w:w="4527" w:type="dxa"/>
                  <w:tcBorders>
                    <w:top w:val="nil"/>
                    <w:left w:val="nil"/>
                    <w:bottom w:val="single" w:color="auto" w:sz="4" w:space="0"/>
                    <w:right w:val="single" w:color="auto" w:sz="4" w:space="0"/>
                  </w:tcBorders>
                  <w:shd w:val="clear" w:color="auto" w:fill="auto"/>
                  <w:vAlign w:val="center"/>
                </w:tcPr>
                <w:p w14:paraId="2084BF1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应采用防护等级IP66</w:t>
                  </w:r>
                  <w:r>
                    <w:rPr>
                      <w:rFonts w:hint="eastAsia" w:ascii="宋体" w:hAnsi="宋体" w:eastAsia="宋体" w:cs="宋体"/>
                      <w:color w:val="000000"/>
                      <w:kern w:val="0"/>
                      <w:sz w:val="22"/>
                      <w:szCs w:val="22"/>
                      <w:lang w:val="en-US" w:eastAsia="zh-CN"/>
                    </w:rPr>
                    <w:t>及</w:t>
                  </w:r>
                  <w:r>
                    <w:rPr>
                      <w:rFonts w:hint="eastAsia" w:ascii="宋体" w:hAnsi="宋体" w:eastAsia="宋体" w:cs="宋体"/>
                      <w:color w:val="000000"/>
                      <w:kern w:val="0"/>
                      <w:sz w:val="22"/>
                      <w:szCs w:val="22"/>
                    </w:rPr>
                    <w:t>以上特制机箱，能有效防止暴力破坏。机箱应具有防盗报警功能。</w:t>
                  </w:r>
                </w:p>
              </w:tc>
            </w:tr>
            <w:tr w14:paraId="234A1A78">
              <w:tblPrEx>
                <w:tblCellMar>
                  <w:top w:w="0" w:type="dxa"/>
                  <w:left w:w="108" w:type="dxa"/>
                  <w:bottom w:w="0" w:type="dxa"/>
                  <w:right w:w="108" w:type="dxa"/>
                </w:tblCellMar>
              </w:tblPrEx>
              <w:trPr>
                <w:trHeight w:val="377" w:hRule="atLeast"/>
                <w:jc w:val="center"/>
              </w:trPr>
              <w:tc>
                <w:tcPr>
                  <w:tcW w:w="715" w:type="dxa"/>
                  <w:tcBorders>
                    <w:top w:val="nil"/>
                    <w:left w:val="single" w:color="auto" w:sz="4" w:space="0"/>
                    <w:bottom w:val="single" w:color="auto" w:sz="4" w:space="0"/>
                    <w:right w:val="single" w:color="auto" w:sz="4" w:space="0"/>
                  </w:tcBorders>
                  <w:shd w:val="clear" w:color="auto" w:fill="auto"/>
                  <w:vAlign w:val="center"/>
                </w:tcPr>
                <w:p w14:paraId="56571284">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w:t>
                  </w:r>
                </w:p>
              </w:tc>
              <w:tc>
                <w:tcPr>
                  <w:tcW w:w="2307" w:type="dxa"/>
                  <w:gridSpan w:val="2"/>
                  <w:tcBorders>
                    <w:top w:val="single" w:color="auto" w:sz="4" w:space="0"/>
                    <w:left w:val="nil"/>
                    <w:bottom w:val="single" w:color="auto" w:sz="4" w:space="0"/>
                    <w:right w:val="single" w:color="auto" w:sz="4" w:space="0"/>
                  </w:tcBorders>
                  <w:shd w:val="clear" w:color="auto" w:fill="auto"/>
                  <w:vAlign w:val="center"/>
                </w:tcPr>
                <w:p w14:paraId="2CD6A78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防护等级</w:t>
                  </w:r>
                </w:p>
              </w:tc>
              <w:tc>
                <w:tcPr>
                  <w:tcW w:w="4527" w:type="dxa"/>
                  <w:tcBorders>
                    <w:top w:val="nil"/>
                    <w:left w:val="nil"/>
                    <w:bottom w:val="single" w:color="auto" w:sz="4" w:space="0"/>
                    <w:right w:val="single" w:color="auto" w:sz="4" w:space="0"/>
                  </w:tcBorders>
                  <w:shd w:val="clear" w:color="auto" w:fill="auto"/>
                  <w:vAlign w:val="center"/>
                </w:tcPr>
                <w:p w14:paraId="23314AE7">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w:t>
                  </w:r>
                  <w:r>
                    <w:rPr>
                      <w:rFonts w:hint="eastAsia" w:ascii="宋体" w:hAnsi="宋体" w:eastAsia="宋体" w:cs="宋体"/>
                      <w:color w:val="000000"/>
                      <w:kern w:val="0"/>
                      <w:sz w:val="22"/>
                      <w:szCs w:val="22"/>
                    </w:rPr>
                    <w:t>IP66</w:t>
                  </w:r>
                </w:p>
              </w:tc>
            </w:tr>
          </w:tbl>
          <w:p w14:paraId="6205733C">
            <w:pPr>
              <w:pageBreakBefore w:val="0"/>
              <w:kinsoku/>
              <w:wordWrap/>
              <w:overflowPunct/>
              <w:topLinePunct w:val="0"/>
              <w:autoSpaceDE/>
              <w:autoSpaceDN/>
              <w:bidi w:val="0"/>
              <w:adjustRightInd/>
              <w:snapToGrid/>
              <w:spacing w:beforeAutospacing="0" w:afterAutospacing="0" w:line="360" w:lineRule="auto"/>
              <w:ind w:firstLine="480"/>
              <w:textAlignment w:val="auto"/>
              <w:rPr>
                <w:rFonts w:hint="eastAsia" w:ascii="宋体" w:hAnsi="宋体" w:eastAsia="宋体" w:cs="宋体"/>
                <w:b w:val="0"/>
                <w:bCs w:val="0"/>
                <w:color w:val="auto"/>
                <w:sz w:val="22"/>
                <w:szCs w:val="22"/>
                <w:highlight w:val="none"/>
                <w:lang w:val="en-US" w:eastAsia="zh-CN" w:bidi="ar-SA"/>
              </w:rPr>
            </w:pPr>
          </w:p>
        </w:tc>
        <w:tc>
          <w:tcPr>
            <w:tcW w:w="1208" w:type="dxa"/>
          </w:tcPr>
          <w:p w14:paraId="58D1B403">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36EC1AEF">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546B7929">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6F00519C">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6AB6E8C1">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7A88EB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012" w:hRule="atLeast"/>
        </w:trPr>
        <w:tc>
          <w:tcPr>
            <w:tcW w:w="530" w:type="dxa"/>
            <w:vAlign w:val="center"/>
          </w:tcPr>
          <w:p w14:paraId="5728C47D">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10</w:t>
            </w:r>
          </w:p>
        </w:tc>
        <w:tc>
          <w:tcPr>
            <w:tcW w:w="660" w:type="dxa"/>
          </w:tcPr>
          <w:p w14:paraId="74F5DA78">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3357B21E">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12DF1FBE">
            <w:pPr>
              <w:pStyle w:val="5"/>
              <w:pageBreakBefore w:val="0"/>
              <w:widowControl w:val="0"/>
              <w:numPr>
                <w:ilvl w:val="2"/>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bookmarkStart w:id="8" w:name="_Toc173501784"/>
            <w:r>
              <w:rPr>
                <w:rFonts w:hint="eastAsia" w:ascii="宋体" w:hAnsi="宋体" w:eastAsia="宋体" w:cs="宋体"/>
                <w:b/>
                <w:bCs/>
                <w:kern w:val="2"/>
                <w:sz w:val="22"/>
                <w:szCs w:val="22"/>
                <w:lang w:val="en-US" w:eastAsia="zh-CN" w:bidi="ar-SA"/>
              </w:rPr>
              <w:t>6.</w:t>
            </w:r>
            <w:r>
              <w:rPr>
                <w:rFonts w:hint="eastAsia" w:ascii="宋体" w:hAnsi="宋体" w:eastAsia="宋体" w:cs="宋体"/>
                <w:sz w:val="22"/>
                <w:szCs w:val="22"/>
              </w:rPr>
              <w:t>配套设施设计</w:t>
            </w:r>
            <w:bookmarkEnd w:id="8"/>
          </w:p>
          <w:p w14:paraId="24C76B7A">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为了确保本项目前端系统设备安全可靠，应按照相关技术要求以及技术规范对工程实施的杆件、基础、管道、窨井等配套设施进行设计。</w:t>
            </w:r>
          </w:p>
          <w:p w14:paraId="0CD2ECCE">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为给系统提供良好的工作条件和环境，应完善监控区域内的道路交通安全设施，并要求监控区域内的道路交通安全设施都能满足</w:t>
            </w:r>
            <w:r>
              <w:rPr>
                <w:rFonts w:hint="eastAsia" w:ascii="宋体" w:hAnsi="宋体" w:eastAsia="宋体" w:cs="宋体"/>
                <w:sz w:val="22"/>
                <w:szCs w:val="22"/>
                <w:lang w:val="en-US" w:eastAsia="zh-CN"/>
              </w:rPr>
              <w:t>现行</w:t>
            </w:r>
            <w:r>
              <w:rPr>
                <w:rFonts w:hint="eastAsia" w:ascii="宋体" w:hAnsi="宋体" w:eastAsia="宋体" w:cs="宋体"/>
                <w:sz w:val="22"/>
                <w:szCs w:val="22"/>
              </w:rPr>
              <w:t>国家相关标准及《中山市道路交通设施技术总则》要求。</w:t>
            </w:r>
          </w:p>
          <w:p w14:paraId="17B139B2">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本条款未</w:t>
            </w:r>
            <w:r>
              <w:rPr>
                <w:rFonts w:hint="eastAsia" w:ascii="宋体" w:hAnsi="宋体" w:eastAsia="宋体" w:cs="宋体"/>
                <w:sz w:val="22"/>
                <w:szCs w:val="22"/>
              </w:rPr>
              <w:t>尽事宜应遵循国家现行的相关</w:t>
            </w:r>
            <w:r>
              <w:rPr>
                <w:rFonts w:hint="eastAsia" w:ascii="宋体" w:hAnsi="宋体" w:eastAsia="宋体" w:cs="宋体"/>
                <w:sz w:val="22"/>
                <w:szCs w:val="22"/>
                <w:lang w:eastAsia="zh-CN"/>
              </w:rPr>
              <w:t>法律法规</w:t>
            </w:r>
            <w:r>
              <w:rPr>
                <w:rFonts w:hint="eastAsia" w:ascii="宋体" w:hAnsi="宋体" w:eastAsia="宋体" w:cs="宋体"/>
                <w:sz w:val="22"/>
                <w:szCs w:val="22"/>
              </w:rPr>
              <w:t>、标准</w:t>
            </w:r>
            <w:r>
              <w:rPr>
                <w:rFonts w:hint="eastAsia" w:ascii="宋体" w:hAnsi="宋体" w:eastAsia="宋体" w:cs="宋体"/>
                <w:sz w:val="22"/>
                <w:szCs w:val="22"/>
                <w:lang w:val="en-US" w:eastAsia="zh-CN"/>
              </w:rPr>
              <w:t>以及</w:t>
            </w:r>
            <w:r>
              <w:rPr>
                <w:rFonts w:hint="eastAsia" w:ascii="宋体" w:hAnsi="宋体" w:eastAsia="宋体" w:cs="宋体"/>
                <w:sz w:val="22"/>
                <w:szCs w:val="22"/>
              </w:rPr>
              <w:t>现行的地方性标准和规范</w:t>
            </w:r>
            <w:r>
              <w:rPr>
                <w:rFonts w:hint="eastAsia" w:ascii="宋体" w:hAnsi="宋体" w:eastAsia="宋体" w:cs="宋体"/>
                <w:sz w:val="22"/>
                <w:szCs w:val="22"/>
                <w:lang w:val="en-US" w:eastAsia="zh-CN"/>
              </w:rPr>
              <w:t>执行</w:t>
            </w:r>
            <w:r>
              <w:rPr>
                <w:rFonts w:hint="eastAsia" w:ascii="宋体" w:hAnsi="宋体" w:eastAsia="宋体" w:cs="宋体"/>
                <w:sz w:val="22"/>
                <w:szCs w:val="22"/>
              </w:rPr>
              <w:t>。</w:t>
            </w:r>
          </w:p>
          <w:p w14:paraId="4E969836">
            <w:pPr>
              <w:pStyle w:val="7"/>
              <w:pageBreakBefore w:val="0"/>
              <w:widowControl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6.1</w:t>
            </w:r>
            <w:r>
              <w:rPr>
                <w:rFonts w:hint="eastAsia" w:ascii="宋体" w:hAnsi="宋体" w:eastAsia="宋体" w:cs="宋体"/>
                <w:b/>
                <w:bCs/>
                <w:sz w:val="22"/>
                <w:szCs w:val="22"/>
              </w:rPr>
              <w:t>监控杆设计</w:t>
            </w:r>
          </w:p>
          <w:p w14:paraId="78CE2E54">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立杆基础规格</w:t>
            </w:r>
            <w:r>
              <w:rPr>
                <w:rFonts w:hint="eastAsia" w:ascii="宋体" w:hAnsi="宋体" w:eastAsia="宋体" w:cs="宋体"/>
                <w:sz w:val="22"/>
                <w:szCs w:val="22"/>
                <w:lang w:val="en-US" w:eastAsia="zh-CN"/>
              </w:rPr>
              <w:t>应</w:t>
            </w:r>
            <w:r>
              <w:rPr>
                <w:rFonts w:hint="eastAsia" w:ascii="宋体" w:hAnsi="宋体" w:eastAsia="宋体" w:cs="宋体"/>
                <w:sz w:val="22"/>
                <w:szCs w:val="22"/>
              </w:rPr>
              <w:t>按不同的杆体进行分别设计。杆底端</w:t>
            </w:r>
            <w:r>
              <w:rPr>
                <w:rFonts w:hint="eastAsia" w:ascii="宋体" w:hAnsi="宋体" w:eastAsia="宋体" w:cs="宋体"/>
                <w:sz w:val="22"/>
                <w:szCs w:val="22"/>
                <w:lang w:val="en-US" w:eastAsia="zh-CN"/>
              </w:rPr>
              <w:t>应</w:t>
            </w:r>
            <w:r>
              <w:rPr>
                <w:rFonts w:hint="eastAsia" w:ascii="宋体" w:hAnsi="宋体" w:eastAsia="宋体" w:cs="宋体"/>
                <w:sz w:val="22"/>
                <w:szCs w:val="22"/>
              </w:rPr>
              <w:t>焊接固定法兰盘，预留拉线孔，地基应是硬质，同时根据现场安装点的地质实际情况，调整相应的尺寸。立杆的安装应牢固，不得歪斜，需用水平仪测定；其顶部应做防水帽。立杆应有较高强度，</w:t>
            </w:r>
            <w:r>
              <w:rPr>
                <w:rFonts w:hint="eastAsia" w:ascii="宋体" w:hAnsi="宋体" w:eastAsia="宋体" w:cs="宋体"/>
                <w:sz w:val="22"/>
                <w:szCs w:val="22"/>
                <w:lang w:val="en-US" w:eastAsia="zh-CN"/>
              </w:rPr>
              <w:t>可</w:t>
            </w:r>
            <w:r>
              <w:rPr>
                <w:rFonts w:hint="eastAsia" w:ascii="宋体" w:hAnsi="宋体" w:eastAsia="宋体" w:cs="宋体"/>
                <w:sz w:val="22"/>
                <w:szCs w:val="22"/>
              </w:rPr>
              <w:t>抗台风、防摄像机抖动、防攀爬、防腐。</w:t>
            </w:r>
            <w:r>
              <w:rPr>
                <w:rFonts w:hint="eastAsia" w:ascii="宋体" w:hAnsi="宋体" w:eastAsia="宋体" w:cs="宋体"/>
                <w:sz w:val="22"/>
                <w:szCs w:val="22"/>
                <w:lang w:val="en-US" w:eastAsia="zh-CN"/>
              </w:rPr>
              <w:t>具体要求如下：</w:t>
            </w:r>
          </w:p>
          <w:p w14:paraId="50EE8FB7">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6.1.1</w:t>
            </w:r>
            <w:r>
              <w:rPr>
                <w:rFonts w:hint="eastAsia" w:ascii="宋体" w:hAnsi="宋体" w:eastAsia="宋体" w:cs="宋体"/>
                <w:sz w:val="22"/>
                <w:szCs w:val="22"/>
              </w:rPr>
              <w:t>杆件</w:t>
            </w:r>
            <w:r>
              <w:rPr>
                <w:rFonts w:hint="eastAsia" w:ascii="宋体" w:hAnsi="宋体" w:eastAsia="宋体" w:cs="宋体"/>
                <w:sz w:val="22"/>
                <w:szCs w:val="22"/>
                <w:lang w:val="en-US" w:eastAsia="zh-CN"/>
              </w:rPr>
              <w:t>应</w:t>
            </w:r>
            <w:r>
              <w:rPr>
                <w:rFonts w:hint="eastAsia" w:ascii="宋体" w:hAnsi="宋体" w:eastAsia="宋体" w:cs="宋体"/>
                <w:sz w:val="22"/>
                <w:szCs w:val="22"/>
              </w:rPr>
              <w:t>采用L型杆件</w:t>
            </w:r>
            <w:r>
              <w:rPr>
                <w:rFonts w:hint="eastAsia" w:ascii="宋体" w:hAnsi="宋体" w:eastAsia="宋体" w:cs="宋体"/>
                <w:sz w:val="22"/>
                <w:szCs w:val="22"/>
                <w:lang w:val="en-US" w:eastAsia="zh-CN"/>
              </w:rPr>
              <w:t>和</w:t>
            </w:r>
            <w:r>
              <w:rPr>
                <w:rFonts w:hint="eastAsia" w:ascii="宋体" w:hAnsi="宋体" w:eastAsia="宋体" w:cs="宋体"/>
                <w:sz w:val="22"/>
                <w:szCs w:val="22"/>
              </w:rPr>
              <w:t>八角锥形钢管,</w:t>
            </w:r>
            <w:r>
              <w:rPr>
                <w:rFonts w:hint="eastAsia" w:ascii="宋体" w:hAnsi="宋体" w:eastAsia="宋体" w:cs="宋体"/>
                <w:sz w:val="22"/>
                <w:szCs w:val="22"/>
                <w:lang w:val="en-US" w:eastAsia="zh-CN"/>
              </w:rPr>
              <w:t>进行</w:t>
            </w:r>
            <w:r>
              <w:rPr>
                <w:rFonts w:hint="eastAsia" w:ascii="宋体" w:hAnsi="宋体" w:eastAsia="宋体" w:cs="宋体"/>
                <w:sz w:val="22"/>
                <w:szCs w:val="22"/>
              </w:rPr>
              <w:t>整体热镀锌</w:t>
            </w:r>
            <w:r>
              <w:rPr>
                <w:rFonts w:hint="eastAsia" w:ascii="宋体" w:hAnsi="宋体" w:eastAsia="宋体" w:cs="宋体"/>
                <w:sz w:val="22"/>
                <w:szCs w:val="22"/>
                <w:lang w:val="en-US" w:eastAsia="zh-CN"/>
              </w:rPr>
              <w:t>处理</w:t>
            </w:r>
            <w:r>
              <w:rPr>
                <w:rFonts w:hint="eastAsia" w:ascii="宋体" w:hAnsi="宋体" w:eastAsia="宋体" w:cs="宋体"/>
                <w:sz w:val="22"/>
                <w:szCs w:val="22"/>
              </w:rPr>
              <w:t>，锌层厚度</w:t>
            </w:r>
            <w:r>
              <w:rPr>
                <w:rFonts w:hint="eastAsia" w:ascii="宋体" w:hAnsi="宋体" w:eastAsia="宋体" w:cs="宋体"/>
                <w:sz w:val="22"/>
                <w:szCs w:val="22"/>
                <w:lang w:val="en-US" w:eastAsia="zh-CN"/>
              </w:rPr>
              <w:t>需不小</w:t>
            </w:r>
            <w:r>
              <w:rPr>
                <w:rFonts w:hint="eastAsia" w:ascii="宋体" w:hAnsi="宋体" w:eastAsia="宋体" w:cs="宋体"/>
                <w:sz w:val="22"/>
                <w:szCs w:val="22"/>
                <w:highlight w:val="none"/>
                <w:lang w:val="en-US" w:eastAsia="zh-CN"/>
              </w:rPr>
              <w:t>于</w:t>
            </w:r>
            <w:r>
              <w:rPr>
                <w:rFonts w:hint="eastAsia" w:ascii="宋体" w:hAnsi="宋体" w:eastAsia="宋体" w:cs="宋体"/>
                <w:sz w:val="22"/>
                <w:szCs w:val="22"/>
                <w:highlight w:val="none"/>
              </w:rPr>
              <w:t>86微米。安装设备后，杆件横臂及设备组成的整体下边缘距离地面净空应</w:t>
            </w:r>
            <w:r>
              <w:rPr>
                <w:rFonts w:hint="eastAsia" w:ascii="宋体" w:hAnsi="宋体" w:eastAsia="宋体" w:cs="宋体"/>
                <w:sz w:val="22"/>
                <w:szCs w:val="22"/>
                <w:highlight w:val="none"/>
                <w:lang w:val="en-US" w:eastAsia="zh-CN"/>
              </w:rPr>
              <w:t>不小于</w:t>
            </w:r>
            <w:r>
              <w:rPr>
                <w:rFonts w:hint="eastAsia" w:ascii="宋体" w:hAnsi="宋体" w:eastAsia="宋体" w:cs="宋体"/>
                <w:sz w:val="22"/>
                <w:szCs w:val="22"/>
                <w:highlight w:val="none"/>
              </w:rPr>
              <w:t>7米。</w:t>
            </w:r>
            <w:r>
              <w:rPr>
                <w:rFonts w:hint="eastAsia" w:ascii="宋体" w:hAnsi="宋体" w:eastAsia="宋体" w:cs="宋体"/>
                <w:sz w:val="22"/>
                <w:szCs w:val="22"/>
              </w:rPr>
              <w:t>安装后的设备和机箱不得侵入道路建筑界限以内，不得影响车辆正常通行。机箱悬挂处或设备安装位置应留有出线孔，出线孔</w:t>
            </w:r>
            <w:r>
              <w:rPr>
                <w:rFonts w:hint="eastAsia" w:ascii="宋体" w:hAnsi="宋体" w:eastAsia="宋体" w:cs="宋体"/>
                <w:sz w:val="22"/>
                <w:szCs w:val="22"/>
                <w:lang w:val="en-US" w:eastAsia="zh-CN"/>
              </w:rPr>
              <w:t>配备</w:t>
            </w:r>
            <w:r>
              <w:rPr>
                <w:rFonts w:hint="eastAsia" w:ascii="宋体" w:hAnsi="宋体" w:eastAsia="宋体" w:cs="宋体"/>
                <w:sz w:val="22"/>
                <w:szCs w:val="22"/>
              </w:rPr>
              <w:t>橡胶护套。</w:t>
            </w:r>
          </w:p>
          <w:p w14:paraId="17E53D1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6.1.2</w:t>
            </w:r>
            <w:r>
              <w:rPr>
                <w:rFonts w:hint="eastAsia" w:ascii="宋体" w:hAnsi="宋体" w:eastAsia="宋体" w:cs="宋体"/>
                <w:sz w:val="22"/>
                <w:szCs w:val="22"/>
              </w:rPr>
              <w:t>杆件外观制式为立杆</w:t>
            </w:r>
            <w:r>
              <w:rPr>
                <w:rFonts w:hint="eastAsia" w:ascii="宋体" w:hAnsi="宋体" w:eastAsia="宋体" w:cs="宋体"/>
                <w:sz w:val="22"/>
                <w:szCs w:val="22"/>
                <w:lang w:eastAsia="zh-CN"/>
              </w:rPr>
              <w:t>，</w:t>
            </w:r>
            <w:r>
              <w:rPr>
                <w:rFonts w:hint="eastAsia" w:ascii="宋体" w:hAnsi="宋体" w:eastAsia="宋体" w:cs="宋体"/>
                <w:sz w:val="22"/>
                <w:szCs w:val="22"/>
              </w:rPr>
              <w:t>离地面0</w:t>
            </w:r>
            <w:r>
              <w:rPr>
                <w:rFonts w:hint="eastAsia" w:ascii="宋体" w:hAnsi="宋体" w:eastAsia="宋体" w:cs="宋体"/>
                <w:sz w:val="22"/>
                <w:szCs w:val="22"/>
                <w:lang w:val="en-US" w:eastAsia="zh-CN"/>
              </w:rPr>
              <w:t>米</w:t>
            </w:r>
            <w:r>
              <w:rPr>
                <w:rFonts w:hint="eastAsia" w:ascii="宋体" w:hAnsi="宋体" w:eastAsia="宋体" w:cs="宋体"/>
                <w:color w:val="000000"/>
                <w:kern w:val="0"/>
                <w:sz w:val="22"/>
                <w:szCs w:val="22"/>
              </w:rPr>
              <w:t>～</w:t>
            </w:r>
            <w:r>
              <w:rPr>
                <w:rFonts w:hint="eastAsia" w:ascii="宋体" w:hAnsi="宋体" w:eastAsia="宋体" w:cs="宋体"/>
                <w:sz w:val="22"/>
                <w:szCs w:val="22"/>
              </w:rPr>
              <w:t>1.5米处部分涂黄色面漆，立杆离地面1.5</w:t>
            </w:r>
            <w:r>
              <w:rPr>
                <w:rFonts w:hint="eastAsia" w:ascii="宋体" w:hAnsi="宋体" w:eastAsia="宋体" w:cs="宋体"/>
                <w:sz w:val="22"/>
                <w:szCs w:val="22"/>
                <w:lang w:val="en-US" w:eastAsia="zh-CN"/>
              </w:rPr>
              <w:t>米</w:t>
            </w:r>
            <w:r>
              <w:rPr>
                <w:rFonts w:hint="eastAsia" w:ascii="宋体" w:hAnsi="宋体" w:eastAsia="宋体" w:cs="宋体"/>
                <w:color w:val="000000"/>
                <w:kern w:val="0"/>
                <w:sz w:val="22"/>
                <w:szCs w:val="22"/>
              </w:rPr>
              <w:t>～</w:t>
            </w:r>
            <w:r>
              <w:rPr>
                <w:rFonts w:hint="eastAsia" w:ascii="宋体" w:hAnsi="宋体" w:eastAsia="宋体" w:cs="宋体"/>
                <w:sz w:val="22"/>
                <w:szCs w:val="22"/>
              </w:rPr>
              <w:t>3米处部分涂绿色面漆，立杆离地面3米处至立杆顶部以及杆件横臂涂白色面漆。</w:t>
            </w:r>
          </w:p>
          <w:p w14:paraId="6EB5D78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6.1.3</w:t>
            </w:r>
            <w:r>
              <w:rPr>
                <w:rFonts w:hint="eastAsia" w:ascii="宋体" w:hAnsi="宋体" w:eastAsia="宋体" w:cs="宋体"/>
                <w:sz w:val="22"/>
                <w:szCs w:val="22"/>
              </w:rPr>
              <w:t>杆体</w:t>
            </w:r>
            <w:r>
              <w:rPr>
                <w:rFonts w:hint="eastAsia" w:ascii="宋体" w:hAnsi="宋体" w:eastAsia="宋体" w:cs="宋体"/>
                <w:sz w:val="22"/>
                <w:szCs w:val="22"/>
                <w:lang w:val="en-US" w:eastAsia="zh-CN"/>
              </w:rPr>
              <w:t>应</w:t>
            </w:r>
            <w:r>
              <w:rPr>
                <w:rFonts w:hint="eastAsia" w:ascii="宋体" w:hAnsi="宋体" w:eastAsia="宋体" w:cs="宋体"/>
                <w:sz w:val="22"/>
                <w:szCs w:val="22"/>
              </w:rPr>
              <w:t>留有穿线孔。孔的上方</w:t>
            </w:r>
            <w:r>
              <w:rPr>
                <w:rFonts w:hint="eastAsia" w:ascii="宋体" w:hAnsi="宋体" w:eastAsia="宋体" w:cs="宋体"/>
                <w:sz w:val="22"/>
                <w:szCs w:val="22"/>
                <w:lang w:val="en-US" w:eastAsia="zh-CN"/>
              </w:rPr>
              <w:t>需</w:t>
            </w:r>
            <w:r>
              <w:rPr>
                <w:rFonts w:hint="eastAsia" w:ascii="宋体" w:hAnsi="宋体" w:eastAsia="宋体" w:cs="宋体"/>
                <w:sz w:val="22"/>
                <w:szCs w:val="22"/>
              </w:rPr>
              <w:t>焊接防水檐，配备盖板和固定螺钉。</w:t>
            </w:r>
            <w:r>
              <w:rPr>
                <w:rFonts w:hint="eastAsia" w:ascii="宋体" w:hAnsi="宋体" w:eastAsia="宋体" w:cs="宋体"/>
                <w:sz w:val="22"/>
                <w:szCs w:val="22"/>
                <w:lang w:val="en-US" w:eastAsia="zh-CN"/>
              </w:rPr>
              <w:t>需</w:t>
            </w:r>
            <w:r>
              <w:rPr>
                <w:rFonts w:hint="eastAsia" w:ascii="宋体" w:hAnsi="宋体" w:eastAsia="宋体" w:cs="宋体"/>
                <w:sz w:val="22"/>
                <w:szCs w:val="22"/>
              </w:rPr>
              <w:t>使用不小于3mm厚的钢板作盖板，用螺钉固定在杆体上。立柱顶部安装金属防水管帽。杆件底部</w:t>
            </w:r>
            <w:r>
              <w:rPr>
                <w:rFonts w:hint="eastAsia" w:ascii="宋体" w:hAnsi="宋体" w:eastAsia="宋体" w:cs="宋体"/>
                <w:sz w:val="22"/>
                <w:szCs w:val="22"/>
                <w:lang w:val="en-US" w:eastAsia="zh-CN"/>
              </w:rPr>
              <w:t>需</w:t>
            </w:r>
            <w:r>
              <w:rPr>
                <w:rFonts w:hint="eastAsia" w:ascii="宋体" w:hAnsi="宋体" w:eastAsia="宋体" w:cs="宋体"/>
                <w:sz w:val="22"/>
                <w:szCs w:val="22"/>
              </w:rPr>
              <w:t>焊接固定法兰盘，法兰盘与杆体之间</w:t>
            </w:r>
            <w:r>
              <w:rPr>
                <w:rFonts w:hint="eastAsia" w:ascii="宋体" w:hAnsi="宋体" w:eastAsia="宋体" w:cs="宋体"/>
                <w:sz w:val="22"/>
                <w:szCs w:val="22"/>
                <w:lang w:val="en-US" w:eastAsia="zh-CN"/>
              </w:rPr>
              <w:t>需</w:t>
            </w:r>
            <w:r>
              <w:rPr>
                <w:rFonts w:hint="eastAsia" w:ascii="宋体" w:hAnsi="宋体" w:eastAsia="宋体" w:cs="宋体"/>
                <w:sz w:val="22"/>
                <w:szCs w:val="22"/>
              </w:rPr>
              <w:t>均匀焊接加强筋。杆件安装后整体抗风等级</w:t>
            </w:r>
            <w:r>
              <w:rPr>
                <w:rFonts w:hint="eastAsia" w:ascii="宋体" w:hAnsi="宋体" w:eastAsia="宋体" w:cs="宋体"/>
                <w:sz w:val="22"/>
                <w:szCs w:val="22"/>
                <w:lang w:val="en-US" w:eastAsia="zh-CN"/>
              </w:rPr>
              <w:t>应</w:t>
            </w:r>
            <w:r>
              <w:rPr>
                <w:rFonts w:hint="eastAsia" w:ascii="宋体" w:hAnsi="宋体" w:eastAsia="宋体" w:cs="宋体"/>
                <w:sz w:val="22"/>
                <w:szCs w:val="22"/>
              </w:rPr>
              <w:t>达到可抗40m/s以上的风力，疲劳寿命</w:t>
            </w:r>
            <w:r>
              <w:rPr>
                <w:rFonts w:hint="eastAsia" w:ascii="宋体" w:hAnsi="宋体" w:eastAsia="宋体" w:cs="宋体"/>
                <w:sz w:val="22"/>
                <w:szCs w:val="22"/>
                <w:lang w:val="en-US" w:eastAsia="zh-CN"/>
              </w:rPr>
              <w:t>应</w:t>
            </w:r>
            <w:r>
              <w:rPr>
                <w:rFonts w:hint="eastAsia" w:ascii="宋体" w:hAnsi="宋体" w:eastAsia="宋体" w:cs="宋体"/>
                <w:sz w:val="22"/>
                <w:szCs w:val="22"/>
              </w:rPr>
              <w:t>大于30年。</w:t>
            </w:r>
          </w:p>
          <w:p w14:paraId="2F687D1E">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6.1.4</w:t>
            </w:r>
            <w:r>
              <w:rPr>
                <w:rFonts w:hint="eastAsia" w:ascii="宋体" w:hAnsi="宋体" w:eastAsia="宋体" w:cs="宋体"/>
                <w:sz w:val="22"/>
                <w:szCs w:val="22"/>
              </w:rPr>
              <w:t>杆件所有焊接件均要求双面全满焊，焊接处牢固并且要求打磨光滑。</w:t>
            </w:r>
          </w:p>
          <w:p w14:paraId="7CE2A7BC">
            <w:pPr>
              <w:pStyle w:val="7"/>
              <w:pageBreakBefore w:val="0"/>
              <w:widowControl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6.2</w:t>
            </w:r>
            <w:r>
              <w:rPr>
                <w:rFonts w:hint="eastAsia" w:ascii="宋体" w:hAnsi="宋体" w:eastAsia="宋体" w:cs="宋体"/>
                <w:b/>
                <w:bCs/>
                <w:sz w:val="22"/>
                <w:szCs w:val="22"/>
              </w:rPr>
              <w:t>指示牌设计</w:t>
            </w:r>
          </w:p>
          <w:p w14:paraId="6BBDED8F">
            <w:pPr>
              <w:pStyle w:val="2"/>
              <w:keepNext w:val="0"/>
              <w:keepLines w:val="0"/>
              <w:pageBreakBefore w:val="0"/>
              <w:widowControl w:val="0"/>
              <w:kinsoku/>
              <w:wordWrap/>
              <w:overflowPunct/>
              <w:topLinePunct w:val="0"/>
              <w:autoSpaceDE/>
              <w:autoSpaceDN/>
              <w:bidi w:val="0"/>
              <w:adjustRightInd/>
              <w:snapToGrid/>
              <w:spacing w:after="0"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本项目</w:t>
            </w:r>
            <w:r>
              <w:rPr>
                <w:rFonts w:hint="eastAsia" w:ascii="宋体" w:hAnsi="宋体" w:eastAsia="宋体" w:cs="宋体"/>
                <w:sz w:val="22"/>
                <w:szCs w:val="22"/>
                <w:lang w:val="en-US" w:eastAsia="zh-CN"/>
              </w:rPr>
              <w:t>涉及的</w:t>
            </w:r>
            <w:r>
              <w:rPr>
                <w:rFonts w:hint="eastAsia" w:ascii="宋体" w:hAnsi="宋体" w:eastAsia="宋体" w:cs="宋体"/>
                <w:sz w:val="22"/>
                <w:szCs w:val="22"/>
              </w:rPr>
              <w:t>3个路口部分路口方向已安装大型车道分布牌，本项目</w:t>
            </w:r>
            <w:r>
              <w:rPr>
                <w:rFonts w:hint="eastAsia" w:ascii="宋体" w:hAnsi="宋体" w:eastAsia="宋体" w:cs="宋体"/>
                <w:sz w:val="22"/>
                <w:szCs w:val="22"/>
                <w:lang w:val="en-US" w:eastAsia="zh-CN"/>
              </w:rPr>
              <w:t>需</w:t>
            </w:r>
            <w:r>
              <w:rPr>
                <w:rFonts w:hint="eastAsia" w:ascii="宋体" w:hAnsi="宋体" w:eastAsia="宋体" w:cs="宋体"/>
                <w:sz w:val="22"/>
                <w:szCs w:val="22"/>
              </w:rPr>
              <w:t>在本期新建的7.5米监控杆上安装交通违法监控标志牌；并在每个方向距离监控杆上游80</w:t>
            </w:r>
            <w:r>
              <w:rPr>
                <w:rFonts w:hint="eastAsia" w:ascii="宋体" w:hAnsi="宋体" w:eastAsia="宋体" w:cs="宋体"/>
                <w:sz w:val="22"/>
                <w:szCs w:val="22"/>
                <w:lang w:val="en-US" w:eastAsia="zh-CN"/>
              </w:rPr>
              <w:t>米</w:t>
            </w:r>
            <w:r>
              <w:rPr>
                <w:rFonts w:hint="eastAsia" w:ascii="宋体" w:hAnsi="宋体" w:eastAsia="宋体" w:cs="宋体"/>
                <w:color w:val="000000"/>
                <w:kern w:val="0"/>
                <w:sz w:val="22"/>
                <w:szCs w:val="22"/>
              </w:rPr>
              <w:t>～</w:t>
            </w:r>
            <w:r>
              <w:rPr>
                <w:rFonts w:hint="eastAsia" w:ascii="宋体" w:hAnsi="宋体" w:eastAsia="宋体" w:cs="宋体"/>
                <w:sz w:val="22"/>
                <w:szCs w:val="22"/>
              </w:rPr>
              <w:t>100米左右设置了车道分布牌（未有大型车道分布牌的道路）和前方监控交通违法标志牌，各标志牌尺寸如</w:t>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REF _Ref153290864 \h  \* MERGEFORMAT </w:instrText>
            </w:r>
            <w:r>
              <w:rPr>
                <w:rFonts w:hint="eastAsia" w:ascii="宋体" w:hAnsi="宋体" w:eastAsia="宋体" w:cs="宋体"/>
                <w:sz w:val="22"/>
                <w:szCs w:val="22"/>
              </w:rPr>
              <w:fldChar w:fldCharType="separate"/>
            </w:r>
            <w:r>
              <w:rPr>
                <w:rFonts w:hint="eastAsia" w:ascii="宋体" w:hAnsi="宋体" w:eastAsia="宋体" w:cs="宋体"/>
                <w:sz w:val="22"/>
                <w:szCs w:val="22"/>
              </w:rPr>
              <w:t>图 4.1</w:t>
            </w:r>
            <w:r>
              <w:rPr>
                <w:rFonts w:hint="eastAsia" w:ascii="宋体" w:hAnsi="宋体" w:eastAsia="宋体" w:cs="宋体"/>
                <w:sz w:val="22"/>
                <w:szCs w:val="22"/>
              </w:rPr>
              <w:noBreakHyphen/>
            </w:r>
            <w:r>
              <w:rPr>
                <w:rFonts w:hint="eastAsia" w:ascii="宋体" w:hAnsi="宋体" w:eastAsia="宋体" w:cs="宋体"/>
                <w:sz w:val="22"/>
                <w:szCs w:val="22"/>
              </w:rPr>
              <w:t>11</w:t>
            </w:r>
            <w:r>
              <w:rPr>
                <w:rFonts w:hint="eastAsia" w:ascii="宋体" w:hAnsi="宋体" w:eastAsia="宋体" w:cs="宋体"/>
                <w:sz w:val="22"/>
                <w:szCs w:val="22"/>
              </w:rPr>
              <w:fldChar w:fldCharType="end"/>
            </w:r>
            <w:r>
              <w:rPr>
                <w:rFonts w:hint="eastAsia" w:ascii="宋体" w:hAnsi="宋体" w:eastAsia="宋体" w:cs="宋体"/>
                <w:sz w:val="22"/>
                <w:szCs w:val="22"/>
              </w:rPr>
              <w:t>所示，安装位置示意图如</w:t>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REF _Ref153290904 \h  \* MERGEFORMAT </w:instrText>
            </w:r>
            <w:r>
              <w:rPr>
                <w:rFonts w:hint="eastAsia" w:ascii="宋体" w:hAnsi="宋体" w:eastAsia="宋体" w:cs="宋体"/>
                <w:sz w:val="22"/>
                <w:szCs w:val="22"/>
              </w:rPr>
              <w:fldChar w:fldCharType="separate"/>
            </w:r>
            <w:r>
              <w:rPr>
                <w:rFonts w:hint="eastAsia" w:ascii="宋体" w:hAnsi="宋体" w:eastAsia="宋体" w:cs="宋体"/>
                <w:sz w:val="22"/>
                <w:szCs w:val="22"/>
                <w:lang w:val="en-US" w:eastAsia="zh-CN"/>
              </w:rPr>
              <w:t>下图</w:t>
            </w:r>
            <w:r>
              <w:rPr>
                <w:rFonts w:hint="eastAsia" w:ascii="宋体" w:hAnsi="宋体" w:eastAsia="宋体" w:cs="宋体"/>
                <w:sz w:val="22"/>
                <w:szCs w:val="22"/>
              </w:rPr>
              <w:fldChar w:fldCharType="end"/>
            </w:r>
            <w:r>
              <w:rPr>
                <w:rFonts w:hint="eastAsia" w:ascii="宋体" w:hAnsi="宋体" w:eastAsia="宋体" w:cs="宋体"/>
                <w:sz w:val="22"/>
                <w:szCs w:val="22"/>
              </w:rPr>
              <w:t>所示。</w:t>
            </w:r>
          </w:p>
          <w:p w14:paraId="73D394E5">
            <w:pPr>
              <w:keepNext/>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drawing>
                <wp:inline distT="0" distB="0" distL="0" distR="0">
                  <wp:extent cx="4142740" cy="2059940"/>
                  <wp:effectExtent l="0" t="0" r="10160" b="16510"/>
                  <wp:docPr id="9406783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78366" name="图片 1"/>
                          <pic:cNvPicPr>
                            <a:picLocks noChangeAspect="1"/>
                          </pic:cNvPicPr>
                        </pic:nvPicPr>
                        <pic:blipFill>
                          <a:blip r:embed="rId8"/>
                          <a:stretch>
                            <a:fillRect/>
                          </a:stretch>
                        </pic:blipFill>
                        <pic:spPr>
                          <a:xfrm>
                            <a:off x="0" y="0"/>
                            <a:ext cx="4142740" cy="2059940"/>
                          </a:xfrm>
                          <a:prstGeom prst="rect">
                            <a:avLst/>
                          </a:prstGeom>
                        </pic:spPr>
                      </pic:pic>
                    </a:graphicData>
                  </a:graphic>
                </wp:inline>
              </w:drawing>
            </w:r>
            <w:r>
              <w:rPr>
                <w:rFonts w:hint="eastAsia" w:ascii="宋体" w:hAnsi="宋体" w:eastAsia="宋体" w:cs="宋体"/>
                <w:sz w:val="22"/>
                <w:szCs w:val="22"/>
              </w:rPr>
              <w:drawing>
                <wp:inline distT="0" distB="0" distL="0" distR="0">
                  <wp:extent cx="3149600" cy="2533650"/>
                  <wp:effectExtent l="0" t="0" r="12700" b="0"/>
                  <wp:docPr id="13465162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16271" name="图片 1"/>
                          <pic:cNvPicPr>
                            <a:picLocks noChangeAspect="1"/>
                          </pic:cNvPicPr>
                        </pic:nvPicPr>
                        <pic:blipFill>
                          <a:blip r:embed="rId9"/>
                          <a:stretch>
                            <a:fillRect/>
                          </a:stretch>
                        </pic:blipFill>
                        <pic:spPr>
                          <a:xfrm>
                            <a:off x="0" y="0"/>
                            <a:ext cx="3149600" cy="2533650"/>
                          </a:xfrm>
                          <a:prstGeom prst="rect">
                            <a:avLst/>
                          </a:prstGeom>
                        </pic:spPr>
                      </pic:pic>
                    </a:graphicData>
                  </a:graphic>
                </wp:inline>
              </w:drawing>
            </w:r>
          </w:p>
          <w:p w14:paraId="2C7071FD">
            <w:pPr>
              <w:pStyle w:val="1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2"/>
              </w:rPr>
            </w:pPr>
            <w:bookmarkStart w:id="9" w:name="_Ref153290864"/>
            <w:r>
              <w:rPr>
                <w:rFonts w:hint="eastAsia" w:ascii="宋体" w:hAnsi="宋体" w:eastAsia="宋体" w:cs="宋体"/>
                <w:sz w:val="22"/>
                <w:szCs w:val="22"/>
              </w:rPr>
              <w:t>图</w:t>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STYLEREF 2 \s </w:instrText>
            </w:r>
            <w:r>
              <w:rPr>
                <w:rFonts w:hint="eastAsia" w:ascii="宋体" w:hAnsi="宋体" w:eastAsia="宋体" w:cs="宋体"/>
                <w:sz w:val="22"/>
                <w:szCs w:val="22"/>
              </w:rPr>
              <w:fldChar w:fldCharType="separate"/>
            </w:r>
            <w:r>
              <w:rPr>
                <w:rFonts w:hint="eastAsia" w:ascii="宋体" w:hAnsi="宋体" w:eastAsia="宋体" w:cs="宋体"/>
                <w:sz w:val="22"/>
                <w:szCs w:val="22"/>
              </w:rPr>
              <w:t>4</w:t>
            </w:r>
            <w:r>
              <w:rPr>
                <w:rFonts w:hint="eastAsia" w:ascii="宋体" w:hAnsi="宋体" w:eastAsia="宋体" w:cs="宋体"/>
                <w:sz w:val="22"/>
                <w:szCs w:val="22"/>
                <w:lang w:val="en-US" w:eastAsia="zh-CN"/>
              </w:rPr>
              <w:t>-</w:t>
            </w:r>
            <w:r>
              <w:rPr>
                <w:rFonts w:hint="eastAsia" w:ascii="宋体" w:hAnsi="宋体" w:eastAsia="宋体" w:cs="宋体"/>
                <w:sz w:val="22"/>
                <w:szCs w:val="22"/>
              </w:rPr>
              <w:t>1</w:t>
            </w:r>
            <w:r>
              <w:rPr>
                <w:rFonts w:hint="eastAsia" w:ascii="宋体" w:hAnsi="宋体" w:eastAsia="宋体" w:cs="宋体"/>
                <w:sz w:val="22"/>
                <w:szCs w:val="22"/>
              </w:rPr>
              <w:fldChar w:fldCharType="end"/>
            </w:r>
            <w:bookmarkEnd w:id="9"/>
            <w:r>
              <w:rPr>
                <w:rFonts w:hint="eastAsia" w:ascii="宋体" w:hAnsi="宋体" w:eastAsia="宋体" w:cs="宋体"/>
                <w:sz w:val="22"/>
                <w:szCs w:val="22"/>
              </w:rPr>
              <w:t>标志牌尺寸及样式图</w:t>
            </w:r>
          </w:p>
          <w:p w14:paraId="40676A3F">
            <w:pPr>
              <w:pStyle w:val="2"/>
              <w:keepNext/>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drawing>
                <wp:inline distT="0" distB="0" distL="0" distR="0">
                  <wp:extent cx="3720465" cy="2640330"/>
                  <wp:effectExtent l="0" t="0" r="13335" b="7620"/>
                  <wp:docPr id="20908866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86682" name="图片 1"/>
                          <pic:cNvPicPr>
                            <a:picLocks noChangeAspect="1"/>
                          </pic:cNvPicPr>
                        </pic:nvPicPr>
                        <pic:blipFill>
                          <a:blip r:embed="rId10"/>
                          <a:stretch>
                            <a:fillRect/>
                          </a:stretch>
                        </pic:blipFill>
                        <pic:spPr>
                          <a:xfrm>
                            <a:off x="0" y="0"/>
                            <a:ext cx="3720465" cy="2640330"/>
                          </a:xfrm>
                          <a:prstGeom prst="rect">
                            <a:avLst/>
                          </a:prstGeom>
                        </pic:spPr>
                      </pic:pic>
                    </a:graphicData>
                  </a:graphic>
                </wp:inline>
              </w:drawing>
            </w:r>
          </w:p>
          <w:p w14:paraId="3F2DAF30">
            <w:pPr>
              <w:pStyle w:val="1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2"/>
              </w:rPr>
            </w:pPr>
            <w:bookmarkStart w:id="10" w:name="_Ref153290904"/>
            <w:r>
              <w:rPr>
                <w:rFonts w:hint="eastAsia" w:ascii="宋体" w:hAnsi="宋体" w:eastAsia="宋体" w:cs="宋体"/>
                <w:sz w:val="22"/>
                <w:szCs w:val="22"/>
              </w:rPr>
              <w:t xml:space="preserve">图 </w:t>
            </w:r>
            <w:bookmarkEnd w:id="10"/>
            <w:r>
              <w:rPr>
                <w:rFonts w:hint="eastAsia" w:ascii="宋体" w:hAnsi="宋体" w:eastAsia="宋体" w:cs="宋体"/>
                <w:sz w:val="22"/>
                <w:szCs w:val="22"/>
                <w:lang w:val="en-US" w:eastAsia="zh-CN"/>
              </w:rPr>
              <w:t>4-2</w:t>
            </w:r>
            <w:r>
              <w:rPr>
                <w:rFonts w:hint="eastAsia" w:ascii="宋体" w:hAnsi="宋体" w:eastAsia="宋体" w:cs="宋体"/>
                <w:sz w:val="22"/>
                <w:szCs w:val="22"/>
              </w:rPr>
              <w:t>标志牌安装位置示意图</w:t>
            </w:r>
          </w:p>
          <w:p w14:paraId="120CAD10">
            <w:pPr>
              <w:pStyle w:val="7"/>
              <w:pageBreakBefore w:val="0"/>
              <w:widowControl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6.3</w:t>
            </w:r>
            <w:r>
              <w:rPr>
                <w:rFonts w:hint="eastAsia" w:ascii="宋体" w:hAnsi="宋体" w:eastAsia="宋体" w:cs="宋体"/>
                <w:b/>
                <w:bCs/>
                <w:sz w:val="22"/>
                <w:szCs w:val="22"/>
              </w:rPr>
              <w:tab/>
            </w:r>
            <w:r>
              <w:rPr>
                <w:rFonts w:hint="eastAsia" w:ascii="宋体" w:hAnsi="宋体" w:eastAsia="宋体" w:cs="宋体"/>
                <w:b/>
                <w:bCs/>
                <w:sz w:val="22"/>
                <w:szCs w:val="22"/>
              </w:rPr>
              <w:t>防雷接地设计</w:t>
            </w:r>
          </w:p>
          <w:p w14:paraId="3350F17D">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6.3.1</w:t>
            </w:r>
            <w:r>
              <w:rPr>
                <w:rFonts w:hint="eastAsia" w:ascii="宋体" w:hAnsi="宋体" w:eastAsia="宋体" w:cs="宋体"/>
                <w:b/>
                <w:bCs/>
                <w:sz w:val="22"/>
                <w:szCs w:val="22"/>
              </w:rPr>
              <w:t>避雷针</w:t>
            </w:r>
          </w:p>
          <w:p w14:paraId="2D3F719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每根杆件应安装一根以上。</w:t>
            </w:r>
          </w:p>
          <w:p w14:paraId="5C9805C3">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限制急剧上升的雷击电流，降低雷电流的幅值和陡度，减少雷电感应的二次效应</w:t>
            </w:r>
            <w:r>
              <w:rPr>
                <w:rFonts w:hint="eastAsia" w:ascii="宋体" w:hAnsi="宋体" w:eastAsia="宋体" w:cs="宋体"/>
                <w:sz w:val="22"/>
                <w:szCs w:val="22"/>
                <w:lang w:eastAsia="zh-CN"/>
              </w:rPr>
              <w:t>。</w:t>
            </w:r>
          </w:p>
          <w:p w14:paraId="145668D8">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(3)</w:t>
            </w:r>
            <w:r>
              <w:rPr>
                <w:rFonts w:hint="eastAsia" w:ascii="宋体" w:hAnsi="宋体" w:eastAsia="宋体" w:cs="宋体"/>
                <w:sz w:val="22"/>
                <w:szCs w:val="22"/>
              </w:rPr>
              <w:t>最大放电电流应≥300KA</w:t>
            </w:r>
            <w:r>
              <w:rPr>
                <w:rFonts w:hint="eastAsia" w:ascii="宋体" w:hAnsi="宋体" w:eastAsia="宋体" w:cs="宋体"/>
                <w:sz w:val="22"/>
                <w:szCs w:val="22"/>
                <w:lang w:eastAsia="zh-CN"/>
              </w:rPr>
              <w:t>。</w:t>
            </w:r>
          </w:p>
          <w:p w14:paraId="31AE7AE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(4)</w:t>
            </w:r>
            <w:r>
              <w:rPr>
                <w:rFonts w:hint="eastAsia" w:ascii="宋体" w:hAnsi="宋体" w:eastAsia="宋体" w:cs="宋体"/>
                <w:sz w:val="22"/>
                <w:szCs w:val="22"/>
              </w:rPr>
              <w:t>针径≥12mm，长度≥0.5米</w:t>
            </w:r>
            <w:r>
              <w:rPr>
                <w:rFonts w:hint="eastAsia" w:ascii="宋体" w:hAnsi="宋体" w:eastAsia="宋体" w:cs="宋体"/>
                <w:sz w:val="22"/>
                <w:szCs w:val="22"/>
                <w:lang w:eastAsia="zh-CN"/>
              </w:rPr>
              <w:t>。</w:t>
            </w:r>
          </w:p>
          <w:p w14:paraId="49E61B85">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(5)</w:t>
            </w:r>
            <w:r>
              <w:rPr>
                <w:rFonts w:hint="eastAsia" w:ascii="宋体" w:hAnsi="宋体" w:eastAsia="宋体" w:cs="宋体"/>
                <w:sz w:val="22"/>
                <w:szCs w:val="22"/>
              </w:rPr>
              <w:t>防水、防腐</w:t>
            </w:r>
            <w:r>
              <w:rPr>
                <w:rFonts w:hint="eastAsia" w:ascii="宋体" w:hAnsi="宋体" w:eastAsia="宋体" w:cs="宋体"/>
                <w:sz w:val="22"/>
                <w:szCs w:val="22"/>
                <w:lang w:eastAsia="zh-CN"/>
              </w:rPr>
              <w:t>。</w:t>
            </w:r>
          </w:p>
          <w:p w14:paraId="7F51CFED">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(6)</w:t>
            </w:r>
            <w:r>
              <w:rPr>
                <w:rFonts w:hint="eastAsia" w:ascii="宋体" w:hAnsi="宋体" w:eastAsia="宋体" w:cs="宋体"/>
                <w:sz w:val="22"/>
                <w:szCs w:val="22"/>
              </w:rPr>
              <w:t>应可抗40m/s的风力</w:t>
            </w:r>
            <w:r>
              <w:rPr>
                <w:rFonts w:hint="eastAsia" w:ascii="宋体" w:hAnsi="宋体" w:eastAsia="宋体" w:cs="宋体"/>
                <w:sz w:val="22"/>
                <w:szCs w:val="22"/>
                <w:lang w:eastAsia="zh-CN"/>
              </w:rPr>
              <w:t>。</w:t>
            </w:r>
          </w:p>
          <w:p w14:paraId="5447EAFE">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(7)</w:t>
            </w:r>
            <w:r>
              <w:rPr>
                <w:rFonts w:hint="eastAsia" w:ascii="宋体" w:hAnsi="宋体" w:eastAsia="宋体" w:cs="宋体"/>
                <w:sz w:val="22"/>
                <w:szCs w:val="22"/>
              </w:rPr>
              <w:t>安装方便，免维护。</w:t>
            </w:r>
          </w:p>
          <w:p w14:paraId="7E30E261">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6.3.2</w:t>
            </w:r>
            <w:r>
              <w:rPr>
                <w:rFonts w:hint="eastAsia" w:ascii="宋体" w:hAnsi="宋体" w:eastAsia="宋体" w:cs="宋体"/>
                <w:b/>
                <w:bCs/>
                <w:sz w:val="22"/>
                <w:szCs w:val="22"/>
              </w:rPr>
              <w:t>接地</w:t>
            </w:r>
          </w:p>
          <w:p w14:paraId="6FC55A86">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(1)路口设备、杆件、机箱及机柜的接地应有效连接。</w:t>
            </w:r>
          </w:p>
          <w:p w14:paraId="57A37B3B">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(2)接地极应使用规格为L50mm×50mm×4mm以上的镀锌角钢制作。接地极距机柜或杆件的距离应不小于3米，最大不超过6米，接地电阻应不大于4Ω。</w:t>
            </w:r>
          </w:p>
          <w:p w14:paraId="110665F4">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(3)杆件保护接地极应焊接到每个钢制杆件的法兰盘上。焊接处应作防腐处理。接地电阻应不大于4Ω。</w:t>
            </w:r>
          </w:p>
          <w:p w14:paraId="385BE193">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(4)设备机箱及机柜的专用接地端子应与接地极有效连接，接地电阻应不大于4Ω，引入设备机箱及机柜的接地线应使用软质铜绞线，其截面不得小于10mm</w:t>
            </w:r>
            <w:r>
              <w:rPr>
                <w:rFonts w:hint="eastAsia" w:ascii="宋体" w:hAnsi="宋体" w:eastAsia="宋体" w:cs="宋体"/>
                <w:kern w:val="0"/>
                <w:sz w:val="22"/>
                <w:szCs w:val="22"/>
              </w:rPr>
              <w:t>²</w:t>
            </w:r>
            <w:r>
              <w:rPr>
                <w:rFonts w:hint="eastAsia" w:ascii="宋体" w:hAnsi="宋体" w:eastAsia="宋体" w:cs="宋体"/>
                <w:kern w:val="2"/>
                <w:sz w:val="22"/>
                <w:szCs w:val="22"/>
                <w:lang w:val="en-US" w:eastAsia="zh-CN" w:bidi="ar-SA"/>
              </w:rPr>
              <w:t>。</w:t>
            </w:r>
          </w:p>
          <w:p w14:paraId="1B94151A">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6.3.3</w:t>
            </w:r>
            <w:r>
              <w:rPr>
                <w:rFonts w:hint="eastAsia" w:ascii="宋体" w:hAnsi="宋体" w:eastAsia="宋体" w:cs="宋体"/>
                <w:b/>
                <w:bCs/>
                <w:sz w:val="22"/>
                <w:szCs w:val="22"/>
              </w:rPr>
              <w:t>防雷</w:t>
            </w:r>
          </w:p>
          <w:p w14:paraId="2A0BEB8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应采用三级漏电保护机制，确保用电安全，需分别在取电位置、落地机箱和抱杆机箱上配置带漏电保护装置的空气开关。</w:t>
            </w:r>
          </w:p>
          <w:p w14:paraId="54A680B6">
            <w:pPr>
              <w:pStyle w:val="7"/>
              <w:pageBreakBefore w:val="0"/>
              <w:widowControl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6.4</w:t>
            </w:r>
            <w:r>
              <w:rPr>
                <w:rFonts w:hint="eastAsia" w:ascii="宋体" w:hAnsi="宋体" w:eastAsia="宋体" w:cs="宋体"/>
                <w:b/>
                <w:bCs/>
                <w:sz w:val="22"/>
                <w:szCs w:val="22"/>
              </w:rPr>
              <w:t>监控点供电设计</w:t>
            </w:r>
          </w:p>
          <w:p w14:paraId="461B71D3">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新建的监控点原则上由广东电网提供的引电建设，且不能由路灯杆等非供电局提供的独立取电点引电。</w:t>
            </w:r>
          </w:p>
          <w:p w14:paraId="7E7ABA4F">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建设要求如下：</w:t>
            </w:r>
          </w:p>
          <w:p w14:paraId="58B84FF2">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6.4.1</w:t>
            </w:r>
            <w:r>
              <w:rPr>
                <w:rFonts w:hint="eastAsia" w:ascii="宋体" w:hAnsi="宋体" w:eastAsia="宋体" w:cs="宋体"/>
                <w:b/>
                <w:bCs/>
                <w:sz w:val="22"/>
                <w:szCs w:val="22"/>
              </w:rPr>
              <w:t>供电系统要求</w:t>
            </w:r>
          </w:p>
          <w:p w14:paraId="745D3977">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（1）电源设备除电压、电流、功率应符合容量要求外，尽量保证稳定性，同时需考虑到控制时的大功率电流、多个负载同时启动时造成的压降、远距离传输时造成的压降等多方面的因素。</w:t>
            </w:r>
          </w:p>
          <w:p w14:paraId="0626EEA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（2）电源线的敷设应保证符合室外电线电缆的敷设标准和规范，并满足市政的要求。</w:t>
            </w:r>
          </w:p>
          <w:p w14:paraId="3AB71F88">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（3）供电点应选择供电能力有保障的位置接入。具体供电方式问题可根据实际情况调整。</w:t>
            </w:r>
          </w:p>
          <w:p w14:paraId="77B00AF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4）供电线路应采用埋地穿管的敷设方式，机箱座到杆手井敷设一管，杆手井到引上井敷设一管，引上井到接电箱采用镀锌钢管，穿越马路深度应为800mm，且采用镀锌钢管敷设；在人行道或绿化带上敷设深度应为500mm。</w:t>
            </w:r>
          </w:p>
          <w:p w14:paraId="6B71EC24">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6.4.2</w:t>
            </w:r>
            <w:r>
              <w:rPr>
                <w:rFonts w:hint="eastAsia" w:ascii="宋体" w:hAnsi="宋体" w:eastAsia="宋体" w:cs="宋体"/>
                <w:b/>
                <w:bCs/>
                <w:sz w:val="22"/>
                <w:szCs w:val="22"/>
              </w:rPr>
              <w:t>前端供电方案</w:t>
            </w:r>
          </w:p>
          <w:p w14:paraId="248B850D">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各摄像机终端应在就近的原有交通灯电箱取一路220V市电，市电经加装自动重合闸开关（含SPD），引到设备箱使用，保证引入部分电源线路的漏电及防雷防护。</w:t>
            </w:r>
          </w:p>
          <w:p w14:paraId="6A99AE9D">
            <w:pPr>
              <w:pStyle w:val="7"/>
              <w:pageBreakBefore w:val="0"/>
              <w:widowControl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6.5</w:t>
            </w:r>
            <w:r>
              <w:rPr>
                <w:rFonts w:hint="eastAsia" w:ascii="宋体" w:hAnsi="宋体" w:eastAsia="宋体" w:cs="宋体"/>
                <w:b/>
                <w:bCs/>
                <w:sz w:val="22"/>
                <w:szCs w:val="22"/>
              </w:rPr>
              <w:t>室外管道设计</w:t>
            </w:r>
          </w:p>
          <w:p w14:paraId="7B4F7561">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6.5.1</w:t>
            </w:r>
            <w:r>
              <w:rPr>
                <w:rFonts w:hint="eastAsia" w:ascii="宋体" w:hAnsi="宋体" w:eastAsia="宋体" w:cs="宋体"/>
                <w:b/>
                <w:bCs/>
                <w:sz w:val="22"/>
                <w:szCs w:val="22"/>
              </w:rPr>
              <w:t>穿越机动车道的地下管道埋设</w:t>
            </w:r>
          </w:p>
          <w:p w14:paraId="49A1BAE4">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（1）穿越机动车道的地下管道应采用微控地下定向钻孔敷管技术埋设。成交供应商需具有微控钻通定向钻机、数位探测仪和导航仪等施工设备及仪表。</w:t>
            </w:r>
          </w:p>
          <w:p w14:paraId="130EDA0E">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（2）穿越机动车道的地下管道应采用高强度PE管，所用管材壁厚要求8mm或以上。管的公称口径应为Ф110mm，并穿好铁丝。管与管的接头处应使用套管固定，在管道端口处应使用防鼠护套。</w:t>
            </w:r>
          </w:p>
          <w:p w14:paraId="334B6168">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（3）管道埋深应不小于700mm。</w:t>
            </w:r>
          </w:p>
          <w:p w14:paraId="25509CB1">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6.5.2</w:t>
            </w:r>
            <w:r>
              <w:rPr>
                <w:rFonts w:hint="eastAsia" w:ascii="宋体" w:hAnsi="宋体" w:eastAsia="宋体" w:cs="宋体"/>
                <w:b/>
                <w:bCs/>
                <w:sz w:val="22"/>
                <w:szCs w:val="22"/>
              </w:rPr>
              <w:t>非机动车道、人行道或绿化带下的地下管道埋设</w:t>
            </w:r>
          </w:p>
          <w:p w14:paraId="52227BFE">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穿越非机动车道、人行道或绿化带下的地下管道沟的宽度应不小于250mm，深度以管道埋置后其顶部距路面的距离应不小于450mm。管道沟要求尽量平直，或略呈倒“U”字型。管道沟底部要求平整，所有碎屑清理干净并填上50～80mm的细软砂土。不设窨井的拐弯处线管的圆角半径要求R≥20D（D为电缆外径），且线管转向应圆滑、流畅。</w:t>
            </w:r>
          </w:p>
          <w:p w14:paraId="31141378">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2）穿越非机动车道、人行道或绿化带下的地下管道应采用的高强PE管，管的公称口径应为Ф110mm，并穿好铁丝。管与管的接头处应使用套管固定，在管道端口处应使用防鼠护套。管道周围应包有足够强度的混凝土防护层。</w:t>
            </w:r>
          </w:p>
          <w:p w14:paraId="06C9EFEE">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（3）管道的埋深应不小于 500mm。</w:t>
            </w:r>
          </w:p>
          <w:p w14:paraId="4501AE19">
            <w:pPr>
              <w:pStyle w:val="8"/>
              <w:pageBreakBefore w:val="0"/>
              <w:widowControl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6.5.3</w:t>
            </w:r>
            <w:r>
              <w:rPr>
                <w:rFonts w:hint="eastAsia" w:ascii="宋体" w:hAnsi="宋体" w:eastAsia="宋体" w:cs="宋体"/>
                <w:b/>
                <w:bCs/>
                <w:sz w:val="22"/>
                <w:szCs w:val="22"/>
              </w:rPr>
              <w:t>窖井及手井井盖</w:t>
            </w:r>
          </w:p>
          <w:p w14:paraId="5F8CC0A2">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rPr>
              <w:t>（1）窖井建设要求</w:t>
            </w:r>
          </w:p>
          <w:p w14:paraId="492A87A5">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①按设计点位在对应位置开挖基础坑。</w:t>
            </w:r>
          </w:p>
          <w:p w14:paraId="72CB497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②在基础坑内铺上厚度150mm的粗砂。</w:t>
            </w:r>
          </w:p>
          <w:p w14:paraId="3422D2A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③采用厚度20mm木板加工好的模型，架模具，并调好模具的位置加以固定。</w:t>
            </w:r>
          </w:p>
          <w:p w14:paraId="3D896C37">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④采用砌砖，并在砖空隙处填100砂浆，同时把过街管按要求安放置，井内壁按1:2.5水泥砂抹面，厚度10mm。</w:t>
            </w:r>
          </w:p>
          <w:p w14:paraId="50271AD7">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⑤采用水泥浆找平，同时要求井盖顶部距人行道路或绿化土面相平。</w:t>
            </w:r>
          </w:p>
          <w:p w14:paraId="7F1E8603">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⑥等待水泥浆干后，安装井座，并调好井座的位置，安装井盖。</w:t>
            </w:r>
          </w:p>
          <w:p w14:paraId="6302B0B6">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⑦手井井盖应主要使用聚合物和填充增强材料制成。聚合物为高分子材料及其再生品，增强材料应为各种颗粒状、纤维状材料及其再生品各种金属及构件。</w:t>
            </w:r>
          </w:p>
          <w:p w14:paraId="54B6FCE2">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⑧井盖应为方形，大小为500mm×500mm，井盖上刻有“公安交警（电子警察）”字样。</w:t>
            </w:r>
          </w:p>
          <w:p w14:paraId="54E1209A">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⑨井盖的嵌入深度：检查井盖的嵌入深度应不小于50mm。</w:t>
            </w:r>
          </w:p>
          <w:p w14:paraId="5E6FD13D">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⑩井盖应有的凸起防滑花纹，其高度应不小于3mm。</w:t>
            </w:r>
          </w:p>
          <w:p w14:paraId="6371DE62">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⑪井盖与支座的表面应压制平整，应无裂纹。</w:t>
            </w:r>
          </w:p>
          <w:p w14:paraId="5F6FA9E3">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⑫井盖与口圈应吻合，盖合后应平稳、不翘动。</w:t>
            </w:r>
          </w:p>
          <w:p w14:paraId="107208FE">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⑬井盖的外缘与口圈的内缘间隙应不大于3mm；井盖与口圈盖合后，井盖边缘应高于口圈1～3mm。</w:t>
            </w:r>
          </w:p>
          <w:p w14:paraId="4B56BB07">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⑭井盖与支座的装配结构尺寸应符合GB6414的要求，其公差等级不应低于GB6414-1999中CTlO的鉴定，并保证井盖与支座互换性。</w:t>
            </w:r>
          </w:p>
          <w:p w14:paraId="41A5F4BB">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⑮井盖的承载能力应不小于180KN，破坏承载能力应不小于250KN，允许残留变形应为(1/500)*D。</w:t>
            </w:r>
          </w:p>
          <w:p w14:paraId="182FFB54">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⑯井盖的实验装置、实验方法及实验结果应满足《聚合物基复合材料检查井盖标准》检验标准（CJ/T211-2005）第六条的要求。</w:t>
            </w:r>
          </w:p>
          <w:p w14:paraId="6893CDC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 w:val="0"/>
                <w:bCs w:val="0"/>
                <w:color w:val="auto"/>
                <w:sz w:val="22"/>
                <w:szCs w:val="22"/>
                <w:highlight w:val="none"/>
                <w:lang w:eastAsia="zh-CN"/>
              </w:rPr>
            </w:pPr>
            <w:r>
              <w:rPr>
                <w:rFonts w:hint="eastAsia" w:ascii="宋体" w:hAnsi="宋体" w:eastAsia="宋体" w:cs="宋体"/>
                <w:kern w:val="2"/>
                <w:sz w:val="22"/>
                <w:szCs w:val="22"/>
                <w:lang w:val="en-US" w:eastAsia="zh-CN" w:bidi="ar-SA"/>
              </w:rPr>
              <w:t>⑰标志及证明书：井盖上应能反映专用标志、承重等级、生产日期、出厂合格证、检测报告等技术文件。</w:t>
            </w:r>
          </w:p>
        </w:tc>
        <w:tc>
          <w:tcPr>
            <w:tcW w:w="1208" w:type="dxa"/>
          </w:tcPr>
          <w:p w14:paraId="0565F9BB">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5BC42BB4">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74BB1DCB">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77EE7D69">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661B1A51">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75947D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043" w:hRule="atLeast"/>
        </w:trPr>
        <w:tc>
          <w:tcPr>
            <w:tcW w:w="530" w:type="dxa"/>
            <w:vAlign w:val="center"/>
          </w:tcPr>
          <w:p w14:paraId="7BEE846F">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w:t>
            </w:r>
          </w:p>
        </w:tc>
        <w:tc>
          <w:tcPr>
            <w:tcW w:w="660" w:type="dxa"/>
          </w:tcPr>
          <w:p w14:paraId="4224150A">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1A5E0359">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2A8D182D">
            <w:pPr>
              <w:pStyle w:val="4"/>
              <w:pageBreakBefore w:val="0"/>
              <w:numPr>
                <w:ilvl w:val="1"/>
                <w:numId w:val="0"/>
              </w:numPr>
              <w:kinsoku/>
              <w:wordWrap/>
              <w:overflowPunct/>
              <w:topLinePunct w:val="0"/>
              <w:autoSpaceDE/>
              <w:autoSpaceDN/>
              <w:bidi w:val="0"/>
              <w:adjustRightInd/>
              <w:snapToGrid/>
              <w:spacing w:before="0" w:line="360" w:lineRule="auto"/>
              <w:ind w:left="0" w:leftChars="0" w:firstLine="0" w:firstLineChars="0"/>
              <w:textAlignment w:val="auto"/>
              <w:rPr>
                <w:rFonts w:hint="eastAsia" w:ascii="宋体" w:hAnsi="宋体" w:eastAsia="宋体" w:cs="宋体"/>
                <w:b/>
                <w:bCs/>
                <w:sz w:val="22"/>
                <w:szCs w:val="22"/>
              </w:rPr>
            </w:pPr>
            <w:bookmarkStart w:id="11" w:name="_Toc173501786"/>
            <w:r>
              <w:rPr>
                <w:rFonts w:hint="eastAsia" w:ascii="宋体" w:hAnsi="宋体" w:eastAsia="宋体" w:cs="宋体"/>
                <w:b/>
                <w:bCs/>
                <w:kern w:val="2"/>
                <w:sz w:val="22"/>
                <w:szCs w:val="22"/>
                <w:lang w:val="en-US" w:eastAsia="zh-CN" w:bidi="ar-SA"/>
              </w:rPr>
              <w:t>（二）</w:t>
            </w:r>
            <w:r>
              <w:rPr>
                <w:rFonts w:hint="eastAsia" w:ascii="宋体" w:hAnsi="宋体" w:eastAsia="宋体" w:cs="宋体"/>
                <w:b/>
                <w:bCs/>
                <w:sz w:val="22"/>
                <w:szCs w:val="22"/>
              </w:rPr>
              <w:t>传输子系统</w:t>
            </w:r>
            <w:bookmarkEnd w:id="11"/>
          </w:p>
          <w:p w14:paraId="66B062C7">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本期项目属于在新建道路建设电子警察系统，前端路口无视频专网资源，所以本项目前端路口采用租用点对点裸光纤链路方式进行建设，前端路口采用租用点对点裸光纤链路方式接入翠亨新区分局1楼数据中心机房。</w:t>
            </w:r>
          </w:p>
          <w:p w14:paraId="7AA9EE85">
            <w:pPr>
              <w:pStyle w:val="5"/>
              <w:pageBreakBefore w:val="0"/>
              <w:numPr>
                <w:ilvl w:val="2"/>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bookmarkStart w:id="12" w:name="_Toc173501788"/>
            <w:r>
              <w:rPr>
                <w:rFonts w:hint="eastAsia" w:ascii="宋体" w:hAnsi="宋体" w:eastAsia="宋体" w:cs="宋体"/>
                <w:b/>
                <w:bCs/>
                <w:kern w:val="2"/>
                <w:sz w:val="22"/>
                <w:szCs w:val="22"/>
                <w:lang w:val="en-US" w:eastAsia="zh-CN" w:bidi="ar-SA"/>
              </w:rPr>
              <w:t>1.</w:t>
            </w:r>
            <w:bookmarkEnd w:id="12"/>
            <w:bookmarkStart w:id="13" w:name="_Toc173501789"/>
            <w:r>
              <w:rPr>
                <w:rFonts w:hint="eastAsia" w:ascii="宋体" w:hAnsi="宋体" w:eastAsia="宋体" w:cs="宋体"/>
                <w:sz w:val="22"/>
                <w:szCs w:val="22"/>
              </w:rPr>
              <w:t>网络质量要求</w:t>
            </w:r>
            <w:bookmarkEnd w:id="13"/>
          </w:p>
          <w:p w14:paraId="2DEE3EF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传输子系统的网络传输质量应符合如下要求：</w:t>
            </w:r>
          </w:p>
          <w:p w14:paraId="7BC76A65">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1.1网络时延上限值为400ms。</w:t>
            </w:r>
          </w:p>
          <w:p w14:paraId="4E2C4FD0">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1.2时延抖动上限值为50ms。</w:t>
            </w:r>
          </w:p>
          <w:p w14:paraId="27D0AE5A">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1.3丢包率上限值为1×10-3。</w:t>
            </w:r>
          </w:p>
          <w:p w14:paraId="03232DC8">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1.4包误差率上限值为1×10-4。</w:t>
            </w:r>
          </w:p>
          <w:p w14:paraId="7A9B9BC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 w:val="0"/>
                <w:bCs w:val="0"/>
                <w:color w:val="auto"/>
                <w:sz w:val="22"/>
                <w:szCs w:val="22"/>
                <w:highlight w:val="none"/>
                <w:lang w:eastAsia="zh-CN"/>
              </w:rPr>
            </w:pPr>
            <w:r>
              <w:rPr>
                <w:rFonts w:hint="eastAsia" w:ascii="宋体" w:hAnsi="宋体" w:eastAsia="宋体" w:cs="宋体"/>
                <w:kern w:val="2"/>
                <w:sz w:val="22"/>
                <w:szCs w:val="22"/>
                <w:lang w:val="en-US" w:eastAsia="zh-CN" w:bidi="ar-SA"/>
              </w:rPr>
              <w:t>1.5成交供应商需向采购人提供本项目所需的光模块，用于中山市公安局翠亨新区分局1楼数据中心机房交换机与前端监控网点直接对接，需保证通讯距离的交换机单模光模块。所提供的光模块必须与采购人视频网核心交换机兼容，参数能满足实际使用需要。</w:t>
            </w:r>
          </w:p>
        </w:tc>
        <w:tc>
          <w:tcPr>
            <w:tcW w:w="1208" w:type="dxa"/>
          </w:tcPr>
          <w:p w14:paraId="49643AD0">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3C8859A3">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136C72DF">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59AE4B5A">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49E0B77F">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24CBDD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0" w:type="dxa"/>
            <w:vAlign w:val="center"/>
          </w:tcPr>
          <w:p w14:paraId="703AF1B1">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w:t>
            </w:r>
          </w:p>
        </w:tc>
        <w:tc>
          <w:tcPr>
            <w:tcW w:w="660" w:type="dxa"/>
          </w:tcPr>
          <w:p w14:paraId="5CBBAF86">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73715521">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1C255FB6">
            <w:pPr>
              <w:pStyle w:val="4"/>
              <w:pageBreakBefore w:val="0"/>
              <w:numPr>
                <w:ilvl w:val="1"/>
                <w:numId w:val="0"/>
              </w:numPr>
              <w:kinsoku/>
              <w:wordWrap/>
              <w:overflowPunct/>
              <w:topLinePunct w:val="0"/>
              <w:autoSpaceDE/>
              <w:autoSpaceDN/>
              <w:bidi w:val="0"/>
              <w:adjustRightInd/>
              <w:snapToGrid/>
              <w:spacing w:before="0" w:line="360" w:lineRule="auto"/>
              <w:ind w:left="0" w:leftChars="0" w:firstLine="0" w:firstLineChars="0"/>
              <w:textAlignment w:val="auto"/>
              <w:rPr>
                <w:rFonts w:hint="eastAsia" w:ascii="宋体" w:hAnsi="宋体" w:eastAsia="宋体" w:cs="宋体"/>
                <w:b/>
                <w:bCs/>
                <w:sz w:val="22"/>
                <w:szCs w:val="22"/>
              </w:rPr>
            </w:pPr>
            <w:bookmarkStart w:id="14" w:name="_Toc173501790"/>
            <w:r>
              <w:rPr>
                <w:rFonts w:hint="eastAsia" w:ascii="宋体" w:hAnsi="宋体" w:eastAsia="宋体" w:cs="宋体"/>
                <w:b/>
                <w:bCs/>
                <w:kern w:val="2"/>
                <w:sz w:val="22"/>
                <w:szCs w:val="22"/>
                <w:lang w:val="en-US" w:eastAsia="zh-CN" w:bidi="ar-SA"/>
              </w:rPr>
              <w:t>（三）</w:t>
            </w:r>
            <w:r>
              <w:rPr>
                <w:rFonts w:hint="eastAsia" w:ascii="宋体" w:hAnsi="宋体" w:eastAsia="宋体" w:cs="宋体"/>
                <w:b/>
                <w:bCs/>
                <w:sz w:val="22"/>
                <w:szCs w:val="22"/>
              </w:rPr>
              <w:t>后端子系统</w:t>
            </w:r>
            <w:bookmarkEnd w:id="14"/>
          </w:p>
          <w:p w14:paraId="27151508">
            <w:pPr>
              <w:pStyle w:val="5"/>
              <w:pageBreakBefore w:val="0"/>
              <w:numPr>
                <w:ilvl w:val="2"/>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bookmarkStart w:id="15" w:name="_Toc173501791"/>
            <w:r>
              <w:rPr>
                <w:rFonts w:hint="eastAsia" w:ascii="宋体" w:hAnsi="宋体" w:eastAsia="宋体" w:cs="宋体"/>
                <w:b/>
                <w:bCs/>
                <w:kern w:val="2"/>
                <w:sz w:val="22"/>
                <w:szCs w:val="22"/>
                <w:lang w:val="en-US" w:eastAsia="zh-CN" w:bidi="ar-SA"/>
              </w:rPr>
              <w:t>1.</w:t>
            </w:r>
            <w:r>
              <w:rPr>
                <w:rFonts w:hint="eastAsia" w:ascii="宋体" w:hAnsi="宋体" w:eastAsia="宋体" w:cs="宋体"/>
                <w:sz w:val="22"/>
                <w:szCs w:val="22"/>
              </w:rPr>
              <w:t>视频存储</w:t>
            </w:r>
            <w:bookmarkEnd w:id="15"/>
          </w:p>
          <w:p w14:paraId="532FFABA">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1.1</w:t>
            </w:r>
            <w:r>
              <w:rPr>
                <w:rFonts w:hint="eastAsia" w:ascii="宋体" w:hAnsi="宋体" w:eastAsia="宋体" w:cs="宋体"/>
                <w:sz w:val="22"/>
                <w:szCs w:val="22"/>
              </w:rPr>
              <w:t>存储系统要求</w:t>
            </w:r>
          </w:p>
          <w:p w14:paraId="14208472">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根据公安交警实际业务要求实现对视频进行有效管理应用，需建设一个具有稳定可靠、架构清晰、设置简单、易维护升级的视频存储系统和违法数据存储系统。录像资料要求保存不小于30天，违法数据存储时间不小于1年。原存储系统无法满足本项目新增存储需求，需新增一套存储阵列。</w:t>
            </w:r>
          </w:p>
          <w:p w14:paraId="1B73ADB1">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1.2</w:t>
            </w:r>
            <w:r>
              <w:rPr>
                <w:rFonts w:hint="eastAsia" w:ascii="宋体" w:hAnsi="宋体" w:eastAsia="宋体" w:cs="宋体"/>
                <w:sz w:val="22"/>
                <w:szCs w:val="22"/>
              </w:rPr>
              <w:t>系统功能要求</w:t>
            </w:r>
          </w:p>
          <w:p w14:paraId="55DC6BC8">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1.2.1</w:t>
            </w:r>
            <w:r>
              <w:rPr>
                <w:rFonts w:hint="eastAsia" w:ascii="宋体" w:hAnsi="宋体" w:eastAsia="宋体" w:cs="宋体"/>
                <w:b/>
                <w:bCs/>
                <w:sz w:val="22"/>
                <w:szCs w:val="22"/>
              </w:rPr>
              <w:t>视频功能</w:t>
            </w:r>
          </w:p>
          <w:p w14:paraId="73FC4DB8">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(1)要求视频存储系统具备</w:t>
            </w:r>
            <w:r>
              <w:rPr>
                <w:rFonts w:hint="eastAsia" w:ascii="宋体" w:hAnsi="宋体" w:eastAsia="宋体" w:cs="宋体"/>
                <w:kern w:val="2"/>
                <w:sz w:val="22"/>
                <w:szCs w:val="22"/>
                <w:highlight w:val="none"/>
                <w:lang w:val="en-US" w:eastAsia="zh-CN" w:bidi="ar-SA"/>
              </w:rPr>
              <w:t>7天×24</w:t>
            </w:r>
            <w:r>
              <w:rPr>
                <w:rFonts w:hint="eastAsia" w:ascii="宋体" w:hAnsi="宋体" w:eastAsia="宋体" w:cs="宋体"/>
                <w:kern w:val="2"/>
                <w:sz w:val="22"/>
                <w:szCs w:val="22"/>
                <w:lang w:val="en-US" w:eastAsia="zh-CN" w:bidi="ar-SA"/>
              </w:rPr>
              <w:t>小时大码流视频录像、快速检索、回放和管理的功能，同时，对于视频的回放须有相应的优化，比如I帧序列回放等。</w:t>
            </w:r>
          </w:p>
          <w:p w14:paraId="72E0659E">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(2)检索要求支持对录像按照多种方式检索，如按照类型、标签、时间段等方式。</w:t>
            </w:r>
          </w:p>
          <w:p w14:paraId="69C29AE5">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(3)回放要求按照类型、时间、1帧、正序、倒序、倍数等方式进行回放。</w:t>
            </w:r>
          </w:p>
          <w:p w14:paraId="58A0B8DD">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(4)管理要求支持锁定、标注、循环覆盖（时间、空间）等方式进行管理。</w:t>
            </w:r>
          </w:p>
          <w:p w14:paraId="6B15BC76">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1.2.2</w:t>
            </w:r>
            <w:r>
              <w:rPr>
                <w:rFonts w:hint="eastAsia" w:ascii="宋体" w:hAnsi="宋体" w:eastAsia="宋体" w:cs="宋体"/>
                <w:b/>
                <w:bCs/>
                <w:sz w:val="22"/>
                <w:szCs w:val="22"/>
              </w:rPr>
              <w:t>图片功能</w:t>
            </w:r>
          </w:p>
          <w:p w14:paraId="53650D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要求视频存储系统支持图片的高速写入、并发下载、图片压缩、裁剪等功能。</w:t>
            </w:r>
          </w:p>
          <w:p w14:paraId="7ECBC1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下载要求支持按时间段和URL的方式获取图片。</w:t>
            </w:r>
          </w:p>
          <w:p w14:paraId="5F47E8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(3)</w:t>
            </w:r>
            <w:r>
              <w:rPr>
                <w:rFonts w:hint="eastAsia" w:ascii="宋体" w:hAnsi="宋体" w:eastAsia="宋体" w:cs="宋体"/>
                <w:sz w:val="22"/>
                <w:szCs w:val="22"/>
              </w:rPr>
              <w:t>图片压缩要求能支持按照图片尺寸、大小进行压缩。</w:t>
            </w:r>
          </w:p>
          <w:p w14:paraId="0A2C77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(4)</w:t>
            </w:r>
            <w:r>
              <w:rPr>
                <w:rFonts w:hint="eastAsia" w:ascii="宋体" w:hAnsi="宋体" w:eastAsia="宋体" w:cs="宋体"/>
                <w:sz w:val="22"/>
                <w:szCs w:val="22"/>
              </w:rPr>
              <w:t>提供图片直存和非直存两种解决方案，丰富图片存储的多选性。</w:t>
            </w:r>
          </w:p>
          <w:p w14:paraId="2C782BB5">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1.2.3</w:t>
            </w:r>
            <w:r>
              <w:rPr>
                <w:rFonts w:hint="eastAsia" w:ascii="宋体" w:hAnsi="宋体" w:eastAsia="宋体" w:cs="宋体"/>
                <w:b/>
                <w:bCs/>
                <w:sz w:val="22"/>
                <w:szCs w:val="22"/>
              </w:rPr>
              <w:t>文件功能</w:t>
            </w:r>
          </w:p>
          <w:p w14:paraId="0686E3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要求支持文件上传。</w:t>
            </w:r>
          </w:p>
          <w:p w14:paraId="5E868A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要求支持对指定文件检索。</w:t>
            </w:r>
          </w:p>
          <w:p w14:paraId="159F57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(3)</w:t>
            </w:r>
            <w:r>
              <w:rPr>
                <w:rFonts w:hint="eastAsia" w:ascii="宋体" w:hAnsi="宋体" w:eastAsia="宋体" w:cs="宋体"/>
                <w:sz w:val="22"/>
                <w:szCs w:val="22"/>
              </w:rPr>
              <w:t>要求支持对指定文件下载。</w:t>
            </w:r>
          </w:p>
          <w:p w14:paraId="694F32FE">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1.2.4</w:t>
            </w:r>
            <w:r>
              <w:rPr>
                <w:rFonts w:hint="eastAsia" w:ascii="宋体" w:hAnsi="宋体" w:eastAsia="宋体" w:cs="宋体"/>
                <w:b/>
                <w:bCs/>
                <w:sz w:val="22"/>
                <w:szCs w:val="22"/>
              </w:rPr>
              <w:t>运维管理功能</w:t>
            </w:r>
          </w:p>
          <w:p w14:paraId="7FA8A2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要求支持对系统的运行状态、存储使用情况进行监控。</w:t>
            </w:r>
          </w:p>
          <w:p w14:paraId="573F51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要求对软硬件异常状态报警，便于用户处理。</w:t>
            </w:r>
          </w:p>
          <w:p w14:paraId="26C9CF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(3)</w:t>
            </w:r>
            <w:r>
              <w:rPr>
                <w:rFonts w:hint="eastAsia" w:ascii="宋体" w:hAnsi="宋体" w:eastAsia="宋体" w:cs="宋体"/>
                <w:sz w:val="22"/>
                <w:szCs w:val="22"/>
              </w:rPr>
              <w:t>要求对故障报警进行统计。</w:t>
            </w:r>
          </w:p>
          <w:p w14:paraId="372709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(4)</w:t>
            </w:r>
            <w:r>
              <w:rPr>
                <w:rFonts w:hint="eastAsia" w:ascii="宋体" w:hAnsi="宋体" w:eastAsia="宋体" w:cs="宋体"/>
                <w:sz w:val="22"/>
                <w:szCs w:val="22"/>
              </w:rPr>
              <w:t>要求对录像情况进行按天、按月展示。</w:t>
            </w:r>
          </w:p>
          <w:p w14:paraId="3424AAC7">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1.2.5</w:t>
            </w:r>
            <w:r>
              <w:rPr>
                <w:rFonts w:hint="eastAsia" w:ascii="宋体" w:hAnsi="宋体" w:eastAsia="宋体" w:cs="宋体"/>
                <w:b/>
                <w:bCs/>
                <w:sz w:val="22"/>
                <w:szCs w:val="22"/>
              </w:rPr>
              <w:t>系统管理功能</w:t>
            </w:r>
          </w:p>
          <w:p w14:paraId="338B7F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要求统一服务接口，系统</w:t>
            </w:r>
            <w:r>
              <w:rPr>
                <w:rFonts w:hint="eastAsia" w:ascii="宋体" w:hAnsi="宋体" w:eastAsia="宋体" w:cs="宋体"/>
                <w:sz w:val="22"/>
                <w:szCs w:val="22"/>
                <w:lang w:val="en-US" w:eastAsia="zh-CN"/>
              </w:rPr>
              <w:t>需</w:t>
            </w:r>
            <w:r>
              <w:rPr>
                <w:rFonts w:hint="eastAsia" w:ascii="宋体" w:hAnsi="宋体" w:eastAsia="宋体" w:cs="宋体"/>
                <w:sz w:val="22"/>
                <w:szCs w:val="22"/>
              </w:rPr>
              <w:t>提供统一的服务接口便于与应用平台进行对接。</w:t>
            </w:r>
          </w:p>
          <w:p w14:paraId="5511E3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要求提供统一的管理界面，通过管理界面能进行存储设备和资源的配置。</w:t>
            </w:r>
          </w:p>
          <w:p w14:paraId="0457470A">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1.2.6</w:t>
            </w:r>
            <w:r>
              <w:rPr>
                <w:rFonts w:hint="eastAsia" w:ascii="宋体" w:hAnsi="宋体" w:eastAsia="宋体" w:cs="宋体"/>
                <w:b/>
                <w:bCs/>
                <w:sz w:val="22"/>
                <w:szCs w:val="22"/>
              </w:rPr>
              <w:t>系统对接功能</w:t>
            </w:r>
          </w:p>
          <w:p w14:paraId="23165C3F">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视频和过车数据存储在翠亨新区交警大队集成扩容平台，存储在交警大队集成扩容平台的视频和过车数据通过HTTP传输协议推送到中山市公安局交警支队集成扩容平台。原系统已实现翠亨新区（南朗街道）现有电警路口的数据接入，本</w:t>
            </w:r>
            <w:r>
              <w:rPr>
                <w:rFonts w:hint="eastAsia" w:ascii="宋体" w:hAnsi="宋体" w:eastAsia="宋体" w:cs="宋体"/>
                <w:sz w:val="22"/>
                <w:szCs w:val="22"/>
                <w:lang w:val="en-US" w:eastAsia="zh-CN"/>
              </w:rPr>
              <w:t>项目</w:t>
            </w:r>
            <w:r>
              <w:rPr>
                <w:rFonts w:hint="eastAsia" w:ascii="宋体" w:hAnsi="宋体" w:eastAsia="宋体" w:cs="宋体"/>
                <w:sz w:val="22"/>
                <w:szCs w:val="22"/>
              </w:rPr>
              <w:t>只需增加新增3个路口的平台接入授权。</w:t>
            </w:r>
          </w:p>
          <w:p w14:paraId="5373371F">
            <w:pPr>
              <w:pStyle w:val="5"/>
              <w:pageBreakBefore w:val="0"/>
              <w:numPr>
                <w:ilvl w:val="2"/>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bookmarkStart w:id="16" w:name="_Toc173501792"/>
            <w:r>
              <w:rPr>
                <w:rFonts w:hint="eastAsia" w:ascii="宋体" w:hAnsi="宋体" w:eastAsia="宋体" w:cs="宋体"/>
                <w:b/>
                <w:bCs/>
                <w:kern w:val="2"/>
                <w:sz w:val="22"/>
                <w:szCs w:val="22"/>
                <w:lang w:val="en-US" w:eastAsia="zh-CN" w:bidi="ar-SA"/>
              </w:rPr>
              <w:t>2.</w:t>
            </w:r>
            <w:r>
              <w:rPr>
                <w:rFonts w:hint="eastAsia" w:ascii="宋体" w:hAnsi="宋体" w:eastAsia="宋体" w:cs="宋体"/>
                <w:sz w:val="22"/>
                <w:szCs w:val="22"/>
              </w:rPr>
              <w:t>服务器扩容升级</w:t>
            </w:r>
            <w:bookmarkEnd w:id="16"/>
          </w:p>
          <w:p w14:paraId="0DB60E69">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2.1</w:t>
            </w:r>
            <w:r>
              <w:rPr>
                <w:rFonts w:hint="eastAsia" w:ascii="宋体" w:hAnsi="宋体" w:eastAsia="宋体" w:cs="宋体"/>
                <w:sz w:val="22"/>
                <w:szCs w:val="22"/>
              </w:rPr>
              <w:t>中心管理单元</w:t>
            </w:r>
          </w:p>
          <w:p w14:paraId="5C1D655B">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本</w:t>
            </w:r>
            <w:r>
              <w:rPr>
                <w:rFonts w:hint="eastAsia" w:ascii="宋体" w:hAnsi="宋体" w:eastAsia="宋体" w:cs="宋体"/>
                <w:sz w:val="22"/>
                <w:szCs w:val="22"/>
                <w:lang w:val="en-US" w:eastAsia="zh-CN"/>
              </w:rPr>
              <w:t>项目</w:t>
            </w:r>
            <w:r>
              <w:rPr>
                <w:rFonts w:hint="eastAsia" w:ascii="宋体" w:hAnsi="宋体" w:eastAsia="宋体" w:cs="宋体"/>
                <w:sz w:val="22"/>
                <w:szCs w:val="22"/>
              </w:rPr>
              <w:t>利旧原有中心管理服务器，新增1台中心管理扩容单元，并增加相应的平台扩容授权，提高系统对交通违法信息、车辆通行信息（卡口信息）、设备运行状态信息、日志信息等数据处理的综合能力。</w:t>
            </w:r>
          </w:p>
          <w:p w14:paraId="1BCA3CC0">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中心管理扩容单元参数要求详见“主要设备参数要求”。</w:t>
            </w:r>
          </w:p>
          <w:p w14:paraId="7A007B07">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2.2</w:t>
            </w:r>
            <w:r>
              <w:rPr>
                <w:rFonts w:hint="eastAsia" w:ascii="宋体" w:hAnsi="宋体" w:eastAsia="宋体" w:cs="宋体"/>
                <w:sz w:val="22"/>
                <w:szCs w:val="22"/>
              </w:rPr>
              <w:t>对接管理单元</w:t>
            </w:r>
          </w:p>
          <w:p w14:paraId="0CCE9F00">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本</w:t>
            </w:r>
            <w:r>
              <w:rPr>
                <w:rFonts w:hint="eastAsia" w:ascii="宋体" w:hAnsi="宋体" w:eastAsia="宋体" w:cs="宋体"/>
                <w:sz w:val="22"/>
                <w:szCs w:val="22"/>
                <w:lang w:val="en-US" w:eastAsia="zh-CN"/>
              </w:rPr>
              <w:t>项目</w:t>
            </w:r>
            <w:r>
              <w:rPr>
                <w:rFonts w:hint="eastAsia" w:ascii="宋体" w:hAnsi="宋体" w:eastAsia="宋体" w:cs="宋体"/>
                <w:sz w:val="22"/>
                <w:szCs w:val="22"/>
              </w:rPr>
              <w:t>利旧原有对接管理单元，用于上传车辆通行信息至中山市公安局车辆库。</w:t>
            </w:r>
          </w:p>
          <w:p w14:paraId="6A0C41D7">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2.3</w:t>
            </w:r>
            <w:r>
              <w:rPr>
                <w:rFonts w:hint="eastAsia" w:ascii="宋体" w:hAnsi="宋体" w:eastAsia="宋体" w:cs="宋体"/>
                <w:sz w:val="22"/>
                <w:szCs w:val="22"/>
              </w:rPr>
              <w:t>流媒体管理单元</w:t>
            </w:r>
          </w:p>
          <w:p w14:paraId="150E63F6">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 w:val="0"/>
                <w:bCs w:val="0"/>
                <w:color w:val="auto"/>
                <w:sz w:val="22"/>
                <w:szCs w:val="22"/>
                <w:highlight w:val="none"/>
                <w:lang w:eastAsia="zh-CN"/>
              </w:rPr>
            </w:pPr>
            <w:r>
              <w:rPr>
                <w:rFonts w:hint="eastAsia" w:ascii="宋体" w:hAnsi="宋体" w:eastAsia="宋体" w:cs="宋体"/>
                <w:sz w:val="22"/>
                <w:szCs w:val="22"/>
              </w:rPr>
              <w:t>本</w:t>
            </w:r>
            <w:r>
              <w:rPr>
                <w:rFonts w:hint="eastAsia" w:ascii="宋体" w:hAnsi="宋体" w:eastAsia="宋体" w:cs="宋体"/>
                <w:sz w:val="22"/>
                <w:szCs w:val="22"/>
                <w:lang w:val="en-US" w:eastAsia="zh-CN"/>
              </w:rPr>
              <w:t>项目</w:t>
            </w:r>
            <w:r>
              <w:rPr>
                <w:rFonts w:hint="eastAsia" w:ascii="宋体" w:hAnsi="宋体" w:eastAsia="宋体" w:cs="宋体"/>
                <w:sz w:val="22"/>
                <w:szCs w:val="22"/>
              </w:rPr>
              <w:t>利旧原有流媒体管理单元，用作专门负责各客户端与系统平台间的视频数据交换的流媒体管理单元。各客户端均向系统数据库提取数据。</w:t>
            </w:r>
          </w:p>
        </w:tc>
        <w:tc>
          <w:tcPr>
            <w:tcW w:w="1208" w:type="dxa"/>
          </w:tcPr>
          <w:p w14:paraId="7D95E7DE">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01F10AC6">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5D298148">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6BE5A4E1">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11C6C189">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11660F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0" w:type="dxa"/>
            <w:vAlign w:val="center"/>
          </w:tcPr>
          <w:p w14:paraId="6B1D5268">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w:t>
            </w:r>
          </w:p>
        </w:tc>
        <w:tc>
          <w:tcPr>
            <w:tcW w:w="660" w:type="dxa"/>
          </w:tcPr>
          <w:p w14:paraId="1731547A">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736DD9D8">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3D9E3757">
            <w:pPr>
              <w:pStyle w:val="5"/>
              <w:pageBreakBefore w:val="0"/>
              <w:numPr>
                <w:ilvl w:val="2"/>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bookmarkStart w:id="17" w:name="_Toc173501793"/>
            <w:r>
              <w:rPr>
                <w:rFonts w:hint="eastAsia" w:ascii="宋体" w:hAnsi="宋体" w:eastAsia="宋体" w:cs="宋体"/>
                <w:b/>
                <w:bCs/>
                <w:kern w:val="2"/>
                <w:sz w:val="22"/>
                <w:szCs w:val="22"/>
                <w:lang w:val="en-US" w:eastAsia="zh-CN" w:bidi="ar-SA"/>
              </w:rPr>
              <w:t>3.</w:t>
            </w:r>
            <w:r>
              <w:rPr>
                <w:rFonts w:hint="eastAsia" w:ascii="宋体" w:hAnsi="宋体" w:eastAsia="宋体" w:cs="宋体"/>
                <w:sz w:val="22"/>
                <w:szCs w:val="22"/>
              </w:rPr>
              <w:t>机房配套设计</w:t>
            </w:r>
            <w:bookmarkEnd w:id="17"/>
          </w:p>
          <w:p w14:paraId="09AF21F7">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3.1</w:t>
            </w:r>
            <w:r>
              <w:rPr>
                <w:rFonts w:hint="eastAsia" w:ascii="宋体" w:hAnsi="宋体" w:eastAsia="宋体" w:cs="宋体"/>
                <w:sz w:val="22"/>
                <w:szCs w:val="22"/>
              </w:rPr>
              <w:t>线材整理</w:t>
            </w:r>
          </w:p>
          <w:p w14:paraId="3A6AA2D7">
            <w:pPr>
              <w:pStyle w:val="8"/>
              <w:pageBreakBefore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3.1.1</w:t>
            </w:r>
            <w:r>
              <w:rPr>
                <w:rFonts w:hint="eastAsia" w:ascii="宋体" w:hAnsi="宋体" w:eastAsia="宋体" w:cs="宋体"/>
                <w:b/>
                <w:bCs/>
                <w:sz w:val="22"/>
                <w:szCs w:val="22"/>
              </w:rPr>
              <w:t>设备安装及走线要求</w:t>
            </w:r>
          </w:p>
          <w:p w14:paraId="11B45972">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（1）设备安装</w:t>
            </w:r>
          </w:p>
          <w:p w14:paraId="7AEBE2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①</w:t>
            </w:r>
            <w:r>
              <w:rPr>
                <w:rFonts w:hint="eastAsia" w:ascii="宋体" w:hAnsi="宋体" w:eastAsia="宋体" w:cs="宋体"/>
                <w:sz w:val="22"/>
                <w:szCs w:val="22"/>
              </w:rPr>
              <w:t>所有新增机架式设备均安</w:t>
            </w:r>
            <w:r>
              <w:rPr>
                <w:rFonts w:hint="eastAsia" w:ascii="宋体" w:hAnsi="宋体" w:eastAsia="宋体" w:cs="宋体"/>
                <w:sz w:val="22"/>
                <w:szCs w:val="22"/>
                <w:lang w:eastAsia="zh-CN"/>
              </w:rPr>
              <w:t>装在</w:t>
            </w:r>
            <w:r>
              <w:rPr>
                <w:rFonts w:hint="eastAsia" w:ascii="宋体" w:hAnsi="宋体" w:eastAsia="宋体" w:cs="宋体"/>
                <w:sz w:val="22"/>
                <w:szCs w:val="22"/>
              </w:rPr>
              <w:t>翠亨</w:t>
            </w:r>
            <w:r>
              <w:rPr>
                <w:rFonts w:hint="eastAsia" w:ascii="宋体" w:hAnsi="宋体" w:eastAsia="宋体" w:cs="宋体"/>
                <w:sz w:val="22"/>
                <w:szCs w:val="22"/>
                <w:lang w:val="en-US" w:eastAsia="zh-CN"/>
              </w:rPr>
              <w:t>新区</w:t>
            </w:r>
            <w:r>
              <w:rPr>
                <w:rFonts w:hint="eastAsia" w:ascii="宋体" w:hAnsi="宋体" w:eastAsia="宋体" w:cs="宋体"/>
                <w:sz w:val="22"/>
                <w:szCs w:val="22"/>
              </w:rPr>
              <w:t>公安分局1楼机房的机柜中，要求设备之间必须预留足够的空间进行散热。</w:t>
            </w:r>
          </w:p>
          <w:p w14:paraId="4238FD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②</w:t>
            </w:r>
            <w:r>
              <w:rPr>
                <w:rFonts w:hint="eastAsia" w:ascii="宋体" w:hAnsi="宋体" w:eastAsia="宋体" w:cs="宋体"/>
                <w:sz w:val="22"/>
                <w:szCs w:val="22"/>
              </w:rPr>
              <w:t>所有设备须按照设备安装手册执行，安装完毕后进行加电调测。</w:t>
            </w:r>
          </w:p>
          <w:p w14:paraId="598B96E4">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（2）设备引电接地</w:t>
            </w:r>
          </w:p>
          <w:p w14:paraId="5C7166D1">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kern w:val="2"/>
                <w:sz w:val="22"/>
                <w:szCs w:val="22"/>
                <w:lang w:val="en-US" w:eastAsia="zh-CN" w:bidi="ar-SA"/>
              </w:rPr>
              <w:t>①</w:t>
            </w:r>
            <w:r>
              <w:rPr>
                <w:rFonts w:hint="eastAsia" w:ascii="宋体" w:hAnsi="宋体" w:eastAsia="宋体" w:cs="宋体"/>
                <w:sz w:val="22"/>
                <w:szCs w:val="22"/>
              </w:rPr>
              <w:t>新增设备采用原装交流电源线从机架交流电源插座上引电</w:t>
            </w:r>
            <w:r>
              <w:rPr>
                <w:rFonts w:hint="eastAsia" w:ascii="宋体" w:hAnsi="宋体" w:eastAsia="宋体" w:cs="宋体"/>
                <w:sz w:val="22"/>
                <w:szCs w:val="22"/>
                <w:lang w:eastAsia="zh-CN"/>
              </w:rPr>
              <w:t>。</w:t>
            </w:r>
          </w:p>
          <w:p w14:paraId="21D955C2">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②</w:t>
            </w:r>
            <w:r>
              <w:rPr>
                <w:rFonts w:hint="eastAsia" w:ascii="宋体" w:hAnsi="宋体" w:eastAsia="宋体" w:cs="宋体"/>
                <w:sz w:val="22"/>
                <w:szCs w:val="22"/>
              </w:rPr>
              <w:t>新增设备采用ZR-BVR-4mm</w:t>
            </w:r>
            <w:r>
              <w:rPr>
                <w:rFonts w:hint="eastAsia" w:ascii="宋体" w:hAnsi="宋体" w:eastAsia="宋体" w:cs="宋体"/>
                <w:sz w:val="22"/>
                <w:szCs w:val="22"/>
                <w:vertAlign w:val="superscript"/>
              </w:rPr>
              <w:t>2</w:t>
            </w:r>
            <w:r>
              <w:rPr>
                <w:rFonts w:hint="eastAsia" w:ascii="宋体" w:hAnsi="宋体" w:eastAsia="宋体" w:cs="宋体"/>
                <w:sz w:val="22"/>
                <w:szCs w:val="22"/>
              </w:rPr>
              <w:t>保护地线连接到机柜保护地排，达到保护设备的作用。</w:t>
            </w:r>
          </w:p>
          <w:p w14:paraId="01CA4119">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（3）线缆的布放</w:t>
            </w:r>
          </w:p>
          <w:p w14:paraId="07B8EB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①</w:t>
            </w:r>
            <w:r>
              <w:rPr>
                <w:rFonts w:hint="eastAsia" w:ascii="宋体" w:hAnsi="宋体" w:eastAsia="宋体" w:cs="宋体"/>
                <w:sz w:val="22"/>
                <w:szCs w:val="22"/>
              </w:rPr>
              <w:t>光跳线两端的余留长度应统一并且符合工艺要求。</w:t>
            </w:r>
          </w:p>
          <w:p w14:paraId="551061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②</w:t>
            </w:r>
            <w:r>
              <w:rPr>
                <w:rFonts w:hint="eastAsia" w:ascii="宋体" w:hAnsi="宋体" w:eastAsia="宋体" w:cs="宋体"/>
                <w:sz w:val="22"/>
                <w:szCs w:val="22"/>
              </w:rPr>
              <w:t>槽道内光跳线拐弯处的曲率半径应不小于40mm。</w:t>
            </w:r>
          </w:p>
          <w:p w14:paraId="014ECF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③</w:t>
            </w:r>
            <w:r>
              <w:rPr>
                <w:rFonts w:hint="eastAsia" w:ascii="宋体" w:hAnsi="宋体" w:eastAsia="宋体" w:cs="宋体"/>
                <w:sz w:val="22"/>
                <w:szCs w:val="22"/>
              </w:rPr>
              <w:t>光跳线在槽道内或走线架上敷设应加套管或者线槽保护。无套管保护部分宜用活扣扎带绑扎，扎带不宜过紧。光跳线应保持自然顺直，无扭绞现象。</w:t>
            </w:r>
          </w:p>
          <w:p w14:paraId="3E6E5C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④</w:t>
            </w:r>
            <w:r>
              <w:rPr>
                <w:rFonts w:hint="eastAsia" w:ascii="宋体" w:hAnsi="宋体" w:eastAsia="宋体" w:cs="宋体"/>
                <w:sz w:val="22"/>
                <w:szCs w:val="22"/>
              </w:rPr>
              <w:t>光跳线上方不得有重物压迫。</w:t>
            </w:r>
          </w:p>
          <w:p w14:paraId="3998F3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⑤</w:t>
            </w:r>
            <w:r>
              <w:rPr>
                <w:rFonts w:hint="eastAsia" w:ascii="宋体" w:hAnsi="宋体" w:eastAsia="宋体" w:cs="宋体"/>
                <w:sz w:val="22"/>
                <w:szCs w:val="22"/>
              </w:rPr>
              <w:t>应避免用肉眼直视设备光接口，以免灼伤眼睛。</w:t>
            </w:r>
          </w:p>
          <w:p w14:paraId="61647B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⑥</w:t>
            </w:r>
            <w:r>
              <w:rPr>
                <w:rFonts w:hint="eastAsia" w:ascii="宋体" w:hAnsi="宋体" w:eastAsia="宋体" w:cs="宋体"/>
                <w:sz w:val="22"/>
                <w:szCs w:val="22"/>
              </w:rPr>
              <w:t>光跳线与设备的连接应紧密，并且应有统一、清楚的标识。</w:t>
            </w:r>
          </w:p>
          <w:p w14:paraId="1B0CDB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⑦</w:t>
            </w:r>
            <w:r>
              <w:rPr>
                <w:rFonts w:hint="eastAsia" w:ascii="宋体" w:hAnsi="宋体" w:eastAsia="宋体" w:cs="宋体"/>
                <w:sz w:val="22"/>
                <w:szCs w:val="22"/>
              </w:rPr>
              <w:t>信号线布放和捆扎需整齐美观。</w:t>
            </w:r>
          </w:p>
          <w:p w14:paraId="2568C6B8">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3.2</w:t>
            </w:r>
            <w:r>
              <w:rPr>
                <w:rFonts w:hint="eastAsia" w:ascii="宋体" w:hAnsi="宋体" w:eastAsia="宋体" w:cs="宋体"/>
                <w:sz w:val="22"/>
                <w:szCs w:val="22"/>
              </w:rPr>
              <w:t>设备线缆施工要求</w:t>
            </w:r>
          </w:p>
          <w:p w14:paraId="2542175F">
            <w:pPr>
              <w:pStyle w:val="8"/>
              <w:pageBreakBefore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3.2.1</w:t>
            </w:r>
            <w:r>
              <w:rPr>
                <w:rFonts w:hint="eastAsia" w:ascii="宋体" w:hAnsi="宋体" w:eastAsia="宋体" w:cs="宋体"/>
                <w:b/>
                <w:bCs/>
                <w:sz w:val="22"/>
                <w:szCs w:val="22"/>
              </w:rPr>
              <w:t>线缆施工要求</w:t>
            </w:r>
          </w:p>
          <w:p w14:paraId="5BFF93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（1）布放电缆时，应按照现场实际需要进行电缆的裁剪；应布放一条，裁剪一条，以便合理使用电缆；制作电缆接头时，应根据具体设备接头类型制作相应的接头。</w:t>
            </w:r>
          </w:p>
          <w:p w14:paraId="2317F0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2）布放电缆时应严格执行施工规范。信号电缆与电力电缆分开布放，信号缆线与电源线缆不允许在同一线槽布放，在同一竖井或槽道中布放必须分隔开，电力电缆采用金属管/槽保护，并注意电缆的绑扎。穿越楼层或隔墙布放缆线后，必须采用不燃烧材料对穿越的孔/洞封堵严密。</w:t>
            </w:r>
          </w:p>
          <w:p w14:paraId="7D7B3B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3）新布信号电缆两端应做标签，应清晰注明本端和对端所连设备。同时标签应在不用拨动线缆的情况下，可让维护人员清晰查看到所标注的本端和对端连接设备信息。此外，如果线缆有改动，应在改动结束后更新标签，以确保标签信息的正确性，方便日后维护。</w:t>
            </w:r>
          </w:p>
          <w:p w14:paraId="338FDD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（4）电源线的安装路由、路数及布放位置应符合设计方案施工图的规定，电源线的规格、开关（熔丝）的容量均应符合设计要求。不同电压等级、相位电源线应有不同颜色区分，并用标签进行标识。</w:t>
            </w:r>
          </w:p>
          <w:p w14:paraId="1E0B9F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（5）电源设备通电前应确认正负极连接准确无误，无短路、反极、漏电等故障。</w:t>
            </w:r>
          </w:p>
          <w:p w14:paraId="4CEB40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（6）工程施工时应做好防火安全工作。工程使用的电缆必须采用阻燃电缆，各种线缆应购买合格产品，施工完毕后应及时清理多余的材料。</w:t>
            </w:r>
          </w:p>
          <w:p w14:paraId="20A5B8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（7）机房设备的排水管不能与电源线同槽敷设或交叉穿越，确实无法避免同槽或交叉的必须采取可靠的防渗漏防潮措施。</w:t>
            </w:r>
          </w:p>
          <w:p w14:paraId="01F625D8">
            <w:pPr>
              <w:pStyle w:val="8"/>
              <w:pageBreakBefore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3.2.2</w:t>
            </w:r>
            <w:r>
              <w:rPr>
                <w:rFonts w:hint="eastAsia" w:ascii="宋体" w:hAnsi="宋体" w:eastAsia="宋体" w:cs="宋体"/>
                <w:b/>
                <w:bCs/>
                <w:sz w:val="22"/>
                <w:szCs w:val="22"/>
              </w:rPr>
              <w:t>其他施工要求</w:t>
            </w:r>
          </w:p>
          <w:p w14:paraId="628BA4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走线：电源线、地线、信号线缆的走线路由需符合设计方案和磋商文件要求。各种电缆分开布放，电缆的走向清晰、顺直，相互间不得交叉，捆扎牢固，松紧适度。机柜间电缆、连接其他设备的电缆应牢固地捆扎在走线架上。在走线架内，电源线和其他非屏蔽电缆平行走线的间距应大于100mm。在墙面、地板下布线时应安装线槽。标准化机柜内部线缆通过机柜内走线柱和走线槽布放。</w:t>
            </w:r>
          </w:p>
          <w:p w14:paraId="701853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2）电缆必须绑扎，绑扎后的电缆应互相紧密靠拢，外观平直整齐。电缆表面形成的平面高度差应不超过5mm，电缆表面形成的垂面垂度差应不超过5mm。机柜外的线缆，离开机柜及馈线窗1m以外不允许有交叉，1m以内允许交叉，但不得缠绕和扭绞。线扣规格合适。电缆束的截面越大，所用线扣越长越宽(确保能够承受较大拉力)，尽量避免线扣的串联使用，线扣串联使用时最多不超过两根。线缆固定在走线架横铁上，线扣间距均匀美观，确保线不松动，间距与走线架间隔一致，一般为300～700mm。多余线扣应剪除，所有线扣必须齐根剪平不拉尖，室外采用黑色扎带。电源线(包括地线)与信号线分列在走线架的两侧。线缆表面清洁，无施工记号，护套绝缘层无破损及划伤。</w:t>
            </w:r>
          </w:p>
          <w:p w14:paraId="765CE4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3）连接：线缆剖头不得伤及芯线。在剖头处套上合适的套管或缠绕绝缘胶带，颜色与线缆尽量保持一致(黄绿色保护线除外)。同类线缆剖头长度、套管或缠绕绝缘胶带长度尽量保持一致，偏差不超过5mm。焊线不得出现活头、假焊、漏焊、错焊、混线等，芯线与端子紧密贴合。焊点不带尖、无瘤形，不得烫伤芯线绝缘层，露铜应小于等于2mm。各种电缆连接正确，整齐美观。线缆与铜排连接时，需将铜排表面打磨以去除氧化层。</w:t>
            </w:r>
          </w:p>
          <w:p w14:paraId="1E884D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4）电源线、接地线：电源线、接地线应用整段线料，不得在电缆中间做接头或焊点。线径与设计容量相符，布放路由符合设计文件要求，多余长度应裁剪。电源线、接地线端子型号和线缆直径相符，芯线剪切齐整，不得剪除部分芯线后用小号压线端子压接。电源线、接地线压接应牢固，芯线在端子中不可摇动。电源线、接地线接线端子压接部分应加热缩套管或缠绕至少两层绝缘胶带，不得将裸线和铜鼻子鼻身露于外部。机架门保护地线连接牢固，没有缺少、松动和脱落现象。接地铜线端子应采用铜鼻子，用螺母紧固搭接；地线各连接处应实行可靠搭接和防锈、防腐蚀处理。所有连接到汇接铜排的地线在满足布线基本要求的基础上应选择最短路由。</w:t>
            </w:r>
          </w:p>
          <w:p w14:paraId="651782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5）数字中继电缆线缆拐弯应均匀、圆滑一致，其弯曲半径应大于等于60mm。地排上的接地铜线端子应采用铜鼻子，用螺母紧固搭接；地线各连接处应实行可靠搭接和防锈、防腐蚀处理。所有连接到汇接铜排的地线长度在满足布线基本要求的基础上选择最短路由。</w:t>
            </w:r>
          </w:p>
          <w:p w14:paraId="3DAA31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6）电源线与电源分配柜接线端子连接，必须采用铜鼻子与接线端子连接，并且用螺丝加固，接触良好。电源线、接地线端子型号和线缆直径相符，芯线剪切齐整，不得剪除部分芯线后用小号压线端子压接。电源线、接地线压接应牢固，芯线在端子中不可摇动。电源线、接地线接线端子压接部分应加热缩套管或缠绕至少两层绝缘胶带，不得将裸线和铜鼻子鼻身露于外部。电源线与机柜输入接线端子连接，必须连接可靠，接触良好。电源线布线应整齐美观，转弯处要有弧度，弯曲半径应大于50mm(不小于线缆外径的20倍)，且保持一致。压接电源线、地线接线端子时，每只螺栓最多压接两个接线端子，且两个端子应交叉摆放，鼻身不得重叠(室内接地排上保护接地严禁与其他设备共用接地点)。当电源线及地线接至电源接线端子时，应用工具钳拧出走线形状，走线应平直、绑扎整齐。连线时，连线较远的接线端子所连电线应布放于外侧；连线较近的接线端子所连的电线应布放于内侧。在架内走线时，应分开绑扎，不得与其他电缆混扎在一起，在走线槽或地沟等架外走线时也应分别绑扎。电源线及地线应从机柜两侧固定架内部穿过，绑扎于固定架外侧内沿。线扣应位于固定架外侧。直流线与信号线至少在100mm以上；交流电缆与信号线水平隔离应大于200mm。电源接线铜鼻贴面应与机柜接线板平滑、紧密接触，电源线进机柜方式应与走线方式一致，即上走线电源应接在机柜上部，下走线电源应接在机柜下部。</w:t>
            </w:r>
          </w:p>
          <w:p w14:paraId="6EB898AF">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3.3</w:t>
            </w:r>
            <w:r>
              <w:rPr>
                <w:rFonts w:hint="eastAsia" w:ascii="宋体" w:hAnsi="宋体" w:eastAsia="宋体" w:cs="宋体"/>
                <w:sz w:val="22"/>
                <w:szCs w:val="22"/>
              </w:rPr>
              <w:t>机房设备抗震加固要求</w:t>
            </w:r>
          </w:p>
          <w:p w14:paraId="7F76DB4F">
            <w:pPr>
              <w:pStyle w:val="8"/>
              <w:pageBreakBefore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3.3.1</w:t>
            </w:r>
            <w:r>
              <w:rPr>
                <w:rFonts w:hint="eastAsia" w:ascii="宋体" w:hAnsi="宋体" w:eastAsia="宋体" w:cs="宋体"/>
                <w:b/>
                <w:bCs/>
                <w:sz w:val="22"/>
                <w:szCs w:val="22"/>
              </w:rPr>
              <w:t>抗震加固</w:t>
            </w:r>
          </w:p>
          <w:p w14:paraId="2F52725C">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本期设备机房参考规范《建筑工程抗震设防分类标准》（GB50223-2008）和《通信建筑抗震设防分类标准》（YD5054－2010）采用标准设防类（丙类）设防要求。本期设备的抗震设防措施根据下</w:t>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REF _Ref159229871 \h  \* MERGEFORMAT </w:instrText>
            </w:r>
            <w:r>
              <w:rPr>
                <w:rFonts w:hint="eastAsia" w:ascii="宋体" w:hAnsi="宋体" w:eastAsia="宋体" w:cs="宋体"/>
                <w:sz w:val="22"/>
                <w:szCs w:val="22"/>
              </w:rPr>
              <w:fldChar w:fldCharType="separate"/>
            </w:r>
            <w:r>
              <w:rPr>
                <w:rFonts w:hint="eastAsia" w:ascii="宋体" w:hAnsi="宋体" w:eastAsia="宋体" w:cs="宋体"/>
                <w:sz w:val="22"/>
                <w:szCs w:val="22"/>
              </w:rPr>
              <w:t>表</w:t>
            </w:r>
            <w:r>
              <w:rPr>
                <w:rFonts w:hint="eastAsia" w:ascii="宋体" w:hAnsi="宋体" w:eastAsia="宋体" w:cs="宋体"/>
                <w:sz w:val="22"/>
                <w:szCs w:val="22"/>
              </w:rPr>
              <w:fldChar w:fldCharType="end"/>
            </w:r>
            <w:r>
              <w:rPr>
                <w:rFonts w:hint="eastAsia" w:ascii="宋体" w:hAnsi="宋体" w:eastAsia="宋体" w:cs="宋体"/>
                <w:sz w:val="22"/>
                <w:szCs w:val="22"/>
              </w:rPr>
              <w:t>“本</w:t>
            </w:r>
            <w:r>
              <w:rPr>
                <w:rFonts w:hint="eastAsia" w:ascii="宋体" w:hAnsi="宋体" w:eastAsia="宋体" w:cs="宋体"/>
                <w:sz w:val="22"/>
                <w:szCs w:val="22"/>
                <w:lang w:val="en-US" w:eastAsia="zh-CN"/>
              </w:rPr>
              <w:t>项目</w:t>
            </w:r>
            <w:r>
              <w:rPr>
                <w:rFonts w:hint="eastAsia" w:ascii="宋体" w:hAnsi="宋体" w:eastAsia="宋体" w:cs="宋体"/>
                <w:sz w:val="22"/>
                <w:szCs w:val="22"/>
              </w:rPr>
              <w:t>抗震措施抗震设防烈度表”所示：</w:t>
            </w:r>
          </w:p>
          <w:p w14:paraId="40FAFB28">
            <w:pPr>
              <w:pStyle w:val="10"/>
              <w:keepNext/>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2"/>
              </w:rPr>
            </w:pPr>
            <w:r>
              <w:rPr>
                <w:rFonts w:hint="eastAsia" w:ascii="宋体" w:hAnsi="宋体" w:eastAsia="宋体" w:cs="宋体"/>
                <w:sz w:val="22"/>
                <w:szCs w:val="22"/>
              </w:rPr>
              <w:t>本</w:t>
            </w:r>
            <w:r>
              <w:rPr>
                <w:rFonts w:hint="eastAsia" w:ascii="宋体" w:hAnsi="宋体" w:eastAsia="宋体" w:cs="宋体"/>
                <w:sz w:val="22"/>
                <w:szCs w:val="22"/>
                <w:lang w:val="en-US" w:eastAsia="zh-CN"/>
              </w:rPr>
              <w:t>项目</w:t>
            </w:r>
            <w:r>
              <w:rPr>
                <w:rFonts w:hint="eastAsia" w:ascii="宋体" w:hAnsi="宋体" w:eastAsia="宋体" w:cs="宋体"/>
                <w:sz w:val="22"/>
                <w:szCs w:val="22"/>
              </w:rPr>
              <w:t>抗震措施抗震设防烈度表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187"/>
              <w:gridCol w:w="1979"/>
              <w:gridCol w:w="4146"/>
            </w:tblGrid>
            <w:tr w14:paraId="650B0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436" w:type="pct"/>
                  <w:shd w:val="clear" w:color="auto" w:fill="auto"/>
                  <w:vAlign w:val="center"/>
                </w:tcPr>
                <w:p w14:paraId="754AC40C">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序号</w:t>
                  </w:r>
                </w:p>
              </w:tc>
              <w:tc>
                <w:tcPr>
                  <w:tcW w:w="741" w:type="pct"/>
                  <w:shd w:val="clear" w:color="auto" w:fill="auto"/>
                  <w:vAlign w:val="center"/>
                </w:tcPr>
                <w:p w14:paraId="0FBC606A">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安装</w:t>
                  </w:r>
                </w:p>
                <w:p w14:paraId="09CABE0F">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地点</w:t>
                  </w:r>
                </w:p>
              </w:tc>
              <w:tc>
                <w:tcPr>
                  <w:tcW w:w="1235" w:type="pct"/>
                  <w:shd w:val="clear" w:color="auto" w:fill="auto"/>
                  <w:vAlign w:val="center"/>
                </w:tcPr>
                <w:p w14:paraId="2A8B7C9E">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该地点地震</w:t>
                  </w:r>
                </w:p>
                <w:p w14:paraId="7EA7E1D7">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烈度</w:t>
                  </w:r>
                </w:p>
              </w:tc>
              <w:tc>
                <w:tcPr>
                  <w:tcW w:w="2588" w:type="pct"/>
                  <w:shd w:val="clear" w:color="auto" w:fill="auto"/>
                  <w:vAlign w:val="center"/>
                </w:tcPr>
                <w:p w14:paraId="176EDAA7">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本</w:t>
                  </w:r>
                  <w:r>
                    <w:rPr>
                      <w:rFonts w:hint="eastAsia" w:ascii="宋体" w:hAnsi="宋体" w:eastAsia="宋体" w:cs="宋体"/>
                      <w:b/>
                      <w:bCs/>
                      <w:color w:val="000000"/>
                      <w:kern w:val="0"/>
                      <w:sz w:val="22"/>
                      <w:szCs w:val="22"/>
                      <w:lang w:val="en-US" w:eastAsia="zh-CN"/>
                    </w:rPr>
                    <w:t>项目</w:t>
                  </w:r>
                  <w:r>
                    <w:rPr>
                      <w:rFonts w:hint="eastAsia" w:ascii="宋体" w:hAnsi="宋体" w:eastAsia="宋体" w:cs="宋体"/>
                      <w:b/>
                      <w:bCs/>
                      <w:color w:val="000000"/>
                      <w:kern w:val="0"/>
                      <w:sz w:val="22"/>
                      <w:szCs w:val="22"/>
                    </w:rPr>
                    <w:t>抗震措施采用的抗震设防烈度</w:t>
                  </w:r>
                </w:p>
              </w:tc>
            </w:tr>
            <w:tr w14:paraId="1160D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36" w:type="pct"/>
                  <w:shd w:val="clear" w:color="auto" w:fill="auto"/>
                  <w:vAlign w:val="center"/>
                </w:tcPr>
                <w:p w14:paraId="48605455">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741" w:type="pct"/>
                  <w:shd w:val="clear" w:color="auto" w:fill="auto"/>
                  <w:vAlign w:val="center"/>
                </w:tcPr>
                <w:p w14:paraId="50D7FDB2">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中山市</w:t>
                  </w:r>
                </w:p>
              </w:tc>
              <w:tc>
                <w:tcPr>
                  <w:tcW w:w="1235" w:type="pct"/>
                  <w:shd w:val="clear" w:color="auto" w:fill="auto"/>
                  <w:vAlign w:val="center"/>
                </w:tcPr>
                <w:p w14:paraId="1FA21589">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7度</w:t>
                  </w:r>
                </w:p>
              </w:tc>
              <w:tc>
                <w:tcPr>
                  <w:tcW w:w="2588" w:type="pct"/>
                  <w:shd w:val="clear" w:color="auto" w:fill="auto"/>
                  <w:vAlign w:val="center"/>
                </w:tcPr>
                <w:p w14:paraId="081A079E">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7度</w:t>
                  </w:r>
                </w:p>
              </w:tc>
            </w:tr>
          </w:tbl>
          <w:p w14:paraId="1EE10454">
            <w:pPr>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未获得工信部颁发的通信设备抗震性能合格证的不得在工程中使用。</w:t>
            </w:r>
          </w:p>
          <w:p w14:paraId="448CBBE7">
            <w:pPr>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设备加固安装参考《通信建筑抗震设防分类标准》（YD5054－2010）（以下简称“抗震设计规范”）的要求。本</w:t>
            </w:r>
            <w:r>
              <w:rPr>
                <w:rFonts w:hint="eastAsia" w:ascii="宋体" w:hAnsi="宋体" w:eastAsia="宋体" w:cs="宋体"/>
                <w:sz w:val="22"/>
                <w:szCs w:val="22"/>
                <w:lang w:val="en-US" w:eastAsia="zh-CN"/>
              </w:rPr>
              <w:t>项目</w:t>
            </w:r>
            <w:r>
              <w:rPr>
                <w:rFonts w:hint="eastAsia" w:ascii="宋体" w:hAnsi="宋体" w:eastAsia="宋体" w:cs="宋体"/>
                <w:sz w:val="22"/>
                <w:szCs w:val="22"/>
              </w:rPr>
              <w:t>设备安装的抗震类型如</w:t>
            </w:r>
            <w:r>
              <w:rPr>
                <w:rFonts w:hint="eastAsia" w:ascii="宋体" w:hAnsi="宋体" w:eastAsia="宋体" w:cs="宋体"/>
                <w:sz w:val="22"/>
                <w:szCs w:val="22"/>
                <w:lang w:val="en-US" w:eastAsia="zh-CN"/>
              </w:rPr>
              <w:t>下</w:t>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REF _Ref159229853 \h  \* MERGEFORMAT </w:instrText>
            </w:r>
            <w:r>
              <w:rPr>
                <w:rFonts w:hint="eastAsia" w:ascii="宋体" w:hAnsi="宋体" w:eastAsia="宋体" w:cs="宋体"/>
                <w:sz w:val="22"/>
                <w:szCs w:val="22"/>
              </w:rPr>
              <w:fldChar w:fldCharType="separate"/>
            </w:r>
            <w:r>
              <w:rPr>
                <w:rFonts w:hint="eastAsia" w:ascii="宋体" w:hAnsi="宋体" w:eastAsia="宋体" w:cs="宋体"/>
                <w:sz w:val="22"/>
                <w:szCs w:val="22"/>
              </w:rPr>
              <w:t>表</w:t>
            </w:r>
            <w:r>
              <w:rPr>
                <w:rFonts w:hint="eastAsia" w:ascii="宋体" w:hAnsi="宋体" w:eastAsia="宋体" w:cs="宋体"/>
                <w:sz w:val="22"/>
                <w:szCs w:val="22"/>
                <w:lang w:eastAsia="zh-CN"/>
              </w:rPr>
              <w:t>“</w:t>
            </w:r>
            <w:r>
              <w:rPr>
                <w:rFonts w:hint="eastAsia" w:ascii="宋体" w:hAnsi="宋体" w:eastAsia="宋体" w:cs="宋体"/>
                <w:sz w:val="22"/>
                <w:szCs w:val="22"/>
              </w:rPr>
              <w:fldChar w:fldCharType="end"/>
            </w:r>
            <w:r>
              <w:rPr>
                <w:rFonts w:hint="eastAsia" w:ascii="宋体" w:hAnsi="宋体" w:eastAsia="宋体" w:cs="宋体"/>
                <w:sz w:val="22"/>
                <w:szCs w:val="22"/>
              </w:rPr>
              <w:t>本</w:t>
            </w:r>
            <w:r>
              <w:rPr>
                <w:rFonts w:hint="eastAsia" w:ascii="宋体" w:hAnsi="宋体" w:eastAsia="宋体" w:cs="宋体"/>
                <w:sz w:val="22"/>
                <w:szCs w:val="22"/>
                <w:lang w:val="en-US" w:eastAsia="zh-CN"/>
              </w:rPr>
              <w:t>项目</w:t>
            </w:r>
            <w:r>
              <w:rPr>
                <w:rFonts w:hint="eastAsia" w:ascii="宋体" w:hAnsi="宋体" w:eastAsia="宋体" w:cs="宋体"/>
                <w:sz w:val="22"/>
                <w:szCs w:val="22"/>
              </w:rPr>
              <w:t>设备抗震类型表</w:t>
            </w:r>
            <w:r>
              <w:rPr>
                <w:rFonts w:hint="eastAsia" w:ascii="宋体" w:hAnsi="宋体" w:eastAsia="宋体" w:cs="宋体"/>
                <w:sz w:val="22"/>
                <w:szCs w:val="22"/>
                <w:lang w:eastAsia="zh-CN"/>
              </w:rPr>
              <w:t>”</w:t>
            </w:r>
            <w:r>
              <w:rPr>
                <w:rFonts w:hint="eastAsia" w:ascii="宋体" w:hAnsi="宋体" w:eastAsia="宋体" w:cs="宋体"/>
                <w:sz w:val="22"/>
                <w:szCs w:val="22"/>
              </w:rPr>
              <w:t>所示，应按照抗震设计规范对应的要求进行设计和安装。</w:t>
            </w:r>
            <w:r>
              <w:rPr>
                <w:rFonts w:hint="eastAsia" w:ascii="宋体" w:hAnsi="宋体" w:eastAsia="宋体" w:cs="宋体"/>
                <w:sz w:val="22"/>
                <w:szCs w:val="22"/>
                <w:lang w:val="en-US" w:eastAsia="zh-CN"/>
              </w:rPr>
              <w:t>成交供应商</w:t>
            </w:r>
            <w:r>
              <w:rPr>
                <w:rFonts w:hint="eastAsia" w:ascii="宋体" w:hAnsi="宋体" w:eastAsia="宋体" w:cs="宋体"/>
                <w:sz w:val="22"/>
                <w:szCs w:val="22"/>
              </w:rPr>
              <w:t>也可参照厂家提供的设备抗震安装图纸进行施工。</w:t>
            </w:r>
          </w:p>
          <w:p w14:paraId="5B8B196A">
            <w:pPr>
              <w:pStyle w:val="10"/>
              <w:keepNext/>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2"/>
              </w:rPr>
            </w:pPr>
            <w:bookmarkStart w:id="18" w:name="_Ref159229845"/>
            <w:r>
              <w:rPr>
                <w:rFonts w:hint="eastAsia" w:ascii="宋体" w:hAnsi="宋体" w:eastAsia="宋体" w:cs="宋体"/>
                <w:sz w:val="22"/>
                <w:szCs w:val="22"/>
              </w:rPr>
              <w:t>本</w:t>
            </w:r>
            <w:r>
              <w:rPr>
                <w:rFonts w:hint="eastAsia" w:ascii="宋体" w:hAnsi="宋体" w:eastAsia="宋体" w:cs="宋体"/>
                <w:sz w:val="22"/>
                <w:szCs w:val="22"/>
                <w:lang w:val="en-US" w:eastAsia="zh-CN"/>
              </w:rPr>
              <w:t>项目</w:t>
            </w:r>
            <w:r>
              <w:rPr>
                <w:rFonts w:hint="eastAsia" w:ascii="宋体" w:hAnsi="宋体" w:eastAsia="宋体" w:cs="宋体"/>
                <w:sz w:val="22"/>
                <w:szCs w:val="22"/>
              </w:rPr>
              <w:t>设备抗震类型表</w:t>
            </w:r>
            <w:bookmarkEnd w:id="18"/>
          </w:p>
          <w:tbl>
            <w:tblPr>
              <w:tblStyle w:val="18"/>
              <w:tblW w:w="5876" w:type="dxa"/>
              <w:jc w:val="center"/>
              <w:tblLayout w:type="fixed"/>
              <w:tblCellMar>
                <w:top w:w="0" w:type="dxa"/>
                <w:left w:w="108" w:type="dxa"/>
                <w:bottom w:w="0" w:type="dxa"/>
                <w:right w:w="108" w:type="dxa"/>
              </w:tblCellMar>
            </w:tblPr>
            <w:tblGrid>
              <w:gridCol w:w="755"/>
              <w:gridCol w:w="1344"/>
              <w:gridCol w:w="3777"/>
            </w:tblGrid>
            <w:tr w14:paraId="26DEB377">
              <w:tblPrEx>
                <w:tblCellMar>
                  <w:top w:w="0" w:type="dxa"/>
                  <w:left w:w="108" w:type="dxa"/>
                  <w:bottom w:w="0" w:type="dxa"/>
                  <w:right w:w="108" w:type="dxa"/>
                </w:tblCellMar>
              </w:tblPrEx>
              <w:trPr>
                <w:trHeight w:val="351" w:hRule="atLeast"/>
                <w:jc w:val="center"/>
              </w:trPr>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14:paraId="78A27982">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序号</w:t>
                  </w:r>
                </w:p>
              </w:tc>
              <w:tc>
                <w:tcPr>
                  <w:tcW w:w="1344" w:type="dxa"/>
                  <w:tcBorders>
                    <w:top w:val="single" w:color="auto" w:sz="4" w:space="0"/>
                    <w:left w:val="nil"/>
                    <w:bottom w:val="single" w:color="auto" w:sz="4" w:space="0"/>
                    <w:right w:val="single" w:color="auto" w:sz="4" w:space="0"/>
                  </w:tcBorders>
                  <w:shd w:val="clear" w:color="auto" w:fill="auto"/>
                  <w:vAlign w:val="center"/>
                </w:tcPr>
                <w:p w14:paraId="699DD523">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设备类型</w:t>
                  </w:r>
                </w:p>
              </w:tc>
              <w:tc>
                <w:tcPr>
                  <w:tcW w:w="3777" w:type="dxa"/>
                  <w:tcBorders>
                    <w:top w:val="single" w:color="auto" w:sz="4" w:space="0"/>
                    <w:left w:val="nil"/>
                    <w:bottom w:val="single" w:color="auto" w:sz="4" w:space="0"/>
                    <w:right w:val="single" w:color="auto" w:sz="4" w:space="0"/>
                  </w:tcBorders>
                  <w:shd w:val="clear" w:color="auto" w:fill="auto"/>
                  <w:vAlign w:val="center"/>
                </w:tcPr>
                <w:p w14:paraId="4295B1F5">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本</w:t>
                  </w:r>
                  <w:r>
                    <w:rPr>
                      <w:rFonts w:hint="eastAsia" w:ascii="宋体" w:hAnsi="宋体" w:eastAsia="宋体" w:cs="宋体"/>
                      <w:b/>
                      <w:bCs/>
                      <w:color w:val="000000"/>
                      <w:kern w:val="0"/>
                      <w:sz w:val="22"/>
                      <w:szCs w:val="22"/>
                      <w:lang w:val="en-US" w:eastAsia="zh-CN"/>
                    </w:rPr>
                    <w:t>项目</w:t>
                  </w:r>
                  <w:r>
                    <w:rPr>
                      <w:rFonts w:hint="eastAsia" w:ascii="宋体" w:hAnsi="宋体" w:eastAsia="宋体" w:cs="宋体"/>
                      <w:b/>
                      <w:bCs/>
                      <w:color w:val="000000"/>
                      <w:kern w:val="0"/>
                      <w:sz w:val="22"/>
                      <w:szCs w:val="22"/>
                    </w:rPr>
                    <w:t>安装情况</w:t>
                  </w:r>
                </w:p>
              </w:tc>
            </w:tr>
            <w:tr w14:paraId="6BF5359E">
              <w:tblPrEx>
                <w:tblCellMar>
                  <w:top w:w="0" w:type="dxa"/>
                  <w:left w:w="108" w:type="dxa"/>
                  <w:bottom w:w="0" w:type="dxa"/>
                  <w:right w:w="108" w:type="dxa"/>
                </w:tblCellMar>
              </w:tblPrEx>
              <w:trPr>
                <w:trHeight w:val="978" w:hRule="atLeast"/>
                <w:jc w:val="center"/>
              </w:trPr>
              <w:tc>
                <w:tcPr>
                  <w:tcW w:w="755" w:type="dxa"/>
                  <w:tcBorders>
                    <w:top w:val="nil"/>
                    <w:left w:val="single" w:color="auto" w:sz="4" w:space="0"/>
                    <w:bottom w:val="single" w:color="auto" w:sz="4" w:space="0"/>
                    <w:right w:val="single" w:color="auto" w:sz="4" w:space="0"/>
                  </w:tcBorders>
                  <w:shd w:val="clear" w:color="auto" w:fill="auto"/>
                  <w:vAlign w:val="center"/>
                </w:tcPr>
                <w:p w14:paraId="12D80AF7">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344" w:type="dxa"/>
                  <w:tcBorders>
                    <w:top w:val="nil"/>
                    <w:left w:val="nil"/>
                    <w:bottom w:val="single" w:color="auto" w:sz="4" w:space="0"/>
                    <w:right w:val="single" w:color="auto" w:sz="4" w:space="0"/>
                  </w:tcBorders>
                  <w:shd w:val="clear" w:color="auto" w:fill="auto"/>
                  <w:vAlign w:val="center"/>
                </w:tcPr>
                <w:p w14:paraId="1A4C1749">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台式设备、架式设备</w:t>
                  </w:r>
                </w:p>
              </w:tc>
              <w:tc>
                <w:tcPr>
                  <w:tcW w:w="3777" w:type="dxa"/>
                  <w:tcBorders>
                    <w:top w:val="nil"/>
                    <w:left w:val="nil"/>
                    <w:bottom w:val="single" w:color="auto" w:sz="4" w:space="0"/>
                    <w:right w:val="single" w:color="auto" w:sz="4" w:space="0"/>
                  </w:tcBorders>
                  <w:shd w:val="clear" w:color="auto" w:fill="auto"/>
                  <w:vAlign w:val="center"/>
                </w:tcPr>
                <w:p w14:paraId="6B772CA6">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磁盘阵列、交换机、机架式服务器等</w:t>
                  </w:r>
                </w:p>
              </w:tc>
            </w:tr>
          </w:tbl>
          <w:p w14:paraId="11C0A31A">
            <w:pPr>
              <w:pStyle w:val="8"/>
              <w:pageBreakBefore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3.3.2</w:t>
            </w:r>
            <w:r>
              <w:rPr>
                <w:rFonts w:hint="eastAsia" w:ascii="宋体" w:hAnsi="宋体" w:eastAsia="宋体" w:cs="宋体"/>
                <w:b/>
                <w:bCs/>
                <w:sz w:val="22"/>
                <w:szCs w:val="22"/>
              </w:rPr>
              <w:t>架式设备抗震措施</w:t>
            </w:r>
          </w:p>
          <w:p w14:paraId="0B7225BE">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sz w:val="22"/>
                <w:szCs w:val="22"/>
              </w:rPr>
            </w:pPr>
            <w:r>
              <w:rPr>
                <w:rFonts w:hint="eastAsia" w:ascii="宋体" w:hAnsi="宋体" w:eastAsia="宋体" w:cs="宋体"/>
                <w:b/>
                <w:bCs/>
                <w:sz w:val="22"/>
                <w:szCs w:val="22"/>
              </w:rPr>
              <w:t>设备底部应与地面加固。螺栓的规格参考抗震设计规范4.3.1条的计算方法确定。</w:t>
            </w:r>
            <w:r>
              <w:rPr>
                <w:rFonts w:hint="eastAsia" w:ascii="宋体" w:hAnsi="宋体" w:eastAsia="宋体" w:cs="宋体"/>
                <w:sz w:val="22"/>
                <w:szCs w:val="22"/>
              </w:rPr>
              <w:t>列架应终端在柱或承重墙上。走线架应终端在承重墙或终端在与柱拉接的支架上。无法用螺栓与地面加固的机柜, 应在设备前后各用 L 型抗震防滑角铁进行加固。</w:t>
            </w:r>
          </w:p>
          <w:p w14:paraId="5030374E">
            <w:pPr>
              <w:pStyle w:val="8"/>
              <w:pageBreakBefore w:val="0"/>
              <w:numPr>
                <w:ilvl w:val="4"/>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3.3.3</w:t>
            </w:r>
            <w:r>
              <w:rPr>
                <w:rFonts w:hint="eastAsia" w:ascii="宋体" w:hAnsi="宋体" w:eastAsia="宋体" w:cs="宋体"/>
                <w:b/>
                <w:bCs/>
                <w:sz w:val="22"/>
                <w:szCs w:val="22"/>
              </w:rPr>
              <w:t>台式设备抗震措施</w:t>
            </w:r>
          </w:p>
          <w:p w14:paraId="69965328">
            <w:pPr>
              <w:keepNext w:val="0"/>
              <w:keepLines w:val="0"/>
              <w:pageBreakBefore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 w:val="0"/>
                <w:bCs w:val="0"/>
                <w:sz w:val="22"/>
                <w:szCs w:val="22"/>
              </w:rPr>
            </w:pPr>
            <w:r>
              <w:rPr>
                <w:rFonts w:hint="eastAsia" w:ascii="宋体" w:hAnsi="宋体" w:eastAsia="宋体" w:cs="宋体"/>
                <w:sz w:val="22"/>
                <w:szCs w:val="22"/>
              </w:rPr>
              <w:t>6度和7度抗震设防时，小型台式设备宜用组合机架方式安装。组合架顶部应与铁架上梁或房屋构件加固，底部应与地面加固。所用螺栓</w:t>
            </w:r>
            <w:r>
              <w:rPr>
                <w:rFonts w:hint="eastAsia" w:ascii="宋体" w:hAnsi="宋体" w:eastAsia="宋体" w:cs="宋体"/>
                <w:b w:val="0"/>
                <w:bCs w:val="0"/>
                <w:sz w:val="22"/>
                <w:szCs w:val="22"/>
              </w:rPr>
              <w:t>规格参考《电信设备安装抗震设计规范》4.3.1条计算方法确定。</w:t>
            </w:r>
          </w:p>
          <w:p w14:paraId="4E363B72">
            <w:pPr>
              <w:pStyle w:val="25"/>
              <w:keepNext w:val="0"/>
              <w:keepLines w:val="0"/>
              <w:pageBreakBefore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rPr>
              <w:t>对于8度及8度以上的抗震设防，小型台式设备应安装在抗震组合柜内。抗震组合柜的安装加固同《电信设备安装抗震设计规范》5.3.1条。</w:t>
            </w:r>
          </w:p>
          <w:p w14:paraId="1B43E553">
            <w:pPr>
              <w:pStyle w:val="5"/>
              <w:pageBreakBefore w:val="0"/>
              <w:numPr>
                <w:ilvl w:val="2"/>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bookmarkStart w:id="19" w:name="_Toc173501794"/>
            <w:r>
              <w:rPr>
                <w:rFonts w:hint="eastAsia" w:ascii="宋体" w:hAnsi="宋体" w:eastAsia="宋体" w:cs="宋体"/>
                <w:b/>
                <w:bCs/>
                <w:kern w:val="2"/>
                <w:sz w:val="22"/>
                <w:szCs w:val="22"/>
                <w:lang w:val="en-US" w:eastAsia="zh-CN" w:bidi="ar-SA"/>
              </w:rPr>
              <w:t>4.</w:t>
            </w:r>
            <w:r>
              <w:rPr>
                <w:rFonts w:hint="eastAsia" w:ascii="宋体" w:hAnsi="宋体" w:eastAsia="宋体" w:cs="宋体"/>
                <w:sz w:val="22"/>
                <w:szCs w:val="22"/>
              </w:rPr>
              <w:t>平台协议</w:t>
            </w:r>
            <w:bookmarkEnd w:id="19"/>
          </w:p>
          <w:p w14:paraId="627D0353">
            <w:pPr>
              <w:pStyle w:val="25"/>
              <w:keepNext w:val="0"/>
              <w:keepLines w:val="0"/>
              <w:pageBreakBefore w:val="0"/>
              <w:widowControl/>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宋体" w:hAnsi="宋体" w:eastAsia="宋体" w:cs="宋体"/>
                <w:color w:val="auto"/>
                <w:sz w:val="22"/>
                <w:szCs w:val="22"/>
                <w:highlight w:val="none"/>
                <w:lang w:eastAsia="zh-CN"/>
              </w:rPr>
            </w:pPr>
            <w:r>
              <w:rPr>
                <w:rFonts w:hint="eastAsia" w:ascii="宋体" w:hAnsi="宋体" w:eastAsia="宋体" w:cs="宋体"/>
                <w:sz w:val="22"/>
                <w:szCs w:val="22"/>
                <w:lang w:val="en-US" w:eastAsia="zh-CN"/>
              </w:rPr>
              <w:t>由采购人提供</w:t>
            </w:r>
            <w:r>
              <w:rPr>
                <w:rFonts w:hint="eastAsia" w:ascii="宋体" w:hAnsi="宋体" w:eastAsia="宋体" w:cs="宋体"/>
                <w:sz w:val="22"/>
                <w:szCs w:val="22"/>
              </w:rPr>
              <w:t>相关平台标准对接协议接口</w:t>
            </w:r>
            <w:r>
              <w:rPr>
                <w:rFonts w:hint="eastAsia" w:ascii="宋体" w:hAnsi="宋体" w:eastAsia="宋体" w:cs="宋体"/>
                <w:sz w:val="22"/>
                <w:szCs w:val="22"/>
                <w:lang w:val="en-US" w:eastAsia="zh-CN"/>
              </w:rPr>
              <w:t>并</w:t>
            </w:r>
            <w:r>
              <w:rPr>
                <w:rFonts w:hint="eastAsia" w:ascii="宋体" w:hAnsi="宋体" w:eastAsia="宋体" w:cs="宋体"/>
                <w:sz w:val="22"/>
                <w:szCs w:val="22"/>
              </w:rPr>
              <w:t>配合</w:t>
            </w:r>
            <w:r>
              <w:rPr>
                <w:rFonts w:hint="eastAsia" w:ascii="宋体" w:hAnsi="宋体" w:eastAsia="宋体" w:cs="宋体"/>
                <w:sz w:val="22"/>
                <w:szCs w:val="22"/>
                <w:lang w:val="en-US" w:eastAsia="zh-CN"/>
              </w:rPr>
              <w:t>成交供应商</w:t>
            </w:r>
            <w:r>
              <w:rPr>
                <w:rFonts w:hint="eastAsia" w:ascii="宋体" w:hAnsi="宋体" w:eastAsia="宋体" w:cs="宋体"/>
                <w:sz w:val="22"/>
                <w:szCs w:val="22"/>
              </w:rPr>
              <w:t>沟通数据对接接入等相关工作。</w:t>
            </w:r>
          </w:p>
        </w:tc>
        <w:tc>
          <w:tcPr>
            <w:tcW w:w="1208" w:type="dxa"/>
          </w:tcPr>
          <w:p w14:paraId="45199083">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3D766ABE">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1556C4D6">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72B55860">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72A9E2CD">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23CA14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0" w:type="dxa"/>
            <w:vAlign w:val="center"/>
          </w:tcPr>
          <w:p w14:paraId="297519C4">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14</w:t>
            </w:r>
          </w:p>
        </w:tc>
        <w:tc>
          <w:tcPr>
            <w:tcW w:w="660" w:type="dxa"/>
          </w:tcPr>
          <w:p w14:paraId="55E3976E">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2CDA8CA1">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2AAE5B60">
            <w:pPr>
              <w:pStyle w:val="4"/>
              <w:pageBreakBefore w:val="0"/>
              <w:numPr>
                <w:ilvl w:val="1"/>
                <w:numId w:val="0"/>
              </w:numPr>
              <w:kinsoku/>
              <w:wordWrap/>
              <w:overflowPunct/>
              <w:topLinePunct w:val="0"/>
              <w:autoSpaceDE/>
              <w:autoSpaceDN/>
              <w:bidi w:val="0"/>
              <w:adjustRightInd/>
              <w:snapToGrid/>
              <w:spacing w:before="0" w:line="360" w:lineRule="auto"/>
              <w:ind w:left="0" w:leftChars="0" w:firstLine="0" w:firstLineChars="0"/>
              <w:textAlignment w:val="auto"/>
              <w:rPr>
                <w:rFonts w:hint="eastAsia" w:ascii="宋体" w:hAnsi="宋体" w:eastAsia="宋体" w:cs="宋体"/>
                <w:b/>
                <w:bCs/>
                <w:sz w:val="22"/>
                <w:szCs w:val="22"/>
              </w:rPr>
            </w:pPr>
            <w:bookmarkStart w:id="20" w:name="_Toc173501795"/>
            <w:r>
              <w:rPr>
                <w:rFonts w:hint="eastAsia" w:ascii="宋体" w:hAnsi="宋体" w:eastAsia="宋体" w:cs="宋体"/>
                <w:b/>
                <w:bCs/>
                <w:kern w:val="2"/>
                <w:sz w:val="22"/>
                <w:szCs w:val="22"/>
                <w:lang w:val="en-US" w:eastAsia="zh-CN" w:bidi="ar-SA"/>
              </w:rPr>
              <w:t>（四）</w:t>
            </w:r>
            <w:r>
              <w:rPr>
                <w:rFonts w:hint="eastAsia" w:ascii="宋体" w:hAnsi="宋体" w:eastAsia="宋体" w:cs="宋体"/>
                <w:b/>
                <w:bCs/>
                <w:sz w:val="22"/>
                <w:szCs w:val="22"/>
              </w:rPr>
              <w:t>平台接入</w:t>
            </w:r>
            <w:bookmarkEnd w:id="20"/>
          </w:p>
          <w:p w14:paraId="18058C08">
            <w:pPr>
              <w:pStyle w:val="5"/>
              <w:pageBreakBefore w:val="0"/>
              <w:numPr>
                <w:ilvl w:val="2"/>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bookmarkStart w:id="21" w:name="_Toc173501796"/>
            <w:r>
              <w:rPr>
                <w:rFonts w:hint="eastAsia" w:ascii="宋体" w:hAnsi="宋体" w:eastAsia="宋体" w:cs="宋体"/>
                <w:b/>
                <w:bCs/>
                <w:kern w:val="2"/>
                <w:sz w:val="22"/>
                <w:szCs w:val="22"/>
                <w:lang w:val="en-US" w:eastAsia="zh-CN" w:bidi="ar-SA"/>
              </w:rPr>
              <w:t>1.</w:t>
            </w:r>
            <w:r>
              <w:rPr>
                <w:rFonts w:hint="eastAsia" w:ascii="宋体" w:hAnsi="宋体" w:eastAsia="宋体" w:cs="宋体"/>
                <w:sz w:val="22"/>
                <w:szCs w:val="22"/>
              </w:rPr>
              <w:t>平台接入</w:t>
            </w:r>
            <w:bookmarkEnd w:id="21"/>
          </w:p>
          <w:p w14:paraId="4CFAC24F">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本</w:t>
            </w:r>
            <w:r>
              <w:rPr>
                <w:rFonts w:hint="eastAsia" w:ascii="宋体" w:hAnsi="宋体" w:eastAsia="宋体" w:cs="宋体"/>
                <w:sz w:val="22"/>
                <w:szCs w:val="22"/>
                <w:lang w:val="en-US" w:eastAsia="zh-CN"/>
              </w:rPr>
              <w:t>项目</w:t>
            </w:r>
            <w:r>
              <w:rPr>
                <w:rFonts w:hint="eastAsia" w:ascii="宋体" w:hAnsi="宋体" w:eastAsia="宋体" w:cs="宋体"/>
                <w:sz w:val="22"/>
                <w:szCs w:val="22"/>
              </w:rPr>
              <w:t>建设的检测抓拍摄像设备、高清高速球型抓拍摄像设备系统前端</w:t>
            </w:r>
            <w:r>
              <w:rPr>
                <w:rFonts w:hint="eastAsia" w:ascii="宋体" w:hAnsi="宋体" w:eastAsia="宋体" w:cs="宋体"/>
                <w:sz w:val="22"/>
                <w:szCs w:val="22"/>
                <w:lang w:val="en-US" w:eastAsia="zh-CN"/>
              </w:rPr>
              <w:t>须</w:t>
            </w:r>
            <w:r>
              <w:rPr>
                <w:rFonts w:hint="eastAsia" w:ascii="宋体" w:hAnsi="宋体" w:eastAsia="宋体" w:cs="宋体"/>
                <w:sz w:val="22"/>
                <w:szCs w:val="22"/>
              </w:rPr>
              <w:t>按照中山翠亨新区道路交通技术监控系统的要求接入。系统前端智能交通终端管理服务器通过翠亨新区公安分局专网与翠亨新区交通技术监控系统平台机房中心管理平台指定服务器进行实时连接，实现系统前端与系统中心管理平台间的对接，客户端通过系统中心管理平台人工操控设备远程控制前端监控摄像设备按照各指令为管理平台传送实时高清视频流，客户端可以实时浏览监控区域视频信息，对监测区域内机动车交通违法行为进行查看。</w:t>
            </w:r>
          </w:p>
          <w:p w14:paraId="1F8FE6AA">
            <w:pPr>
              <w:pStyle w:val="5"/>
              <w:pageBreakBefore w:val="0"/>
              <w:numPr>
                <w:ilvl w:val="2"/>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bookmarkStart w:id="22" w:name="_Toc173501797"/>
            <w:r>
              <w:rPr>
                <w:rFonts w:hint="eastAsia" w:ascii="宋体" w:hAnsi="宋体" w:eastAsia="宋体" w:cs="宋体"/>
                <w:b/>
                <w:bCs/>
                <w:kern w:val="2"/>
                <w:sz w:val="22"/>
                <w:szCs w:val="22"/>
                <w:lang w:val="en-US" w:eastAsia="zh-CN" w:bidi="ar-SA"/>
              </w:rPr>
              <w:t>2.</w:t>
            </w:r>
            <w:r>
              <w:rPr>
                <w:rFonts w:hint="eastAsia" w:ascii="宋体" w:hAnsi="宋体" w:eastAsia="宋体" w:cs="宋体"/>
                <w:sz w:val="22"/>
                <w:szCs w:val="22"/>
              </w:rPr>
              <w:t>系统数据共享</w:t>
            </w:r>
            <w:bookmarkEnd w:id="22"/>
          </w:p>
          <w:p w14:paraId="1BC473F0">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2.1</w:t>
            </w:r>
            <w:r>
              <w:rPr>
                <w:rFonts w:hint="eastAsia" w:ascii="宋体" w:hAnsi="宋体" w:eastAsia="宋体" w:cs="宋体"/>
                <w:b/>
                <w:bCs/>
                <w:sz w:val="22"/>
                <w:szCs w:val="22"/>
              </w:rPr>
              <w:t>与中山市政务大数据中心、中山市视频共享平台对接</w:t>
            </w:r>
          </w:p>
          <w:p w14:paraId="3B27030E">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本项目采集到的车辆通行信息、交通视频信息、交通卡口信息等数据</w:t>
            </w:r>
            <w:r>
              <w:rPr>
                <w:rFonts w:hint="eastAsia" w:ascii="宋体" w:hAnsi="宋体" w:eastAsia="宋体" w:cs="宋体"/>
                <w:sz w:val="22"/>
                <w:szCs w:val="22"/>
                <w:lang w:val="en-US" w:eastAsia="zh-CN"/>
              </w:rPr>
              <w:t>需</w:t>
            </w:r>
            <w:r>
              <w:rPr>
                <w:rFonts w:hint="eastAsia" w:ascii="宋体" w:hAnsi="宋体" w:eastAsia="宋体" w:cs="宋体"/>
                <w:sz w:val="22"/>
                <w:szCs w:val="22"/>
              </w:rPr>
              <w:t>保存到翠亨新区公安分局数据中心机房，并经过公安视频专网同步上传到中山市公安局视频云平台，中山市政务大数据中心、中山市视频共享平台已跟中山市公安局视频云平台完成系统对接，可按需向</w:t>
            </w:r>
            <w:r>
              <w:rPr>
                <w:rFonts w:hint="eastAsia" w:ascii="宋体" w:hAnsi="宋体" w:eastAsia="宋体" w:cs="宋体"/>
                <w:sz w:val="22"/>
                <w:szCs w:val="22"/>
                <w:lang w:val="en-US" w:eastAsia="zh-CN"/>
              </w:rPr>
              <w:t>中山</w:t>
            </w:r>
            <w:r>
              <w:rPr>
                <w:rFonts w:hint="eastAsia" w:ascii="宋体" w:hAnsi="宋体" w:eastAsia="宋体" w:cs="宋体"/>
                <w:sz w:val="22"/>
                <w:szCs w:val="22"/>
              </w:rPr>
              <w:t>市公安局进行申请调用数据（公安视频云平台可共享监控球机的实时视频监控数据，卡口枪机由于涉及驾乘人员、车辆敏感数据暂不进行共享），满足“一网共享”相关要求。</w:t>
            </w:r>
          </w:p>
          <w:p w14:paraId="6D913B02">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本项目电子警察监控视频点位信息如下：</w:t>
            </w:r>
          </w:p>
          <w:tbl>
            <w:tblPr>
              <w:tblStyle w:val="18"/>
              <w:tblW w:w="0" w:type="auto"/>
              <w:jc w:val="center"/>
              <w:tblLayout w:type="fixed"/>
              <w:tblCellMar>
                <w:top w:w="0" w:type="dxa"/>
                <w:left w:w="108" w:type="dxa"/>
                <w:bottom w:w="0" w:type="dxa"/>
                <w:right w:w="108" w:type="dxa"/>
              </w:tblCellMar>
            </w:tblPr>
            <w:tblGrid>
              <w:gridCol w:w="460"/>
              <w:gridCol w:w="1373"/>
              <w:gridCol w:w="2088"/>
              <w:gridCol w:w="944"/>
              <w:gridCol w:w="851"/>
              <w:gridCol w:w="781"/>
            </w:tblGrid>
            <w:tr w14:paraId="3DF82DF5">
              <w:tblPrEx>
                <w:tblCellMar>
                  <w:top w:w="0" w:type="dxa"/>
                  <w:left w:w="108" w:type="dxa"/>
                  <w:bottom w:w="0" w:type="dxa"/>
                  <w:right w:w="108" w:type="dxa"/>
                </w:tblCellMar>
              </w:tblPrEx>
              <w:trPr>
                <w:trHeight w:val="289" w:hRule="atLeast"/>
                <w:tblHeader/>
                <w:jc w:val="center"/>
              </w:trPr>
              <w:tc>
                <w:tcPr>
                  <w:tcW w:w="4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C7EA09">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序号</w:t>
                  </w:r>
                </w:p>
              </w:tc>
              <w:tc>
                <w:tcPr>
                  <w:tcW w:w="1373" w:type="dxa"/>
                  <w:tcBorders>
                    <w:top w:val="single" w:color="auto" w:sz="4" w:space="0"/>
                    <w:left w:val="nil"/>
                    <w:bottom w:val="single" w:color="auto" w:sz="4" w:space="0"/>
                    <w:right w:val="single" w:color="auto" w:sz="4" w:space="0"/>
                  </w:tcBorders>
                  <w:shd w:val="clear" w:color="auto" w:fill="auto"/>
                  <w:vAlign w:val="center"/>
                </w:tcPr>
                <w:p w14:paraId="46705FC2">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路口名称</w:t>
                  </w:r>
                </w:p>
              </w:tc>
              <w:tc>
                <w:tcPr>
                  <w:tcW w:w="2088" w:type="dxa"/>
                  <w:tcBorders>
                    <w:top w:val="single" w:color="auto" w:sz="4" w:space="0"/>
                    <w:left w:val="nil"/>
                    <w:bottom w:val="single" w:color="auto" w:sz="4" w:space="0"/>
                    <w:right w:val="single" w:color="auto" w:sz="4" w:space="0"/>
                  </w:tcBorders>
                  <w:shd w:val="clear" w:color="auto" w:fill="auto"/>
                  <w:vAlign w:val="center"/>
                </w:tcPr>
                <w:p w14:paraId="38373625">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对应监控点位名称</w:t>
                  </w:r>
                </w:p>
              </w:tc>
              <w:tc>
                <w:tcPr>
                  <w:tcW w:w="944" w:type="dxa"/>
                  <w:tcBorders>
                    <w:top w:val="single" w:color="auto" w:sz="4" w:space="0"/>
                    <w:left w:val="nil"/>
                    <w:bottom w:val="single" w:color="auto" w:sz="4" w:space="0"/>
                    <w:right w:val="single" w:color="auto" w:sz="4" w:space="0"/>
                  </w:tcBorders>
                  <w:shd w:val="clear" w:color="auto" w:fill="auto"/>
                  <w:vAlign w:val="center"/>
                </w:tcPr>
                <w:p w14:paraId="24A969A5">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摄像机类型</w:t>
                  </w:r>
                </w:p>
              </w:tc>
              <w:tc>
                <w:tcPr>
                  <w:tcW w:w="851" w:type="dxa"/>
                  <w:tcBorders>
                    <w:top w:val="single" w:color="auto" w:sz="4" w:space="0"/>
                    <w:left w:val="nil"/>
                    <w:bottom w:val="single" w:color="auto" w:sz="4" w:space="0"/>
                    <w:right w:val="single" w:color="auto" w:sz="4" w:space="0"/>
                  </w:tcBorders>
                  <w:shd w:val="clear" w:color="auto" w:fill="auto"/>
                  <w:vAlign w:val="center"/>
                </w:tcPr>
                <w:p w14:paraId="790F91EE">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经度</w:t>
                  </w:r>
                </w:p>
              </w:tc>
              <w:tc>
                <w:tcPr>
                  <w:tcW w:w="781" w:type="dxa"/>
                  <w:tcBorders>
                    <w:top w:val="single" w:color="auto" w:sz="4" w:space="0"/>
                    <w:left w:val="nil"/>
                    <w:bottom w:val="single" w:color="auto" w:sz="4" w:space="0"/>
                    <w:right w:val="single" w:color="auto" w:sz="4" w:space="0"/>
                  </w:tcBorders>
                  <w:shd w:val="clear" w:color="auto" w:fill="auto"/>
                  <w:vAlign w:val="center"/>
                </w:tcPr>
                <w:p w14:paraId="203E9EAE">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纬度</w:t>
                  </w:r>
                </w:p>
              </w:tc>
            </w:tr>
            <w:tr w14:paraId="14439EE9">
              <w:tblPrEx>
                <w:tblCellMar>
                  <w:top w:w="0" w:type="dxa"/>
                  <w:left w:w="108" w:type="dxa"/>
                  <w:bottom w:w="0" w:type="dxa"/>
                  <w:right w:w="108" w:type="dxa"/>
                </w:tblCellMar>
              </w:tblPrEx>
              <w:trPr>
                <w:trHeight w:val="289" w:hRule="atLeast"/>
                <w:jc w:val="center"/>
              </w:trPr>
              <w:tc>
                <w:tcPr>
                  <w:tcW w:w="460" w:type="dxa"/>
                  <w:tcBorders>
                    <w:top w:val="nil"/>
                    <w:left w:val="single" w:color="auto" w:sz="4" w:space="0"/>
                    <w:bottom w:val="single" w:color="auto" w:sz="4" w:space="0"/>
                    <w:right w:val="single" w:color="auto" w:sz="4" w:space="0"/>
                  </w:tcBorders>
                  <w:shd w:val="clear" w:color="auto" w:fill="auto"/>
                  <w:noWrap/>
                  <w:vAlign w:val="center"/>
                </w:tcPr>
                <w:p w14:paraId="79BACD6A">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373" w:type="dxa"/>
                  <w:vMerge w:val="restart"/>
                  <w:tcBorders>
                    <w:top w:val="nil"/>
                    <w:left w:val="single" w:color="auto" w:sz="4" w:space="0"/>
                    <w:bottom w:val="single" w:color="auto" w:sz="4" w:space="0"/>
                    <w:right w:val="single" w:color="auto" w:sz="4" w:space="0"/>
                  </w:tcBorders>
                  <w:shd w:val="clear" w:color="auto" w:fill="auto"/>
                  <w:vAlign w:val="center"/>
                </w:tcPr>
                <w:p w14:paraId="5B16A352">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海湾二路与翠云路十字路口</w:t>
                  </w:r>
                </w:p>
              </w:tc>
              <w:tc>
                <w:tcPr>
                  <w:tcW w:w="2088" w:type="dxa"/>
                  <w:tcBorders>
                    <w:top w:val="nil"/>
                    <w:left w:val="nil"/>
                    <w:bottom w:val="single" w:color="auto" w:sz="4" w:space="0"/>
                    <w:right w:val="single" w:color="auto" w:sz="4" w:space="0"/>
                  </w:tcBorders>
                  <w:shd w:val="clear" w:color="auto" w:fill="auto"/>
                  <w:vAlign w:val="center"/>
                </w:tcPr>
                <w:p w14:paraId="44E4F76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中山市翠亨新区海湾二路与翠云路十字路口东行方向球机</w:t>
                  </w:r>
                </w:p>
              </w:tc>
              <w:tc>
                <w:tcPr>
                  <w:tcW w:w="944" w:type="dxa"/>
                  <w:tcBorders>
                    <w:top w:val="nil"/>
                    <w:left w:val="nil"/>
                    <w:bottom w:val="single" w:color="auto" w:sz="4" w:space="0"/>
                    <w:right w:val="single" w:color="auto" w:sz="4" w:space="0"/>
                  </w:tcBorders>
                  <w:shd w:val="clear" w:color="auto" w:fill="auto"/>
                  <w:noWrap/>
                  <w:vAlign w:val="center"/>
                </w:tcPr>
                <w:p w14:paraId="39F1830E">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球机</w:t>
                  </w:r>
                </w:p>
              </w:tc>
              <w:tc>
                <w:tcPr>
                  <w:tcW w:w="851" w:type="dxa"/>
                  <w:tcBorders>
                    <w:top w:val="nil"/>
                    <w:left w:val="nil"/>
                    <w:bottom w:val="single" w:color="auto" w:sz="4" w:space="0"/>
                    <w:right w:val="single" w:color="auto" w:sz="4" w:space="0"/>
                  </w:tcBorders>
                  <w:shd w:val="clear" w:color="auto" w:fill="auto"/>
                  <w:noWrap/>
                  <w:vAlign w:val="center"/>
                </w:tcPr>
                <w:p w14:paraId="33B23CE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113.543941</w:t>
                  </w:r>
                </w:p>
              </w:tc>
              <w:tc>
                <w:tcPr>
                  <w:tcW w:w="781" w:type="dxa"/>
                  <w:tcBorders>
                    <w:top w:val="nil"/>
                    <w:left w:val="nil"/>
                    <w:bottom w:val="single" w:color="auto" w:sz="4" w:space="0"/>
                    <w:right w:val="single" w:color="auto" w:sz="4" w:space="0"/>
                  </w:tcBorders>
                  <w:shd w:val="clear" w:color="auto" w:fill="auto"/>
                  <w:noWrap/>
                  <w:vAlign w:val="center"/>
                </w:tcPr>
                <w:p w14:paraId="63CF35F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22.432652</w:t>
                  </w:r>
                </w:p>
              </w:tc>
            </w:tr>
            <w:tr w14:paraId="6C5021CF">
              <w:tblPrEx>
                <w:tblCellMar>
                  <w:top w:w="0" w:type="dxa"/>
                  <w:left w:w="108" w:type="dxa"/>
                  <w:bottom w:w="0" w:type="dxa"/>
                  <w:right w:w="108" w:type="dxa"/>
                </w:tblCellMar>
              </w:tblPrEx>
              <w:trPr>
                <w:trHeight w:val="289" w:hRule="atLeast"/>
                <w:jc w:val="center"/>
              </w:trPr>
              <w:tc>
                <w:tcPr>
                  <w:tcW w:w="460" w:type="dxa"/>
                  <w:tcBorders>
                    <w:top w:val="nil"/>
                    <w:left w:val="single" w:color="auto" w:sz="4" w:space="0"/>
                    <w:bottom w:val="single" w:color="auto" w:sz="4" w:space="0"/>
                    <w:right w:val="single" w:color="auto" w:sz="4" w:space="0"/>
                  </w:tcBorders>
                  <w:shd w:val="clear" w:color="auto" w:fill="auto"/>
                  <w:noWrap/>
                  <w:vAlign w:val="center"/>
                </w:tcPr>
                <w:p w14:paraId="163BAB99">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1373" w:type="dxa"/>
                  <w:vMerge w:val="continue"/>
                  <w:tcBorders>
                    <w:top w:val="nil"/>
                    <w:left w:val="single" w:color="auto" w:sz="4" w:space="0"/>
                    <w:bottom w:val="single" w:color="auto" w:sz="4" w:space="0"/>
                    <w:right w:val="single" w:color="auto" w:sz="4" w:space="0"/>
                  </w:tcBorders>
                  <w:vAlign w:val="center"/>
                </w:tcPr>
                <w:p w14:paraId="21806D5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2088" w:type="dxa"/>
                  <w:tcBorders>
                    <w:top w:val="nil"/>
                    <w:left w:val="nil"/>
                    <w:bottom w:val="single" w:color="auto" w:sz="4" w:space="0"/>
                    <w:right w:val="single" w:color="auto" w:sz="4" w:space="0"/>
                  </w:tcBorders>
                  <w:shd w:val="clear" w:color="auto" w:fill="auto"/>
                  <w:vAlign w:val="center"/>
                </w:tcPr>
                <w:p w14:paraId="0B2342D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中山市翠亨新区海湾二路与翠云路十字路口西行方向球机</w:t>
                  </w:r>
                </w:p>
              </w:tc>
              <w:tc>
                <w:tcPr>
                  <w:tcW w:w="944" w:type="dxa"/>
                  <w:tcBorders>
                    <w:top w:val="nil"/>
                    <w:left w:val="nil"/>
                    <w:bottom w:val="single" w:color="auto" w:sz="4" w:space="0"/>
                    <w:right w:val="single" w:color="auto" w:sz="4" w:space="0"/>
                  </w:tcBorders>
                  <w:shd w:val="clear" w:color="auto" w:fill="auto"/>
                  <w:noWrap/>
                  <w:vAlign w:val="center"/>
                </w:tcPr>
                <w:p w14:paraId="143A81B0">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球机</w:t>
                  </w:r>
                </w:p>
              </w:tc>
              <w:tc>
                <w:tcPr>
                  <w:tcW w:w="851" w:type="dxa"/>
                  <w:tcBorders>
                    <w:top w:val="nil"/>
                    <w:left w:val="nil"/>
                    <w:bottom w:val="single" w:color="auto" w:sz="4" w:space="0"/>
                    <w:right w:val="single" w:color="auto" w:sz="4" w:space="0"/>
                  </w:tcBorders>
                  <w:shd w:val="clear" w:color="auto" w:fill="auto"/>
                  <w:noWrap/>
                  <w:vAlign w:val="center"/>
                </w:tcPr>
                <w:p w14:paraId="6E07B6F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113.544912</w:t>
                  </w:r>
                </w:p>
              </w:tc>
              <w:tc>
                <w:tcPr>
                  <w:tcW w:w="781" w:type="dxa"/>
                  <w:tcBorders>
                    <w:top w:val="nil"/>
                    <w:left w:val="nil"/>
                    <w:bottom w:val="single" w:color="auto" w:sz="4" w:space="0"/>
                    <w:right w:val="single" w:color="auto" w:sz="4" w:space="0"/>
                  </w:tcBorders>
                  <w:shd w:val="clear" w:color="auto" w:fill="auto"/>
                  <w:noWrap/>
                  <w:vAlign w:val="center"/>
                </w:tcPr>
                <w:p w14:paraId="32734CB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22.432602</w:t>
                  </w:r>
                </w:p>
              </w:tc>
            </w:tr>
            <w:tr w14:paraId="13BC8E5A">
              <w:tblPrEx>
                <w:tblCellMar>
                  <w:top w:w="0" w:type="dxa"/>
                  <w:left w:w="108" w:type="dxa"/>
                  <w:bottom w:w="0" w:type="dxa"/>
                  <w:right w:w="108" w:type="dxa"/>
                </w:tblCellMar>
              </w:tblPrEx>
              <w:trPr>
                <w:trHeight w:val="289" w:hRule="atLeast"/>
                <w:jc w:val="center"/>
              </w:trPr>
              <w:tc>
                <w:tcPr>
                  <w:tcW w:w="460" w:type="dxa"/>
                  <w:tcBorders>
                    <w:top w:val="nil"/>
                    <w:left w:val="single" w:color="auto" w:sz="4" w:space="0"/>
                    <w:bottom w:val="single" w:color="auto" w:sz="4" w:space="0"/>
                    <w:right w:val="single" w:color="auto" w:sz="4" w:space="0"/>
                  </w:tcBorders>
                  <w:shd w:val="clear" w:color="auto" w:fill="auto"/>
                  <w:noWrap/>
                  <w:vAlign w:val="center"/>
                </w:tcPr>
                <w:p w14:paraId="30FACAD0">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1373" w:type="dxa"/>
                  <w:vMerge w:val="continue"/>
                  <w:tcBorders>
                    <w:top w:val="nil"/>
                    <w:left w:val="single" w:color="auto" w:sz="4" w:space="0"/>
                    <w:bottom w:val="single" w:color="auto" w:sz="4" w:space="0"/>
                    <w:right w:val="single" w:color="auto" w:sz="4" w:space="0"/>
                  </w:tcBorders>
                  <w:vAlign w:val="center"/>
                </w:tcPr>
                <w:p w14:paraId="0E2B057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2088" w:type="dxa"/>
                  <w:tcBorders>
                    <w:top w:val="nil"/>
                    <w:left w:val="nil"/>
                    <w:bottom w:val="single" w:color="auto" w:sz="4" w:space="0"/>
                    <w:right w:val="single" w:color="auto" w:sz="4" w:space="0"/>
                  </w:tcBorders>
                  <w:shd w:val="clear" w:color="auto" w:fill="auto"/>
                  <w:vAlign w:val="center"/>
                </w:tcPr>
                <w:p w14:paraId="0251EDF9">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中山市翠亨新区海湾二路与翠云路十字路口南行方向球机</w:t>
                  </w:r>
                </w:p>
              </w:tc>
              <w:tc>
                <w:tcPr>
                  <w:tcW w:w="944" w:type="dxa"/>
                  <w:tcBorders>
                    <w:top w:val="nil"/>
                    <w:left w:val="nil"/>
                    <w:bottom w:val="single" w:color="auto" w:sz="4" w:space="0"/>
                    <w:right w:val="single" w:color="auto" w:sz="4" w:space="0"/>
                  </w:tcBorders>
                  <w:shd w:val="clear" w:color="auto" w:fill="auto"/>
                  <w:noWrap/>
                  <w:vAlign w:val="center"/>
                </w:tcPr>
                <w:p w14:paraId="029F11C9">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球机</w:t>
                  </w:r>
                </w:p>
              </w:tc>
              <w:tc>
                <w:tcPr>
                  <w:tcW w:w="851" w:type="dxa"/>
                  <w:tcBorders>
                    <w:top w:val="nil"/>
                    <w:left w:val="nil"/>
                    <w:bottom w:val="single" w:color="auto" w:sz="4" w:space="0"/>
                    <w:right w:val="single" w:color="auto" w:sz="4" w:space="0"/>
                  </w:tcBorders>
                  <w:shd w:val="clear" w:color="auto" w:fill="auto"/>
                  <w:noWrap/>
                  <w:vAlign w:val="center"/>
                </w:tcPr>
                <w:p w14:paraId="4B3DB63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113.544411</w:t>
                  </w:r>
                </w:p>
              </w:tc>
              <w:tc>
                <w:tcPr>
                  <w:tcW w:w="781" w:type="dxa"/>
                  <w:tcBorders>
                    <w:top w:val="nil"/>
                    <w:left w:val="nil"/>
                    <w:bottom w:val="single" w:color="auto" w:sz="4" w:space="0"/>
                    <w:right w:val="single" w:color="auto" w:sz="4" w:space="0"/>
                  </w:tcBorders>
                  <w:shd w:val="clear" w:color="auto" w:fill="auto"/>
                  <w:noWrap/>
                  <w:vAlign w:val="center"/>
                </w:tcPr>
                <w:p w14:paraId="33E218B5">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22.433031</w:t>
                  </w:r>
                </w:p>
              </w:tc>
            </w:tr>
            <w:tr w14:paraId="0A61C765">
              <w:tblPrEx>
                <w:tblCellMar>
                  <w:top w:w="0" w:type="dxa"/>
                  <w:left w:w="108" w:type="dxa"/>
                  <w:bottom w:w="0" w:type="dxa"/>
                  <w:right w:w="108" w:type="dxa"/>
                </w:tblCellMar>
              </w:tblPrEx>
              <w:trPr>
                <w:trHeight w:val="289" w:hRule="atLeast"/>
                <w:jc w:val="center"/>
              </w:trPr>
              <w:tc>
                <w:tcPr>
                  <w:tcW w:w="460" w:type="dxa"/>
                  <w:tcBorders>
                    <w:top w:val="nil"/>
                    <w:left w:val="single" w:color="auto" w:sz="4" w:space="0"/>
                    <w:bottom w:val="single" w:color="auto" w:sz="4" w:space="0"/>
                    <w:right w:val="single" w:color="auto" w:sz="4" w:space="0"/>
                  </w:tcBorders>
                  <w:shd w:val="clear" w:color="auto" w:fill="auto"/>
                  <w:noWrap/>
                  <w:vAlign w:val="center"/>
                </w:tcPr>
                <w:p w14:paraId="48B9D5A7">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1373" w:type="dxa"/>
                  <w:vMerge w:val="continue"/>
                  <w:tcBorders>
                    <w:top w:val="nil"/>
                    <w:left w:val="single" w:color="auto" w:sz="4" w:space="0"/>
                    <w:bottom w:val="single" w:color="auto" w:sz="4" w:space="0"/>
                    <w:right w:val="single" w:color="auto" w:sz="4" w:space="0"/>
                  </w:tcBorders>
                  <w:vAlign w:val="center"/>
                </w:tcPr>
                <w:p w14:paraId="7C41947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2088" w:type="dxa"/>
                  <w:tcBorders>
                    <w:top w:val="nil"/>
                    <w:left w:val="nil"/>
                    <w:bottom w:val="single" w:color="auto" w:sz="4" w:space="0"/>
                    <w:right w:val="single" w:color="auto" w:sz="4" w:space="0"/>
                  </w:tcBorders>
                  <w:shd w:val="clear" w:color="auto" w:fill="auto"/>
                  <w:vAlign w:val="center"/>
                </w:tcPr>
                <w:p w14:paraId="54ED50B8">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中山市翠亨新区海湾二路与翠云路十字路口北行方向球机</w:t>
                  </w:r>
                </w:p>
              </w:tc>
              <w:tc>
                <w:tcPr>
                  <w:tcW w:w="944" w:type="dxa"/>
                  <w:tcBorders>
                    <w:top w:val="nil"/>
                    <w:left w:val="nil"/>
                    <w:bottom w:val="single" w:color="auto" w:sz="4" w:space="0"/>
                    <w:right w:val="single" w:color="auto" w:sz="4" w:space="0"/>
                  </w:tcBorders>
                  <w:shd w:val="clear" w:color="auto" w:fill="auto"/>
                  <w:noWrap/>
                  <w:vAlign w:val="center"/>
                </w:tcPr>
                <w:p w14:paraId="08A2BBD9">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球机</w:t>
                  </w:r>
                </w:p>
              </w:tc>
              <w:tc>
                <w:tcPr>
                  <w:tcW w:w="851" w:type="dxa"/>
                  <w:tcBorders>
                    <w:top w:val="nil"/>
                    <w:left w:val="nil"/>
                    <w:bottom w:val="single" w:color="auto" w:sz="4" w:space="0"/>
                    <w:right w:val="single" w:color="auto" w:sz="4" w:space="0"/>
                  </w:tcBorders>
                  <w:shd w:val="clear" w:color="auto" w:fill="auto"/>
                  <w:noWrap/>
                  <w:vAlign w:val="center"/>
                </w:tcPr>
                <w:p w14:paraId="47DAD8C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113.544449</w:t>
                  </w:r>
                </w:p>
              </w:tc>
              <w:tc>
                <w:tcPr>
                  <w:tcW w:w="781" w:type="dxa"/>
                  <w:tcBorders>
                    <w:top w:val="nil"/>
                    <w:left w:val="nil"/>
                    <w:bottom w:val="single" w:color="auto" w:sz="4" w:space="0"/>
                    <w:right w:val="single" w:color="auto" w:sz="4" w:space="0"/>
                  </w:tcBorders>
                  <w:shd w:val="clear" w:color="auto" w:fill="auto"/>
                  <w:noWrap/>
                  <w:vAlign w:val="center"/>
                </w:tcPr>
                <w:p w14:paraId="4C72E4C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22.432053</w:t>
                  </w:r>
                </w:p>
              </w:tc>
            </w:tr>
            <w:tr w14:paraId="1FDDB496">
              <w:tblPrEx>
                <w:tblCellMar>
                  <w:top w:w="0" w:type="dxa"/>
                  <w:left w:w="108" w:type="dxa"/>
                  <w:bottom w:w="0" w:type="dxa"/>
                  <w:right w:w="108" w:type="dxa"/>
                </w:tblCellMar>
              </w:tblPrEx>
              <w:trPr>
                <w:trHeight w:val="289" w:hRule="atLeast"/>
                <w:jc w:val="center"/>
              </w:trPr>
              <w:tc>
                <w:tcPr>
                  <w:tcW w:w="460" w:type="dxa"/>
                  <w:tcBorders>
                    <w:top w:val="nil"/>
                    <w:left w:val="single" w:color="auto" w:sz="4" w:space="0"/>
                    <w:bottom w:val="single" w:color="auto" w:sz="4" w:space="0"/>
                    <w:right w:val="single" w:color="auto" w:sz="4" w:space="0"/>
                  </w:tcBorders>
                  <w:shd w:val="clear" w:color="auto" w:fill="auto"/>
                  <w:noWrap/>
                  <w:vAlign w:val="center"/>
                </w:tcPr>
                <w:p w14:paraId="095D5635">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1373" w:type="dxa"/>
                  <w:vMerge w:val="restart"/>
                  <w:tcBorders>
                    <w:top w:val="nil"/>
                    <w:left w:val="single" w:color="auto" w:sz="4" w:space="0"/>
                    <w:bottom w:val="single" w:color="auto" w:sz="4" w:space="0"/>
                    <w:right w:val="single" w:color="auto" w:sz="4" w:space="0"/>
                  </w:tcBorders>
                  <w:shd w:val="clear" w:color="auto" w:fill="auto"/>
                  <w:vAlign w:val="center"/>
                </w:tcPr>
                <w:p w14:paraId="54F1E112">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翠锦路与长平路十字路口</w:t>
                  </w:r>
                </w:p>
              </w:tc>
              <w:tc>
                <w:tcPr>
                  <w:tcW w:w="2088" w:type="dxa"/>
                  <w:tcBorders>
                    <w:top w:val="nil"/>
                    <w:left w:val="nil"/>
                    <w:bottom w:val="single" w:color="auto" w:sz="4" w:space="0"/>
                    <w:right w:val="single" w:color="auto" w:sz="4" w:space="0"/>
                  </w:tcBorders>
                  <w:shd w:val="clear" w:color="auto" w:fill="auto"/>
                  <w:vAlign w:val="center"/>
                </w:tcPr>
                <w:p w14:paraId="16C8BBA8">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中山市翠亨新区翠锦路与长平路十字路口东行方向球机</w:t>
                  </w:r>
                </w:p>
              </w:tc>
              <w:tc>
                <w:tcPr>
                  <w:tcW w:w="944" w:type="dxa"/>
                  <w:tcBorders>
                    <w:top w:val="nil"/>
                    <w:left w:val="nil"/>
                    <w:bottom w:val="single" w:color="auto" w:sz="4" w:space="0"/>
                    <w:right w:val="single" w:color="auto" w:sz="4" w:space="0"/>
                  </w:tcBorders>
                  <w:shd w:val="clear" w:color="auto" w:fill="auto"/>
                  <w:noWrap/>
                  <w:vAlign w:val="center"/>
                </w:tcPr>
                <w:p w14:paraId="1DF03770">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球机</w:t>
                  </w:r>
                </w:p>
              </w:tc>
              <w:tc>
                <w:tcPr>
                  <w:tcW w:w="851" w:type="dxa"/>
                  <w:tcBorders>
                    <w:top w:val="nil"/>
                    <w:left w:val="nil"/>
                    <w:bottom w:val="single" w:color="auto" w:sz="4" w:space="0"/>
                    <w:right w:val="single" w:color="auto" w:sz="4" w:space="0"/>
                  </w:tcBorders>
                  <w:shd w:val="clear" w:color="auto" w:fill="auto"/>
                  <w:noWrap/>
                  <w:vAlign w:val="center"/>
                </w:tcPr>
                <w:p w14:paraId="05E4C1B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113.538608</w:t>
                  </w:r>
                </w:p>
              </w:tc>
              <w:tc>
                <w:tcPr>
                  <w:tcW w:w="781" w:type="dxa"/>
                  <w:tcBorders>
                    <w:top w:val="nil"/>
                    <w:left w:val="nil"/>
                    <w:bottom w:val="single" w:color="auto" w:sz="4" w:space="0"/>
                    <w:right w:val="single" w:color="auto" w:sz="4" w:space="0"/>
                  </w:tcBorders>
                  <w:shd w:val="clear" w:color="auto" w:fill="auto"/>
                  <w:noWrap/>
                  <w:vAlign w:val="center"/>
                </w:tcPr>
                <w:p w14:paraId="760090C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22.418564</w:t>
                  </w:r>
                </w:p>
              </w:tc>
            </w:tr>
            <w:tr w14:paraId="74DA96A2">
              <w:tblPrEx>
                <w:tblCellMar>
                  <w:top w:w="0" w:type="dxa"/>
                  <w:left w:w="108" w:type="dxa"/>
                  <w:bottom w:w="0" w:type="dxa"/>
                  <w:right w:w="108" w:type="dxa"/>
                </w:tblCellMar>
              </w:tblPrEx>
              <w:trPr>
                <w:trHeight w:val="289" w:hRule="atLeast"/>
                <w:jc w:val="center"/>
              </w:trPr>
              <w:tc>
                <w:tcPr>
                  <w:tcW w:w="460" w:type="dxa"/>
                  <w:tcBorders>
                    <w:top w:val="nil"/>
                    <w:left w:val="single" w:color="auto" w:sz="4" w:space="0"/>
                    <w:bottom w:val="single" w:color="auto" w:sz="4" w:space="0"/>
                    <w:right w:val="single" w:color="auto" w:sz="4" w:space="0"/>
                  </w:tcBorders>
                  <w:shd w:val="clear" w:color="auto" w:fill="auto"/>
                  <w:noWrap/>
                  <w:vAlign w:val="center"/>
                </w:tcPr>
                <w:p w14:paraId="3E6DD24C">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1373" w:type="dxa"/>
                  <w:vMerge w:val="continue"/>
                  <w:tcBorders>
                    <w:top w:val="nil"/>
                    <w:left w:val="single" w:color="auto" w:sz="4" w:space="0"/>
                    <w:bottom w:val="single" w:color="auto" w:sz="4" w:space="0"/>
                    <w:right w:val="single" w:color="auto" w:sz="4" w:space="0"/>
                  </w:tcBorders>
                  <w:vAlign w:val="center"/>
                </w:tcPr>
                <w:p w14:paraId="14534D9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2088" w:type="dxa"/>
                  <w:tcBorders>
                    <w:top w:val="nil"/>
                    <w:left w:val="nil"/>
                    <w:bottom w:val="single" w:color="auto" w:sz="4" w:space="0"/>
                    <w:right w:val="single" w:color="auto" w:sz="4" w:space="0"/>
                  </w:tcBorders>
                  <w:shd w:val="clear" w:color="auto" w:fill="auto"/>
                  <w:vAlign w:val="center"/>
                </w:tcPr>
                <w:p w14:paraId="26BD7A9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中山市翠亨新区翠锦路与长平路十字路口西行方向球机</w:t>
                  </w:r>
                </w:p>
              </w:tc>
              <w:tc>
                <w:tcPr>
                  <w:tcW w:w="944" w:type="dxa"/>
                  <w:tcBorders>
                    <w:top w:val="nil"/>
                    <w:left w:val="nil"/>
                    <w:bottom w:val="single" w:color="auto" w:sz="4" w:space="0"/>
                    <w:right w:val="single" w:color="auto" w:sz="4" w:space="0"/>
                  </w:tcBorders>
                  <w:shd w:val="clear" w:color="auto" w:fill="auto"/>
                  <w:noWrap/>
                  <w:vAlign w:val="center"/>
                </w:tcPr>
                <w:p w14:paraId="6416F424">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球机</w:t>
                  </w:r>
                </w:p>
              </w:tc>
              <w:tc>
                <w:tcPr>
                  <w:tcW w:w="851" w:type="dxa"/>
                  <w:tcBorders>
                    <w:top w:val="nil"/>
                    <w:left w:val="nil"/>
                    <w:bottom w:val="single" w:color="auto" w:sz="4" w:space="0"/>
                    <w:right w:val="single" w:color="auto" w:sz="4" w:space="0"/>
                  </w:tcBorders>
                  <w:shd w:val="clear" w:color="auto" w:fill="auto"/>
                  <w:noWrap/>
                  <w:vAlign w:val="center"/>
                </w:tcPr>
                <w:p w14:paraId="09419BC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113.53964</w:t>
                  </w:r>
                </w:p>
              </w:tc>
              <w:tc>
                <w:tcPr>
                  <w:tcW w:w="781" w:type="dxa"/>
                  <w:tcBorders>
                    <w:top w:val="nil"/>
                    <w:left w:val="nil"/>
                    <w:bottom w:val="single" w:color="auto" w:sz="4" w:space="0"/>
                    <w:right w:val="single" w:color="auto" w:sz="4" w:space="0"/>
                  </w:tcBorders>
                  <w:shd w:val="clear" w:color="auto" w:fill="auto"/>
                  <w:noWrap/>
                  <w:vAlign w:val="center"/>
                </w:tcPr>
                <w:p w14:paraId="525FAFD9">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22.418309</w:t>
                  </w:r>
                </w:p>
              </w:tc>
            </w:tr>
            <w:tr w14:paraId="7AC09698">
              <w:tblPrEx>
                <w:tblCellMar>
                  <w:top w:w="0" w:type="dxa"/>
                  <w:left w:w="108" w:type="dxa"/>
                  <w:bottom w:w="0" w:type="dxa"/>
                  <w:right w:w="108" w:type="dxa"/>
                </w:tblCellMar>
              </w:tblPrEx>
              <w:trPr>
                <w:trHeight w:val="289" w:hRule="atLeast"/>
                <w:jc w:val="center"/>
              </w:trPr>
              <w:tc>
                <w:tcPr>
                  <w:tcW w:w="460" w:type="dxa"/>
                  <w:tcBorders>
                    <w:top w:val="nil"/>
                    <w:left w:val="single" w:color="auto" w:sz="4" w:space="0"/>
                    <w:bottom w:val="single" w:color="auto" w:sz="4" w:space="0"/>
                    <w:right w:val="single" w:color="auto" w:sz="4" w:space="0"/>
                  </w:tcBorders>
                  <w:shd w:val="clear" w:color="auto" w:fill="auto"/>
                  <w:noWrap/>
                  <w:vAlign w:val="center"/>
                </w:tcPr>
                <w:p w14:paraId="75FC8FFA">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1373" w:type="dxa"/>
                  <w:vMerge w:val="continue"/>
                  <w:tcBorders>
                    <w:top w:val="nil"/>
                    <w:left w:val="single" w:color="auto" w:sz="4" w:space="0"/>
                    <w:bottom w:val="single" w:color="auto" w:sz="4" w:space="0"/>
                    <w:right w:val="single" w:color="auto" w:sz="4" w:space="0"/>
                  </w:tcBorders>
                  <w:vAlign w:val="center"/>
                </w:tcPr>
                <w:p w14:paraId="03EBB93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2088" w:type="dxa"/>
                  <w:tcBorders>
                    <w:top w:val="nil"/>
                    <w:left w:val="nil"/>
                    <w:bottom w:val="single" w:color="auto" w:sz="4" w:space="0"/>
                    <w:right w:val="single" w:color="auto" w:sz="4" w:space="0"/>
                  </w:tcBorders>
                  <w:shd w:val="clear" w:color="auto" w:fill="auto"/>
                  <w:vAlign w:val="center"/>
                </w:tcPr>
                <w:p w14:paraId="25D743A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中山市翠亨新区翠锦路与长平路十字路口南行方向球机</w:t>
                  </w:r>
                </w:p>
              </w:tc>
              <w:tc>
                <w:tcPr>
                  <w:tcW w:w="944" w:type="dxa"/>
                  <w:tcBorders>
                    <w:top w:val="nil"/>
                    <w:left w:val="nil"/>
                    <w:bottom w:val="single" w:color="auto" w:sz="4" w:space="0"/>
                    <w:right w:val="single" w:color="auto" w:sz="4" w:space="0"/>
                  </w:tcBorders>
                  <w:shd w:val="clear" w:color="auto" w:fill="auto"/>
                  <w:noWrap/>
                  <w:vAlign w:val="center"/>
                </w:tcPr>
                <w:p w14:paraId="7C7971EB">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球机</w:t>
                  </w:r>
                </w:p>
              </w:tc>
              <w:tc>
                <w:tcPr>
                  <w:tcW w:w="851" w:type="dxa"/>
                  <w:tcBorders>
                    <w:top w:val="nil"/>
                    <w:left w:val="nil"/>
                    <w:bottom w:val="single" w:color="auto" w:sz="4" w:space="0"/>
                    <w:right w:val="single" w:color="auto" w:sz="4" w:space="0"/>
                  </w:tcBorders>
                  <w:shd w:val="clear" w:color="auto" w:fill="auto"/>
                  <w:noWrap/>
                  <w:vAlign w:val="center"/>
                </w:tcPr>
                <w:p w14:paraId="30BE133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113.539123</w:t>
                  </w:r>
                </w:p>
              </w:tc>
              <w:tc>
                <w:tcPr>
                  <w:tcW w:w="781" w:type="dxa"/>
                  <w:tcBorders>
                    <w:top w:val="nil"/>
                    <w:left w:val="nil"/>
                    <w:bottom w:val="single" w:color="auto" w:sz="4" w:space="0"/>
                    <w:right w:val="single" w:color="auto" w:sz="4" w:space="0"/>
                  </w:tcBorders>
                  <w:shd w:val="clear" w:color="auto" w:fill="auto"/>
                  <w:noWrap/>
                  <w:vAlign w:val="center"/>
                </w:tcPr>
                <w:p w14:paraId="666892F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22.418966</w:t>
                  </w:r>
                </w:p>
              </w:tc>
            </w:tr>
            <w:tr w14:paraId="3691BBA2">
              <w:tblPrEx>
                <w:tblCellMar>
                  <w:top w:w="0" w:type="dxa"/>
                  <w:left w:w="108" w:type="dxa"/>
                  <w:bottom w:w="0" w:type="dxa"/>
                  <w:right w:w="108" w:type="dxa"/>
                </w:tblCellMar>
              </w:tblPrEx>
              <w:trPr>
                <w:trHeight w:val="289" w:hRule="atLeast"/>
                <w:jc w:val="center"/>
              </w:trPr>
              <w:tc>
                <w:tcPr>
                  <w:tcW w:w="460" w:type="dxa"/>
                  <w:tcBorders>
                    <w:top w:val="nil"/>
                    <w:left w:val="single" w:color="auto" w:sz="4" w:space="0"/>
                    <w:bottom w:val="single" w:color="auto" w:sz="4" w:space="0"/>
                    <w:right w:val="single" w:color="auto" w:sz="4" w:space="0"/>
                  </w:tcBorders>
                  <w:shd w:val="clear" w:color="auto" w:fill="auto"/>
                  <w:noWrap/>
                  <w:vAlign w:val="center"/>
                </w:tcPr>
                <w:p w14:paraId="65F71095">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w:t>
                  </w:r>
                </w:p>
              </w:tc>
              <w:tc>
                <w:tcPr>
                  <w:tcW w:w="1373" w:type="dxa"/>
                  <w:vMerge w:val="continue"/>
                  <w:tcBorders>
                    <w:top w:val="nil"/>
                    <w:left w:val="single" w:color="auto" w:sz="4" w:space="0"/>
                    <w:bottom w:val="single" w:color="auto" w:sz="4" w:space="0"/>
                    <w:right w:val="single" w:color="auto" w:sz="4" w:space="0"/>
                  </w:tcBorders>
                  <w:vAlign w:val="center"/>
                </w:tcPr>
                <w:p w14:paraId="04621A4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2088" w:type="dxa"/>
                  <w:tcBorders>
                    <w:top w:val="nil"/>
                    <w:left w:val="nil"/>
                    <w:bottom w:val="single" w:color="auto" w:sz="4" w:space="0"/>
                    <w:right w:val="single" w:color="auto" w:sz="4" w:space="0"/>
                  </w:tcBorders>
                  <w:shd w:val="clear" w:color="auto" w:fill="auto"/>
                  <w:vAlign w:val="center"/>
                </w:tcPr>
                <w:p w14:paraId="3AA4D2A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中山市翠亨新区翠锦路与长平路十字路口北行方向球机</w:t>
                  </w:r>
                </w:p>
              </w:tc>
              <w:tc>
                <w:tcPr>
                  <w:tcW w:w="944" w:type="dxa"/>
                  <w:tcBorders>
                    <w:top w:val="nil"/>
                    <w:left w:val="nil"/>
                    <w:bottom w:val="single" w:color="auto" w:sz="4" w:space="0"/>
                    <w:right w:val="single" w:color="auto" w:sz="4" w:space="0"/>
                  </w:tcBorders>
                  <w:shd w:val="clear" w:color="auto" w:fill="auto"/>
                  <w:noWrap/>
                  <w:vAlign w:val="center"/>
                </w:tcPr>
                <w:p w14:paraId="62A0605C">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球机</w:t>
                  </w:r>
                </w:p>
              </w:tc>
              <w:tc>
                <w:tcPr>
                  <w:tcW w:w="851" w:type="dxa"/>
                  <w:tcBorders>
                    <w:top w:val="nil"/>
                    <w:left w:val="nil"/>
                    <w:bottom w:val="single" w:color="auto" w:sz="4" w:space="0"/>
                    <w:right w:val="single" w:color="auto" w:sz="4" w:space="0"/>
                  </w:tcBorders>
                  <w:shd w:val="clear" w:color="auto" w:fill="auto"/>
                  <w:noWrap/>
                  <w:vAlign w:val="center"/>
                </w:tcPr>
                <w:p w14:paraId="44A803D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113.539146</w:t>
                  </w:r>
                </w:p>
              </w:tc>
              <w:tc>
                <w:tcPr>
                  <w:tcW w:w="781" w:type="dxa"/>
                  <w:tcBorders>
                    <w:top w:val="nil"/>
                    <w:left w:val="nil"/>
                    <w:bottom w:val="single" w:color="auto" w:sz="4" w:space="0"/>
                    <w:right w:val="single" w:color="auto" w:sz="4" w:space="0"/>
                  </w:tcBorders>
                  <w:shd w:val="clear" w:color="auto" w:fill="auto"/>
                  <w:noWrap/>
                  <w:vAlign w:val="center"/>
                </w:tcPr>
                <w:p w14:paraId="452527C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22.41797</w:t>
                  </w:r>
                </w:p>
              </w:tc>
            </w:tr>
            <w:tr w14:paraId="0EBB9F20">
              <w:tblPrEx>
                <w:tblCellMar>
                  <w:top w:w="0" w:type="dxa"/>
                  <w:left w:w="108" w:type="dxa"/>
                  <w:bottom w:w="0" w:type="dxa"/>
                  <w:right w:w="108" w:type="dxa"/>
                </w:tblCellMar>
              </w:tblPrEx>
              <w:trPr>
                <w:trHeight w:val="289" w:hRule="atLeast"/>
                <w:jc w:val="center"/>
              </w:trPr>
              <w:tc>
                <w:tcPr>
                  <w:tcW w:w="460" w:type="dxa"/>
                  <w:tcBorders>
                    <w:top w:val="nil"/>
                    <w:left w:val="single" w:color="auto" w:sz="4" w:space="0"/>
                    <w:bottom w:val="single" w:color="auto" w:sz="4" w:space="0"/>
                    <w:right w:val="single" w:color="auto" w:sz="4" w:space="0"/>
                  </w:tcBorders>
                  <w:shd w:val="clear" w:color="auto" w:fill="auto"/>
                  <w:noWrap/>
                  <w:vAlign w:val="center"/>
                </w:tcPr>
                <w:p w14:paraId="18A9B382">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w:t>
                  </w:r>
                </w:p>
              </w:tc>
              <w:tc>
                <w:tcPr>
                  <w:tcW w:w="1373" w:type="dxa"/>
                  <w:vMerge w:val="restart"/>
                  <w:tcBorders>
                    <w:top w:val="nil"/>
                    <w:left w:val="single" w:color="auto" w:sz="4" w:space="0"/>
                    <w:bottom w:val="single" w:color="auto" w:sz="4" w:space="0"/>
                    <w:right w:val="single" w:color="auto" w:sz="4" w:space="0"/>
                  </w:tcBorders>
                  <w:shd w:val="clear" w:color="auto" w:fill="auto"/>
                  <w:vAlign w:val="center"/>
                </w:tcPr>
                <w:p w14:paraId="21128C79">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翠锦路与翠云路十字路口</w:t>
                  </w:r>
                </w:p>
              </w:tc>
              <w:tc>
                <w:tcPr>
                  <w:tcW w:w="2088" w:type="dxa"/>
                  <w:tcBorders>
                    <w:top w:val="nil"/>
                    <w:left w:val="nil"/>
                    <w:bottom w:val="single" w:color="auto" w:sz="4" w:space="0"/>
                    <w:right w:val="single" w:color="auto" w:sz="4" w:space="0"/>
                  </w:tcBorders>
                  <w:shd w:val="clear" w:color="auto" w:fill="auto"/>
                  <w:vAlign w:val="center"/>
                </w:tcPr>
                <w:p w14:paraId="20FD6D6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中山市翠亨新区翠锦路与翠云路十字路口东行方向球机</w:t>
                  </w:r>
                </w:p>
              </w:tc>
              <w:tc>
                <w:tcPr>
                  <w:tcW w:w="944" w:type="dxa"/>
                  <w:tcBorders>
                    <w:top w:val="nil"/>
                    <w:left w:val="nil"/>
                    <w:bottom w:val="single" w:color="auto" w:sz="4" w:space="0"/>
                    <w:right w:val="single" w:color="auto" w:sz="4" w:space="0"/>
                  </w:tcBorders>
                  <w:shd w:val="clear" w:color="auto" w:fill="auto"/>
                  <w:noWrap/>
                  <w:vAlign w:val="center"/>
                </w:tcPr>
                <w:p w14:paraId="16EFA7D1">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球机</w:t>
                  </w:r>
                </w:p>
              </w:tc>
              <w:tc>
                <w:tcPr>
                  <w:tcW w:w="851" w:type="dxa"/>
                  <w:tcBorders>
                    <w:top w:val="nil"/>
                    <w:left w:val="nil"/>
                    <w:bottom w:val="single" w:color="auto" w:sz="4" w:space="0"/>
                    <w:right w:val="single" w:color="auto" w:sz="4" w:space="0"/>
                  </w:tcBorders>
                  <w:shd w:val="clear" w:color="auto" w:fill="auto"/>
                  <w:noWrap/>
                  <w:vAlign w:val="center"/>
                </w:tcPr>
                <w:p w14:paraId="0FA199C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113.541636</w:t>
                  </w:r>
                </w:p>
              </w:tc>
              <w:tc>
                <w:tcPr>
                  <w:tcW w:w="781" w:type="dxa"/>
                  <w:tcBorders>
                    <w:top w:val="nil"/>
                    <w:left w:val="nil"/>
                    <w:bottom w:val="single" w:color="auto" w:sz="4" w:space="0"/>
                    <w:right w:val="single" w:color="auto" w:sz="4" w:space="0"/>
                  </w:tcBorders>
                  <w:shd w:val="clear" w:color="auto" w:fill="auto"/>
                  <w:noWrap/>
                  <w:vAlign w:val="center"/>
                </w:tcPr>
                <w:p w14:paraId="2D63E00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22.433175</w:t>
                  </w:r>
                </w:p>
              </w:tc>
            </w:tr>
            <w:tr w14:paraId="0470B4B7">
              <w:tblPrEx>
                <w:tblCellMar>
                  <w:top w:w="0" w:type="dxa"/>
                  <w:left w:w="108" w:type="dxa"/>
                  <w:bottom w:w="0" w:type="dxa"/>
                  <w:right w:w="108" w:type="dxa"/>
                </w:tblCellMar>
              </w:tblPrEx>
              <w:trPr>
                <w:trHeight w:val="289" w:hRule="atLeast"/>
                <w:jc w:val="center"/>
              </w:trPr>
              <w:tc>
                <w:tcPr>
                  <w:tcW w:w="460" w:type="dxa"/>
                  <w:tcBorders>
                    <w:top w:val="nil"/>
                    <w:left w:val="single" w:color="auto" w:sz="4" w:space="0"/>
                    <w:bottom w:val="single" w:color="auto" w:sz="4" w:space="0"/>
                    <w:right w:val="single" w:color="auto" w:sz="4" w:space="0"/>
                  </w:tcBorders>
                  <w:shd w:val="clear" w:color="auto" w:fill="auto"/>
                  <w:noWrap/>
                  <w:vAlign w:val="center"/>
                </w:tcPr>
                <w:p w14:paraId="5B495184">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w:t>
                  </w:r>
                </w:p>
              </w:tc>
              <w:tc>
                <w:tcPr>
                  <w:tcW w:w="1373" w:type="dxa"/>
                  <w:vMerge w:val="continue"/>
                  <w:tcBorders>
                    <w:top w:val="nil"/>
                    <w:left w:val="single" w:color="auto" w:sz="4" w:space="0"/>
                    <w:bottom w:val="single" w:color="auto" w:sz="4" w:space="0"/>
                    <w:right w:val="single" w:color="auto" w:sz="4" w:space="0"/>
                  </w:tcBorders>
                  <w:vAlign w:val="center"/>
                </w:tcPr>
                <w:p w14:paraId="244B7044">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2088" w:type="dxa"/>
                  <w:tcBorders>
                    <w:top w:val="nil"/>
                    <w:left w:val="nil"/>
                    <w:bottom w:val="single" w:color="auto" w:sz="4" w:space="0"/>
                    <w:right w:val="single" w:color="auto" w:sz="4" w:space="0"/>
                  </w:tcBorders>
                  <w:shd w:val="clear" w:color="auto" w:fill="auto"/>
                  <w:vAlign w:val="center"/>
                </w:tcPr>
                <w:p w14:paraId="6AFDE955">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中山市翠亨新区翠锦路与翠云路十字路口西行方向球机</w:t>
                  </w:r>
                </w:p>
              </w:tc>
              <w:tc>
                <w:tcPr>
                  <w:tcW w:w="944" w:type="dxa"/>
                  <w:tcBorders>
                    <w:top w:val="nil"/>
                    <w:left w:val="nil"/>
                    <w:bottom w:val="single" w:color="auto" w:sz="4" w:space="0"/>
                    <w:right w:val="single" w:color="auto" w:sz="4" w:space="0"/>
                  </w:tcBorders>
                  <w:shd w:val="clear" w:color="auto" w:fill="auto"/>
                  <w:noWrap/>
                  <w:vAlign w:val="center"/>
                </w:tcPr>
                <w:p w14:paraId="08B45D25">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球机</w:t>
                  </w:r>
                </w:p>
              </w:tc>
              <w:tc>
                <w:tcPr>
                  <w:tcW w:w="851" w:type="dxa"/>
                  <w:tcBorders>
                    <w:top w:val="nil"/>
                    <w:left w:val="nil"/>
                    <w:bottom w:val="single" w:color="auto" w:sz="4" w:space="0"/>
                    <w:right w:val="single" w:color="auto" w:sz="4" w:space="0"/>
                  </w:tcBorders>
                  <w:shd w:val="clear" w:color="auto" w:fill="auto"/>
                  <w:noWrap/>
                  <w:vAlign w:val="center"/>
                </w:tcPr>
                <w:p w14:paraId="06A5CAB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113.542528</w:t>
                  </w:r>
                </w:p>
              </w:tc>
              <w:tc>
                <w:tcPr>
                  <w:tcW w:w="781" w:type="dxa"/>
                  <w:tcBorders>
                    <w:top w:val="nil"/>
                    <w:left w:val="nil"/>
                    <w:bottom w:val="single" w:color="auto" w:sz="4" w:space="0"/>
                    <w:right w:val="single" w:color="auto" w:sz="4" w:space="0"/>
                  </w:tcBorders>
                  <w:shd w:val="clear" w:color="auto" w:fill="auto"/>
                  <w:noWrap/>
                  <w:vAlign w:val="center"/>
                </w:tcPr>
                <w:p w14:paraId="5EB67C49">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22.432957</w:t>
                  </w:r>
                </w:p>
              </w:tc>
            </w:tr>
            <w:tr w14:paraId="002F9F43">
              <w:tblPrEx>
                <w:tblCellMar>
                  <w:top w:w="0" w:type="dxa"/>
                  <w:left w:w="108" w:type="dxa"/>
                  <w:bottom w:w="0" w:type="dxa"/>
                  <w:right w:w="108" w:type="dxa"/>
                </w:tblCellMar>
              </w:tblPrEx>
              <w:trPr>
                <w:trHeight w:val="289" w:hRule="atLeast"/>
                <w:jc w:val="center"/>
              </w:trPr>
              <w:tc>
                <w:tcPr>
                  <w:tcW w:w="460" w:type="dxa"/>
                  <w:tcBorders>
                    <w:top w:val="nil"/>
                    <w:left w:val="single" w:color="auto" w:sz="4" w:space="0"/>
                    <w:bottom w:val="single" w:color="auto" w:sz="4" w:space="0"/>
                    <w:right w:val="single" w:color="auto" w:sz="4" w:space="0"/>
                  </w:tcBorders>
                  <w:shd w:val="clear" w:color="auto" w:fill="auto"/>
                  <w:noWrap/>
                  <w:vAlign w:val="center"/>
                </w:tcPr>
                <w:p w14:paraId="2ACD6F77">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w:t>
                  </w:r>
                </w:p>
              </w:tc>
              <w:tc>
                <w:tcPr>
                  <w:tcW w:w="1373" w:type="dxa"/>
                  <w:vMerge w:val="continue"/>
                  <w:tcBorders>
                    <w:top w:val="nil"/>
                    <w:left w:val="single" w:color="auto" w:sz="4" w:space="0"/>
                    <w:bottom w:val="single" w:color="auto" w:sz="4" w:space="0"/>
                    <w:right w:val="single" w:color="auto" w:sz="4" w:space="0"/>
                  </w:tcBorders>
                  <w:vAlign w:val="center"/>
                </w:tcPr>
                <w:p w14:paraId="3CF6B692">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2088" w:type="dxa"/>
                  <w:tcBorders>
                    <w:top w:val="nil"/>
                    <w:left w:val="nil"/>
                    <w:bottom w:val="single" w:color="auto" w:sz="4" w:space="0"/>
                    <w:right w:val="single" w:color="auto" w:sz="4" w:space="0"/>
                  </w:tcBorders>
                  <w:shd w:val="clear" w:color="auto" w:fill="auto"/>
                  <w:vAlign w:val="center"/>
                </w:tcPr>
                <w:p w14:paraId="5B25B5E5">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中山市翠亨新区翠锦路与翠云路十字路口南行方向球机</w:t>
                  </w:r>
                </w:p>
              </w:tc>
              <w:tc>
                <w:tcPr>
                  <w:tcW w:w="944" w:type="dxa"/>
                  <w:tcBorders>
                    <w:top w:val="nil"/>
                    <w:left w:val="nil"/>
                    <w:bottom w:val="single" w:color="auto" w:sz="4" w:space="0"/>
                    <w:right w:val="single" w:color="auto" w:sz="4" w:space="0"/>
                  </w:tcBorders>
                  <w:shd w:val="clear" w:color="auto" w:fill="auto"/>
                  <w:noWrap/>
                  <w:vAlign w:val="center"/>
                </w:tcPr>
                <w:p w14:paraId="5914074B">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球机</w:t>
                  </w:r>
                </w:p>
              </w:tc>
              <w:tc>
                <w:tcPr>
                  <w:tcW w:w="851" w:type="dxa"/>
                  <w:tcBorders>
                    <w:top w:val="nil"/>
                    <w:left w:val="nil"/>
                    <w:bottom w:val="single" w:color="auto" w:sz="4" w:space="0"/>
                    <w:right w:val="single" w:color="auto" w:sz="4" w:space="0"/>
                  </w:tcBorders>
                  <w:shd w:val="clear" w:color="auto" w:fill="auto"/>
                  <w:noWrap/>
                  <w:vAlign w:val="center"/>
                </w:tcPr>
                <w:p w14:paraId="59CB5A9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113.541821</w:t>
                  </w:r>
                </w:p>
              </w:tc>
              <w:tc>
                <w:tcPr>
                  <w:tcW w:w="781" w:type="dxa"/>
                  <w:tcBorders>
                    <w:top w:val="nil"/>
                    <w:left w:val="nil"/>
                    <w:bottom w:val="single" w:color="auto" w:sz="4" w:space="0"/>
                    <w:right w:val="single" w:color="auto" w:sz="4" w:space="0"/>
                  </w:tcBorders>
                  <w:shd w:val="clear" w:color="auto" w:fill="auto"/>
                  <w:noWrap/>
                  <w:vAlign w:val="center"/>
                </w:tcPr>
                <w:p w14:paraId="4BBF7475">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22.433568</w:t>
                  </w:r>
                </w:p>
              </w:tc>
            </w:tr>
            <w:tr w14:paraId="1A199F28">
              <w:tblPrEx>
                <w:tblCellMar>
                  <w:top w:w="0" w:type="dxa"/>
                  <w:left w:w="108" w:type="dxa"/>
                  <w:bottom w:w="0" w:type="dxa"/>
                  <w:right w:w="108" w:type="dxa"/>
                </w:tblCellMar>
              </w:tblPrEx>
              <w:trPr>
                <w:trHeight w:val="289" w:hRule="atLeast"/>
                <w:jc w:val="center"/>
              </w:trPr>
              <w:tc>
                <w:tcPr>
                  <w:tcW w:w="460" w:type="dxa"/>
                  <w:tcBorders>
                    <w:top w:val="nil"/>
                    <w:left w:val="single" w:color="auto" w:sz="4" w:space="0"/>
                    <w:bottom w:val="single" w:color="auto" w:sz="4" w:space="0"/>
                    <w:right w:val="single" w:color="auto" w:sz="4" w:space="0"/>
                  </w:tcBorders>
                  <w:shd w:val="clear" w:color="auto" w:fill="auto"/>
                  <w:noWrap/>
                  <w:vAlign w:val="center"/>
                </w:tcPr>
                <w:p w14:paraId="3F1E9867">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w:t>
                  </w:r>
                </w:p>
              </w:tc>
              <w:tc>
                <w:tcPr>
                  <w:tcW w:w="1373" w:type="dxa"/>
                  <w:vMerge w:val="continue"/>
                  <w:tcBorders>
                    <w:top w:val="nil"/>
                    <w:left w:val="single" w:color="auto" w:sz="4" w:space="0"/>
                    <w:bottom w:val="single" w:color="auto" w:sz="4" w:space="0"/>
                    <w:right w:val="single" w:color="auto" w:sz="4" w:space="0"/>
                  </w:tcBorders>
                  <w:vAlign w:val="center"/>
                </w:tcPr>
                <w:p w14:paraId="5DAD0EE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p>
              </w:tc>
              <w:tc>
                <w:tcPr>
                  <w:tcW w:w="2088" w:type="dxa"/>
                  <w:tcBorders>
                    <w:top w:val="nil"/>
                    <w:left w:val="nil"/>
                    <w:bottom w:val="single" w:color="auto" w:sz="4" w:space="0"/>
                    <w:right w:val="single" w:color="auto" w:sz="4" w:space="0"/>
                  </w:tcBorders>
                  <w:shd w:val="clear" w:color="auto" w:fill="auto"/>
                  <w:vAlign w:val="center"/>
                </w:tcPr>
                <w:p w14:paraId="2C38D3B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中山市翠亨新区翠锦路与翠云路十字路口北行方向球机</w:t>
                  </w:r>
                </w:p>
              </w:tc>
              <w:tc>
                <w:tcPr>
                  <w:tcW w:w="944" w:type="dxa"/>
                  <w:tcBorders>
                    <w:top w:val="nil"/>
                    <w:left w:val="nil"/>
                    <w:bottom w:val="single" w:color="auto" w:sz="4" w:space="0"/>
                    <w:right w:val="single" w:color="auto" w:sz="4" w:space="0"/>
                  </w:tcBorders>
                  <w:shd w:val="clear" w:color="auto" w:fill="auto"/>
                  <w:noWrap/>
                  <w:vAlign w:val="center"/>
                </w:tcPr>
                <w:p w14:paraId="2B01D40D">
                  <w:pPr>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球机</w:t>
                  </w:r>
                </w:p>
              </w:tc>
              <w:tc>
                <w:tcPr>
                  <w:tcW w:w="851" w:type="dxa"/>
                  <w:tcBorders>
                    <w:top w:val="nil"/>
                    <w:left w:val="nil"/>
                    <w:bottom w:val="single" w:color="auto" w:sz="4" w:space="0"/>
                    <w:right w:val="single" w:color="auto" w:sz="4" w:space="0"/>
                  </w:tcBorders>
                  <w:shd w:val="clear" w:color="auto" w:fill="auto"/>
                  <w:noWrap/>
                  <w:vAlign w:val="center"/>
                </w:tcPr>
                <w:p w14:paraId="234CDB26">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113.542327</w:t>
                  </w:r>
                </w:p>
              </w:tc>
              <w:tc>
                <w:tcPr>
                  <w:tcW w:w="781" w:type="dxa"/>
                  <w:tcBorders>
                    <w:top w:val="nil"/>
                    <w:left w:val="nil"/>
                    <w:bottom w:val="single" w:color="auto" w:sz="4" w:space="0"/>
                    <w:right w:val="single" w:color="auto" w:sz="4" w:space="0"/>
                  </w:tcBorders>
                  <w:shd w:val="clear" w:color="auto" w:fill="auto"/>
                  <w:noWrap/>
                  <w:vAlign w:val="center"/>
                </w:tcPr>
                <w:p w14:paraId="62F5CF2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22.432601</w:t>
                  </w:r>
                </w:p>
              </w:tc>
            </w:tr>
          </w:tbl>
          <w:p w14:paraId="61827895">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2"/>
                <w:szCs w:val="22"/>
              </w:rPr>
            </w:pPr>
          </w:p>
          <w:p w14:paraId="7E38AF2A">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bookmarkStart w:id="23" w:name="_Hlk155734551"/>
            <w:r>
              <w:rPr>
                <w:rFonts w:hint="eastAsia" w:ascii="宋体" w:hAnsi="宋体" w:eastAsia="宋体" w:cs="宋体"/>
                <w:b/>
                <w:bCs/>
                <w:kern w:val="2"/>
                <w:sz w:val="22"/>
                <w:szCs w:val="22"/>
                <w:lang w:val="en-US" w:eastAsia="zh-CN" w:bidi="ar-SA"/>
              </w:rPr>
              <w:t>2.2</w:t>
            </w:r>
            <w:r>
              <w:rPr>
                <w:rFonts w:hint="eastAsia" w:ascii="宋体" w:hAnsi="宋体" w:eastAsia="宋体" w:cs="宋体"/>
                <w:b/>
                <w:bCs/>
                <w:sz w:val="22"/>
                <w:szCs w:val="22"/>
              </w:rPr>
              <w:t>系统前端与翠亨新区公安交通集成指挥平台数据共享</w:t>
            </w:r>
            <w:bookmarkEnd w:id="23"/>
          </w:p>
          <w:p w14:paraId="1F5DF58D">
            <w:pPr>
              <w:pStyle w:val="2"/>
              <w:keepNext w:val="0"/>
              <w:keepLines w:val="0"/>
              <w:pageBreakBefore w:val="0"/>
              <w:widowControl w:val="0"/>
              <w:kinsoku/>
              <w:wordWrap/>
              <w:overflowPunct/>
              <w:topLinePunct w:val="0"/>
              <w:autoSpaceDE/>
              <w:autoSpaceDN/>
              <w:bidi w:val="0"/>
              <w:adjustRightInd/>
              <w:snapToGrid/>
              <w:spacing w:after="0"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系统前端管理主机通过网络传输系统与镇区道路交通技术监控系统中心管理平台的应用服务器实现实时连接。通过网络传输系统自动实时将系统前端所记录的交通违法信息</w:t>
            </w:r>
            <w:r>
              <w:rPr>
                <w:rFonts w:hint="eastAsia" w:ascii="宋体" w:hAnsi="宋体" w:eastAsia="宋体" w:cs="宋体"/>
                <w:sz w:val="22"/>
                <w:szCs w:val="22"/>
                <w:lang w:val="en-US" w:eastAsia="zh-CN"/>
              </w:rPr>
              <w:t>和</w:t>
            </w:r>
            <w:r>
              <w:rPr>
                <w:rFonts w:hint="eastAsia" w:ascii="宋体" w:hAnsi="宋体" w:eastAsia="宋体" w:cs="宋体"/>
                <w:sz w:val="22"/>
                <w:szCs w:val="22"/>
              </w:rPr>
              <w:t>交通流信息、其他数据等</w:t>
            </w:r>
            <w:r>
              <w:rPr>
                <w:rFonts w:hint="eastAsia" w:ascii="宋体" w:hAnsi="宋体" w:eastAsia="宋体" w:cs="宋体"/>
                <w:sz w:val="22"/>
                <w:szCs w:val="22"/>
                <w:lang w:val="en-US" w:eastAsia="zh-CN"/>
              </w:rPr>
              <w:t>将</w:t>
            </w:r>
            <w:r>
              <w:rPr>
                <w:rFonts w:hint="eastAsia" w:ascii="宋体" w:hAnsi="宋体" w:eastAsia="宋体" w:cs="宋体"/>
                <w:sz w:val="22"/>
                <w:szCs w:val="22"/>
              </w:rPr>
              <w:t>实时汇聚至中山市智能交通指挥控制集成平台进行处理；将系统前端所记录的车辆通行信息、交通视频信息、其他数据等汇聚至镇区道路交通技术监控系统中心进行存储，实现系统前端与系统中心管理平台间的数据交换，实现信息共享。</w:t>
            </w:r>
          </w:p>
          <w:p w14:paraId="3F41A56B">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highlight w:val="none"/>
              </w:rPr>
            </w:pPr>
            <w:r>
              <w:rPr>
                <w:rFonts w:hint="eastAsia" w:ascii="宋体" w:hAnsi="宋体" w:eastAsia="宋体" w:cs="宋体"/>
                <w:b/>
                <w:bCs/>
                <w:kern w:val="2"/>
                <w:sz w:val="22"/>
                <w:szCs w:val="22"/>
                <w:lang w:val="en-US" w:eastAsia="zh-CN" w:bidi="ar-SA"/>
              </w:rPr>
              <w:t>2.3</w:t>
            </w:r>
            <w:r>
              <w:rPr>
                <w:rFonts w:hint="eastAsia" w:ascii="宋体" w:hAnsi="宋体" w:eastAsia="宋体" w:cs="宋体"/>
                <w:b/>
                <w:bCs/>
                <w:sz w:val="22"/>
                <w:szCs w:val="22"/>
              </w:rPr>
              <w:t>系统与中山市</w:t>
            </w:r>
            <w:r>
              <w:rPr>
                <w:rFonts w:hint="eastAsia" w:ascii="宋体" w:hAnsi="宋体" w:eastAsia="宋体" w:cs="宋体"/>
                <w:b/>
                <w:bCs/>
                <w:sz w:val="22"/>
                <w:szCs w:val="22"/>
                <w:lang w:val="en-US" w:eastAsia="zh-CN"/>
              </w:rPr>
              <w:t>公安</w:t>
            </w:r>
            <w:r>
              <w:rPr>
                <w:rFonts w:hint="eastAsia" w:ascii="宋体" w:hAnsi="宋体" w:eastAsia="宋体" w:cs="宋体"/>
                <w:b/>
                <w:bCs/>
                <w:sz w:val="22"/>
                <w:szCs w:val="22"/>
              </w:rPr>
              <w:t>局车辆库</w:t>
            </w:r>
            <w:r>
              <w:rPr>
                <w:rFonts w:hint="eastAsia" w:ascii="宋体" w:hAnsi="宋体" w:eastAsia="宋体" w:cs="宋体"/>
                <w:b/>
                <w:bCs/>
                <w:sz w:val="22"/>
                <w:szCs w:val="22"/>
                <w:highlight w:val="none"/>
              </w:rPr>
              <w:t>对接</w:t>
            </w:r>
          </w:p>
          <w:p w14:paraId="6A46788E">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highlight w:val="none"/>
              </w:rPr>
            </w:pPr>
            <w:r>
              <w:rPr>
                <w:rFonts w:hint="eastAsia" w:ascii="宋体" w:hAnsi="宋体" w:eastAsia="宋体" w:cs="宋体"/>
                <w:b/>
                <w:bCs/>
                <w:sz w:val="22"/>
                <w:szCs w:val="22"/>
                <w:highlight w:val="none"/>
                <w:lang w:val="en-US" w:eastAsia="zh-CN"/>
              </w:rPr>
              <w:t>2.3.1</w:t>
            </w:r>
            <w:r>
              <w:rPr>
                <w:rFonts w:hint="eastAsia" w:ascii="宋体" w:hAnsi="宋体" w:eastAsia="宋体" w:cs="宋体"/>
                <w:b/>
                <w:bCs/>
                <w:sz w:val="22"/>
                <w:szCs w:val="22"/>
                <w:highlight w:val="none"/>
              </w:rPr>
              <w:t>系统与中山市</w:t>
            </w:r>
            <w:r>
              <w:rPr>
                <w:rFonts w:hint="eastAsia" w:ascii="宋体" w:hAnsi="宋体" w:eastAsia="宋体" w:cs="宋体"/>
                <w:b/>
                <w:bCs/>
                <w:sz w:val="22"/>
                <w:szCs w:val="22"/>
                <w:highlight w:val="none"/>
                <w:lang w:val="en-US" w:eastAsia="zh-CN"/>
              </w:rPr>
              <w:t>公安</w:t>
            </w:r>
            <w:r>
              <w:rPr>
                <w:rFonts w:hint="eastAsia" w:ascii="宋体" w:hAnsi="宋体" w:eastAsia="宋体" w:cs="宋体"/>
                <w:b/>
                <w:bCs/>
                <w:sz w:val="22"/>
                <w:szCs w:val="22"/>
                <w:highlight w:val="none"/>
              </w:rPr>
              <w:t>局车辆库关联</w:t>
            </w:r>
          </w:p>
          <w:p w14:paraId="5DAC0514">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系统应与中</w:t>
            </w:r>
            <w:r>
              <w:rPr>
                <w:rFonts w:hint="eastAsia" w:ascii="宋体" w:hAnsi="宋体" w:eastAsia="宋体" w:cs="宋体"/>
                <w:b w:val="0"/>
                <w:bCs w:val="0"/>
                <w:sz w:val="22"/>
                <w:szCs w:val="22"/>
              </w:rPr>
              <w:t>山市</w:t>
            </w:r>
            <w:r>
              <w:rPr>
                <w:rFonts w:hint="eastAsia" w:ascii="宋体" w:hAnsi="宋体" w:eastAsia="宋体" w:cs="宋体"/>
                <w:b w:val="0"/>
                <w:bCs w:val="0"/>
                <w:sz w:val="22"/>
                <w:szCs w:val="22"/>
                <w:lang w:val="en-US" w:eastAsia="zh-CN"/>
              </w:rPr>
              <w:t>公安</w:t>
            </w:r>
            <w:r>
              <w:rPr>
                <w:rFonts w:hint="eastAsia" w:ascii="宋体" w:hAnsi="宋体" w:eastAsia="宋体" w:cs="宋体"/>
                <w:b w:val="0"/>
                <w:bCs w:val="0"/>
                <w:sz w:val="22"/>
                <w:szCs w:val="22"/>
              </w:rPr>
              <w:t>局车辆库关联，翠亨新区公安交通集成指挥平台应通过连接到视频专网（已经布放）与中山市</w:t>
            </w:r>
            <w:r>
              <w:rPr>
                <w:rFonts w:hint="eastAsia" w:ascii="宋体" w:hAnsi="宋体" w:eastAsia="宋体" w:cs="宋体"/>
                <w:b w:val="0"/>
                <w:bCs w:val="0"/>
                <w:sz w:val="22"/>
                <w:szCs w:val="22"/>
                <w:lang w:val="en-US" w:eastAsia="zh-CN"/>
              </w:rPr>
              <w:t>公安</w:t>
            </w:r>
            <w:r>
              <w:rPr>
                <w:rFonts w:hint="eastAsia" w:ascii="宋体" w:hAnsi="宋体" w:eastAsia="宋体" w:cs="宋体"/>
                <w:b w:val="0"/>
                <w:bCs w:val="0"/>
                <w:sz w:val="22"/>
                <w:szCs w:val="22"/>
              </w:rPr>
              <w:t>局车</w:t>
            </w:r>
            <w:r>
              <w:rPr>
                <w:rFonts w:hint="eastAsia" w:ascii="宋体" w:hAnsi="宋体" w:eastAsia="宋体" w:cs="宋体"/>
                <w:sz w:val="22"/>
                <w:szCs w:val="22"/>
              </w:rPr>
              <w:t>辆库进行实时连接。</w:t>
            </w:r>
          </w:p>
          <w:p w14:paraId="41EBEAA2">
            <w:pPr>
              <w:pStyle w:val="2"/>
              <w:keepNext w:val="0"/>
              <w:keepLines w:val="0"/>
              <w:pageBreakBefore w:val="0"/>
              <w:widowControl w:val="0"/>
              <w:kinsoku/>
              <w:wordWrap/>
              <w:overflowPunct/>
              <w:topLinePunct w:val="0"/>
              <w:autoSpaceDE/>
              <w:autoSpaceDN/>
              <w:bidi w:val="0"/>
              <w:adjustRightInd/>
              <w:snapToGrid/>
              <w:spacing w:after="0"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2.3.2</w:t>
            </w:r>
            <w:r>
              <w:rPr>
                <w:rFonts w:hint="eastAsia" w:ascii="宋体" w:hAnsi="宋体" w:eastAsia="宋体" w:cs="宋体"/>
                <w:b/>
                <w:bCs/>
                <w:sz w:val="22"/>
                <w:szCs w:val="22"/>
              </w:rPr>
              <w:t>系统与中山市</w:t>
            </w:r>
            <w:r>
              <w:rPr>
                <w:rFonts w:hint="eastAsia" w:ascii="宋体" w:hAnsi="宋体" w:eastAsia="宋体" w:cs="宋体"/>
                <w:b/>
                <w:bCs/>
                <w:sz w:val="22"/>
                <w:szCs w:val="22"/>
                <w:lang w:val="en-US" w:eastAsia="zh-CN"/>
              </w:rPr>
              <w:t>公安</w:t>
            </w:r>
            <w:r>
              <w:rPr>
                <w:rFonts w:hint="eastAsia" w:ascii="宋体" w:hAnsi="宋体" w:eastAsia="宋体" w:cs="宋体"/>
                <w:b/>
                <w:bCs/>
                <w:sz w:val="22"/>
                <w:szCs w:val="22"/>
              </w:rPr>
              <w:t>局车辆库数据共享</w:t>
            </w:r>
          </w:p>
          <w:p w14:paraId="2BD4395C">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 w:val="0"/>
                <w:bCs w:val="0"/>
                <w:sz w:val="22"/>
                <w:szCs w:val="22"/>
              </w:rPr>
            </w:pPr>
            <w:r>
              <w:rPr>
                <w:rFonts w:hint="eastAsia" w:ascii="宋体" w:hAnsi="宋体" w:eastAsia="宋体" w:cs="宋体"/>
                <w:sz w:val="22"/>
                <w:szCs w:val="22"/>
              </w:rPr>
              <w:t>翠亨新区公安交通集成指挥平台应用服务器应通过视频专网连接中山市</w:t>
            </w:r>
            <w:r>
              <w:rPr>
                <w:rFonts w:hint="eastAsia" w:ascii="宋体" w:hAnsi="宋体" w:eastAsia="宋体" w:cs="宋体"/>
                <w:b w:val="0"/>
                <w:bCs w:val="0"/>
                <w:sz w:val="22"/>
                <w:szCs w:val="22"/>
                <w:lang w:val="en-US" w:eastAsia="zh-CN"/>
              </w:rPr>
              <w:t>公安</w:t>
            </w:r>
            <w:r>
              <w:rPr>
                <w:rFonts w:hint="eastAsia" w:ascii="宋体" w:hAnsi="宋体" w:eastAsia="宋体" w:cs="宋体"/>
                <w:b w:val="0"/>
                <w:bCs w:val="0"/>
                <w:sz w:val="22"/>
                <w:szCs w:val="22"/>
              </w:rPr>
              <w:t>局车辆库指定服务器，并与中山市</w:t>
            </w:r>
            <w:r>
              <w:rPr>
                <w:rFonts w:hint="eastAsia" w:ascii="宋体" w:hAnsi="宋体" w:eastAsia="宋体" w:cs="宋体"/>
                <w:b w:val="0"/>
                <w:bCs w:val="0"/>
                <w:sz w:val="22"/>
                <w:szCs w:val="22"/>
                <w:lang w:val="en-US" w:eastAsia="zh-CN"/>
              </w:rPr>
              <w:t>公安</w:t>
            </w:r>
            <w:r>
              <w:rPr>
                <w:rFonts w:hint="eastAsia" w:ascii="宋体" w:hAnsi="宋体" w:eastAsia="宋体" w:cs="宋体"/>
                <w:b w:val="0"/>
                <w:bCs w:val="0"/>
                <w:sz w:val="22"/>
                <w:szCs w:val="22"/>
              </w:rPr>
              <w:t>局车辆库指定服务器进行数据传输，实现与中山市</w:t>
            </w:r>
            <w:r>
              <w:rPr>
                <w:rFonts w:hint="eastAsia" w:ascii="宋体" w:hAnsi="宋体" w:eastAsia="宋体" w:cs="宋体"/>
                <w:b w:val="0"/>
                <w:bCs w:val="0"/>
                <w:sz w:val="22"/>
                <w:szCs w:val="22"/>
                <w:lang w:val="en-US" w:eastAsia="zh-CN"/>
              </w:rPr>
              <w:t>公安</w:t>
            </w:r>
            <w:r>
              <w:rPr>
                <w:rFonts w:hint="eastAsia" w:ascii="宋体" w:hAnsi="宋体" w:eastAsia="宋体" w:cs="宋体"/>
                <w:b w:val="0"/>
                <w:bCs w:val="0"/>
                <w:sz w:val="22"/>
                <w:szCs w:val="22"/>
              </w:rPr>
              <w:t>局车辆库的数据交换，主要数据包括车辆通行信息 (卡口信息)、驾乘人员人脸等信息。</w:t>
            </w:r>
          </w:p>
          <w:p w14:paraId="3B9BEF45">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kern w:val="0"/>
                <w:sz w:val="22"/>
                <w:szCs w:val="22"/>
                <w:lang w:val="en-US" w:eastAsia="zh-CN" w:bidi="ar-SA"/>
              </w:rPr>
            </w:pPr>
            <w:r>
              <w:rPr>
                <w:rFonts w:hint="eastAsia" w:ascii="宋体" w:hAnsi="宋体" w:eastAsia="宋体" w:cs="宋体"/>
                <w:b/>
                <w:bCs/>
                <w:kern w:val="0"/>
                <w:sz w:val="22"/>
                <w:szCs w:val="22"/>
                <w:lang w:val="en-US" w:eastAsia="zh-CN" w:bidi="ar-SA"/>
              </w:rPr>
              <w:t>2.3.3车辆通行信息（</w:t>
            </w:r>
            <w:r>
              <w:rPr>
                <w:rFonts w:hint="eastAsia" w:ascii="宋体" w:hAnsi="宋体" w:eastAsia="宋体" w:cs="宋体"/>
                <w:b/>
                <w:bCs/>
                <w:sz w:val="22"/>
                <w:szCs w:val="22"/>
              </w:rPr>
              <w:t>中山市</w:t>
            </w:r>
            <w:r>
              <w:rPr>
                <w:rFonts w:hint="eastAsia" w:ascii="宋体" w:hAnsi="宋体" w:eastAsia="宋体" w:cs="宋体"/>
                <w:b/>
                <w:bCs/>
                <w:sz w:val="22"/>
                <w:szCs w:val="22"/>
                <w:lang w:val="en-US" w:eastAsia="zh-CN"/>
              </w:rPr>
              <w:t>公安</w:t>
            </w:r>
            <w:r>
              <w:rPr>
                <w:rFonts w:hint="eastAsia" w:ascii="宋体" w:hAnsi="宋体" w:eastAsia="宋体" w:cs="宋体"/>
                <w:b/>
                <w:bCs/>
                <w:kern w:val="0"/>
                <w:sz w:val="22"/>
                <w:szCs w:val="22"/>
                <w:lang w:val="en-US" w:eastAsia="zh-CN" w:bidi="ar-SA"/>
              </w:rPr>
              <w:t>局车辆库）数据</w:t>
            </w:r>
          </w:p>
          <w:p w14:paraId="7F089BDB">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翠亨新区道路交通技术监控系统中心管理平台应用服务器通过专网连接《中山市公安视频图像信息数据库》指定服务器，实现翠亨新区公安交通集成指挥平台与中山市公安视频图像信息数据库实时连接。</w:t>
            </w:r>
          </w:p>
          <w:p w14:paraId="131B6DFD">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翠亨新区公安交通集成指挥平台按照中山市公安视频图像信息数据库的接口要求，实时将车辆通行信息(</w:t>
            </w:r>
            <w:r>
              <w:rPr>
                <w:rFonts w:hint="eastAsia" w:ascii="宋体" w:hAnsi="宋体" w:eastAsia="宋体" w:cs="宋体"/>
                <w:b w:val="0"/>
                <w:bCs w:val="0"/>
                <w:sz w:val="22"/>
                <w:szCs w:val="22"/>
              </w:rPr>
              <w:t>中山市</w:t>
            </w:r>
            <w:r>
              <w:rPr>
                <w:rFonts w:hint="eastAsia" w:ascii="宋体" w:hAnsi="宋体" w:eastAsia="宋体" w:cs="宋体"/>
                <w:b w:val="0"/>
                <w:bCs w:val="0"/>
                <w:sz w:val="22"/>
                <w:szCs w:val="22"/>
                <w:lang w:val="en-US" w:eastAsia="zh-CN"/>
              </w:rPr>
              <w:t>公安</w:t>
            </w:r>
            <w:r>
              <w:rPr>
                <w:rFonts w:hint="eastAsia" w:ascii="宋体" w:hAnsi="宋体" w:eastAsia="宋体" w:cs="宋体"/>
                <w:sz w:val="22"/>
                <w:szCs w:val="22"/>
              </w:rPr>
              <w:t>局车辆库) 数据推送给中山市公安视频图像信息数据库。系统平台可根据用户设定自动接收或不接收方式对翠亨新区道路交通技术监控系统中心管理平台推送的数据进行处理。</w:t>
            </w:r>
          </w:p>
          <w:p w14:paraId="47C5DC8C">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当中山市公安视频图像信息数据库设置为自动接收方式时，翠亨新区公安交通集成指挥平台将自动向中山市公安视频图像信息数据库实时推送车辆通行信息（市局车辆库）数据包括过车记录及过车图片，同时须符合《视频图像文字标注规范》</w:t>
            </w:r>
            <w:r>
              <w:rPr>
                <w:rFonts w:hint="eastAsia" w:ascii="宋体" w:hAnsi="宋体" w:eastAsia="宋体" w:cs="宋体"/>
                <w:sz w:val="22"/>
                <w:szCs w:val="22"/>
                <w:lang w:val="en-US" w:eastAsia="zh-CN"/>
              </w:rPr>
              <w:t>要求</w:t>
            </w:r>
            <w:r>
              <w:rPr>
                <w:rFonts w:hint="eastAsia" w:ascii="宋体" w:hAnsi="宋体" w:eastAsia="宋体" w:cs="宋体"/>
                <w:sz w:val="22"/>
                <w:szCs w:val="22"/>
              </w:rPr>
              <w:t>（GA/T 751-2008）。</w:t>
            </w:r>
          </w:p>
          <w:p w14:paraId="1DE68102">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当中山市公安视频图像信息数据库设置为不接收方式时，翠亨新区公安交通集成指挥平台将自动向系统平台实时推送数据链接，用户可在自己平台通过点击链接的方式查看、下载过车图片信息。</w:t>
            </w:r>
          </w:p>
          <w:p w14:paraId="2DEB57E1">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2.3.4</w:t>
            </w:r>
            <w:r>
              <w:rPr>
                <w:rFonts w:hint="eastAsia" w:ascii="宋体" w:hAnsi="宋体" w:eastAsia="宋体" w:cs="宋体"/>
                <w:b/>
                <w:bCs/>
                <w:sz w:val="22"/>
                <w:szCs w:val="22"/>
              </w:rPr>
              <w:t>车辆视频数据及结构化数据</w:t>
            </w:r>
          </w:p>
          <w:p w14:paraId="119FFFE5">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(1)</w:t>
            </w:r>
            <w:r>
              <w:rPr>
                <w:rFonts w:hint="eastAsia" w:ascii="宋体" w:hAnsi="宋体" w:eastAsia="宋体" w:cs="宋体"/>
                <w:sz w:val="22"/>
                <w:szCs w:val="22"/>
              </w:rPr>
              <w:t>本项目</w:t>
            </w:r>
            <w:r>
              <w:rPr>
                <w:rFonts w:hint="eastAsia" w:ascii="宋体" w:hAnsi="宋体" w:eastAsia="宋体" w:cs="宋体"/>
                <w:sz w:val="22"/>
                <w:szCs w:val="22"/>
                <w:lang w:val="en-US" w:eastAsia="zh-CN"/>
              </w:rPr>
              <w:t>需</w:t>
            </w:r>
            <w:r>
              <w:rPr>
                <w:rFonts w:hint="eastAsia" w:ascii="宋体" w:hAnsi="宋体" w:eastAsia="宋体" w:cs="宋体"/>
                <w:sz w:val="22"/>
                <w:szCs w:val="22"/>
              </w:rPr>
              <w:t>将视频数据、卡口数据（车辆图片、过车文本数据、驾乘人脸图片）数据对接共享至视频联网平台。</w:t>
            </w:r>
          </w:p>
          <w:p w14:paraId="0D880091">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sz w:val="22"/>
                <w:szCs w:val="22"/>
                <w:lang w:val="en-US" w:eastAsia="zh-CN"/>
              </w:rPr>
              <w:t>(2)成交供应商需配合采购人将</w:t>
            </w:r>
            <w:r>
              <w:rPr>
                <w:rFonts w:hint="eastAsia" w:ascii="宋体" w:hAnsi="宋体" w:eastAsia="宋体" w:cs="宋体"/>
                <w:sz w:val="22"/>
                <w:szCs w:val="22"/>
              </w:rPr>
              <w:t>人像结构化、车辆结构化数据接入中山市公安局视频云</w:t>
            </w:r>
            <w:r>
              <w:rPr>
                <w:rFonts w:hint="eastAsia" w:ascii="宋体" w:hAnsi="宋体" w:eastAsia="宋体" w:cs="宋体"/>
                <w:sz w:val="22"/>
                <w:szCs w:val="22"/>
                <w:lang w:eastAsia="zh-CN"/>
              </w:rPr>
              <w:t>。</w:t>
            </w:r>
          </w:p>
          <w:p w14:paraId="21B08B95">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2.4</w:t>
            </w:r>
            <w:r>
              <w:rPr>
                <w:rFonts w:hint="eastAsia" w:ascii="宋体" w:hAnsi="宋体" w:eastAsia="宋体" w:cs="宋体"/>
                <w:b/>
                <w:bCs/>
                <w:sz w:val="22"/>
                <w:szCs w:val="22"/>
              </w:rPr>
              <w:t>中山市交通指挥控制集成平台接口协议</w:t>
            </w:r>
          </w:p>
          <w:p w14:paraId="71CCB33E">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翠亨新区公安交通集成指挥平台应按照中山市公安局交警支队接口协议规定与中山市交通集成指挥平台进行对接，实现翠亨新区公安交通集成指挥平台与中山市交通集成指挥平台的关联。</w:t>
            </w:r>
          </w:p>
          <w:p w14:paraId="197ACAA2">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2.5</w:t>
            </w:r>
            <w:r>
              <w:rPr>
                <w:rFonts w:hint="eastAsia" w:ascii="宋体" w:hAnsi="宋体" w:eastAsia="宋体" w:cs="宋体"/>
                <w:b/>
                <w:bCs/>
                <w:sz w:val="22"/>
                <w:szCs w:val="22"/>
              </w:rPr>
              <w:t>翠亨新区公安分局与</w:t>
            </w:r>
            <w:r>
              <w:rPr>
                <w:rFonts w:hint="eastAsia" w:ascii="宋体" w:hAnsi="宋体" w:eastAsia="宋体" w:cs="宋体"/>
                <w:sz w:val="22"/>
                <w:szCs w:val="22"/>
                <w:lang w:val="en-US" w:eastAsia="zh-CN"/>
              </w:rPr>
              <w:t>中山</w:t>
            </w:r>
            <w:r>
              <w:rPr>
                <w:rFonts w:hint="eastAsia" w:ascii="宋体" w:hAnsi="宋体" w:eastAsia="宋体" w:cs="宋体"/>
                <w:sz w:val="22"/>
                <w:szCs w:val="22"/>
              </w:rPr>
              <w:t>市公安局</w:t>
            </w:r>
            <w:r>
              <w:rPr>
                <w:rFonts w:hint="eastAsia" w:ascii="宋体" w:hAnsi="宋体" w:eastAsia="宋体" w:cs="宋体"/>
                <w:b/>
                <w:bCs/>
                <w:sz w:val="22"/>
                <w:szCs w:val="22"/>
              </w:rPr>
              <w:t>数据共享</w:t>
            </w:r>
          </w:p>
          <w:p w14:paraId="35F96135">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翠亨新区公安分局系统平台通过视频专网与</w:t>
            </w:r>
            <w:r>
              <w:rPr>
                <w:rFonts w:hint="eastAsia" w:ascii="宋体" w:hAnsi="宋体" w:eastAsia="宋体" w:cs="宋体"/>
                <w:sz w:val="22"/>
                <w:szCs w:val="22"/>
                <w:lang w:val="en-US" w:eastAsia="zh-CN"/>
              </w:rPr>
              <w:t>中山</w:t>
            </w:r>
            <w:r>
              <w:rPr>
                <w:rFonts w:hint="eastAsia" w:ascii="宋体" w:hAnsi="宋体" w:eastAsia="宋体" w:cs="宋体"/>
                <w:sz w:val="22"/>
                <w:szCs w:val="22"/>
              </w:rPr>
              <w:t>市公安局系统平台进行数据实时交互，翠亨新区公安分局系统平台收集交警大队上传过来的车辆通行信息、交通视频信息、交通卡口信息等数据经过视频专网上传</w:t>
            </w:r>
            <w:r>
              <w:rPr>
                <w:rFonts w:hint="eastAsia" w:ascii="宋体" w:hAnsi="宋体" w:eastAsia="宋体" w:cs="宋体"/>
                <w:sz w:val="22"/>
                <w:szCs w:val="22"/>
                <w:lang w:val="en-US" w:eastAsia="zh-CN"/>
              </w:rPr>
              <w:t>中山</w:t>
            </w:r>
            <w:r>
              <w:rPr>
                <w:rFonts w:hint="eastAsia" w:ascii="宋体" w:hAnsi="宋体" w:eastAsia="宋体" w:cs="宋体"/>
                <w:sz w:val="22"/>
                <w:szCs w:val="22"/>
              </w:rPr>
              <w:t>市公安局系统平台，实现数据共享。</w:t>
            </w:r>
          </w:p>
          <w:p w14:paraId="4134EA49">
            <w:pPr>
              <w:pStyle w:val="4"/>
              <w:pageBreakBefore w:val="0"/>
              <w:numPr>
                <w:ilvl w:val="1"/>
                <w:numId w:val="0"/>
              </w:numPr>
              <w:kinsoku/>
              <w:wordWrap/>
              <w:overflowPunct/>
              <w:topLinePunct w:val="0"/>
              <w:autoSpaceDE/>
              <w:autoSpaceDN/>
              <w:bidi w:val="0"/>
              <w:adjustRightInd/>
              <w:snapToGrid/>
              <w:spacing w:before="0" w:line="360" w:lineRule="auto"/>
              <w:ind w:left="0" w:leftChars="0" w:firstLine="0" w:firstLineChars="0"/>
              <w:textAlignment w:val="auto"/>
              <w:rPr>
                <w:rFonts w:hint="eastAsia" w:ascii="宋体" w:hAnsi="宋体" w:eastAsia="宋体" w:cs="宋体"/>
                <w:b/>
                <w:bCs/>
                <w:sz w:val="22"/>
                <w:szCs w:val="22"/>
              </w:rPr>
            </w:pPr>
            <w:bookmarkStart w:id="24" w:name="_Toc173501798"/>
            <w:r>
              <w:rPr>
                <w:rFonts w:hint="eastAsia" w:ascii="宋体" w:hAnsi="宋体" w:eastAsia="宋体" w:cs="宋体"/>
                <w:b/>
                <w:bCs/>
                <w:kern w:val="2"/>
                <w:sz w:val="22"/>
                <w:szCs w:val="22"/>
                <w:lang w:val="en-US" w:eastAsia="zh-CN" w:bidi="ar-SA"/>
              </w:rPr>
              <w:t>（五）</w:t>
            </w:r>
            <w:r>
              <w:rPr>
                <w:rFonts w:hint="eastAsia" w:ascii="宋体" w:hAnsi="宋体" w:eastAsia="宋体" w:cs="宋体"/>
                <w:b/>
                <w:bCs/>
                <w:sz w:val="22"/>
                <w:szCs w:val="22"/>
              </w:rPr>
              <w:t>时间同步处理</w:t>
            </w:r>
            <w:bookmarkEnd w:id="24"/>
          </w:p>
          <w:p w14:paraId="115951EE">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由于本</w:t>
            </w:r>
            <w:r>
              <w:rPr>
                <w:rFonts w:hint="eastAsia" w:ascii="宋体" w:hAnsi="宋体" w:eastAsia="宋体" w:cs="宋体"/>
                <w:sz w:val="22"/>
                <w:szCs w:val="22"/>
                <w:lang w:val="en-US" w:eastAsia="zh-CN"/>
              </w:rPr>
              <w:t>项目</w:t>
            </w:r>
            <w:r>
              <w:rPr>
                <w:rFonts w:hint="eastAsia" w:ascii="宋体" w:hAnsi="宋体" w:eastAsia="宋体" w:cs="宋体"/>
                <w:sz w:val="22"/>
                <w:szCs w:val="22"/>
              </w:rPr>
              <w:t>平台与中山市公安视频专网平台可能在时间上存在差异，需要本</w:t>
            </w:r>
            <w:r>
              <w:rPr>
                <w:rFonts w:hint="eastAsia" w:ascii="宋体" w:hAnsi="宋体" w:eastAsia="宋体" w:cs="宋体"/>
                <w:sz w:val="22"/>
                <w:szCs w:val="22"/>
                <w:lang w:val="en-US" w:eastAsia="zh-CN"/>
              </w:rPr>
              <w:t>项目</w:t>
            </w:r>
            <w:r>
              <w:rPr>
                <w:rFonts w:hint="eastAsia" w:ascii="宋体" w:hAnsi="宋体" w:eastAsia="宋体" w:cs="宋体"/>
                <w:sz w:val="22"/>
                <w:szCs w:val="22"/>
              </w:rPr>
              <w:t>平台周期性</w:t>
            </w:r>
            <w:r>
              <w:rPr>
                <w:rFonts w:hint="eastAsia" w:ascii="宋体" w:hAnsi="宋体" w:eastAsia="宋体" w:cs="宋体"/>
                <w:sz w:val="22"/>
                <w:szCs w:val="22"/>
                <w:lang w:eastAsia="zh-CN"/>
              </w:rPr>
              <w:t>地</w:t>
            </w:r>
            <w:r>
              <w:rPr>
                <w:rFonts w:hint="eastAsia" w:ascii="宋体" w:hAnsi="宋体" w:eastAsia="宋体" w:cs="宋体"/>
                <w:sz w:val="22"/>
                <w:szCs w:val="22"/>
              </w:rPr>
              <w:t>与中山市公安视频专网平台做时间同步处理，</w:t>
            </w:r>
            <w:r>
              <w:rPr>
                <w:rFonts w:hint="eastAsia" w:ascii="宋体" w:hAnsi="宋体" w:eastAsia="宋体" w:cs="宋体"/>
                <w:sz w:val="22"/>
                <w:szCs w:val="22"/>
                <w:lang w:val="en-US" w:eastAsia="zh-CN"/>
              </w:rPr>
              <w:t>每</w:t>
            </w:r>
            <w:r>
              <w:rPr>
                <w:rFonts w:hint="eastAsia" w:ascii="宋体" w:hAnsi="宋体" w:eastAsia="宋体" w:cs="宋体"/>
                <w:sz w:val="22"/>
                <w:szCs w:val="22"/>
              </w:rPr>
              <w:t>一个小时同步一次。本平台支持NTP服务，可利用</w:t>
            </w:r>
            <w:r>
              <w:rPr>
                <w:rFonts w:hint="eastAsia" w:ascii="宋体" w:hAnsi="宋体" w:eastAsia="宋体" w:cs="宋体"/>
                <w:sz w:val="22"/>
                <w:szCs w:val="22"/>
                <w:lang w:val="en-US" w:eastAsia="zh-CN"/>
              </w:rPr>
              <w:t>中山</w:t>
            </w:r>
            <w:r>
              <w:rPr>
                <w:rFonts w:hint="eastAsia" w:ascii="宋体" w:hAnsi="宋体" w:eastAsia="宋体" w:cs="宋体"/>
                <w:sz w:val="22"/>
                <w:szCs w:val="22"/>
              </w:rPr>
              <w:t>市公安局时钟同步服务模块进行时钟同步。</w:t>
            </w:r>
          </w:p>
          <w:p w14:paraId="29FF597C">
            <w:pPr>
              <w:pStyle w:val="4"/>
              <w:pageBreakBefore w:val="0"/>
              <w:numPr>
                <w:ilvl w:val="1"/>
                <w:numId w:val="0"/>
              </w:numPr>
              <w:kinsoku/>
              <w:wordWrap/>
              <w:overflowPunct/>
              <w:topLinePunct w:val="0"/>
              <w:autoSpaceDE/>
              <w:autoSpaceDN/>
              <w:bidi w:val="0"/>
              <w:adjustRightInd/>
              <w:snapToGrid/>
              <w:spacing w:before="0" w:line="360" w:lineRule="auto"/>
              <w:ind w:left="0" w:leftChars="0" w:firstLine="0" w:firstLineChars="0"/>
              <w:textAlignment w:val="auto"/>
              <w:rPr>
                <w:rFonts w:hint="eastAsia" w:ascii="宋体" w:hAnsi="宋体" w:eastAsia="宋体" w:cs="宋体"/>
                <w:b/>
                <w:bCs/>
                <w:sz w:val="22"/>
                <w:szCs w:val="22"/>
              </w:rPr>
            </w:pPr>
            <w:bookmarkStart w:id="25" w:name="_Toc173501799"/>
            <w:r>
              <w:rPr>
                <w:rFonts w:hint="eastAsia" w:ascii="宋体" w:hAnsi="宋体" w:eastAsia="宋体" w:cs="宋体"/>
                <w:b/>
                <w:bCs/>
                <w:kern w:val="2"/>
                <w:sz w:val="22"/>
                <w:szCs w:val="22"/>
                <w:lang w:val="en-US" w:eastAsia="zh-CN" w:bidi="ar-SA"/>
              </w:rPr>
              <w:t>（六）</w:t>
            </w:r>
            <w:r>
              <w:rPr>
                <w:rFonts w:hint="eastAsia" w:ascii="宋体" w:hAnsi="宋体" w:eastAsia="宋体" w:cs="宋体"/>
                <w:b/>
                <w:bCs/>
                <w:sz w:val="22"/>
                <w:szCs w:val="22"/>
              </w:rPr>
              <w:t>一机一档、一卡一档</w:t>
            </w:r>
            <w:bookmarkEnd w:id="25"/>
          </w:p>
          <w:p w14:paraId="53D08D0F">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lang w:eastAsia="zh-CN"/>
              </w:rPr>
            </w:pPr>
            <w:r>
              <w:rPr>
                <w:rFonts w:hint="eastAsia" w:ascii="宋体" w:hAnsi="宋体" w:eastAsia="宋体" w:cs="宋体"/>
                <w:sz w:val="22"/>
                <w:szCs w:val="22"/>
              </w:rPr>
              <w:t>“一机一档”</w:t>
            </w:r>
            <w:r>
              <w:rPr>
                <w:rFonts w:hint="eastAsia" w:ascii="宋体" w:hAnsi="宋体" w:eastAsia="宋体" w:cs="宋体"/>
                <w:sz w:val="22"/>
                <w:szCs w:val="22"/>
                <w:lang w:val="en-US" w:eastAsia="zh-CN"/>
              </w:rPr>
              <w:t>和</w:t>
            </w:r>
            <w:r>
              <w:rPr>
                <w:rFonts w:hint="eastAsia" w:ascii="宋体" w:hAnsi="宋体" w:eastAsia="宋体" w:cs="宋体"/>
                <w:sz w:val="22"/>
                <w:szCs w:val="22"/>
              </w:rPr>
              <w:t>“一卡一档”建档时，前端点位参照GA/T 751-2008命名以实际点位位置命名。</w:t>
            </w:r>
          </w:p>
        </w:tc>
        <w:tc>
          <w:tcPr>
            <w:tcW w:w="1208" w:type="dxa"/>
          </w:tcPr>
          <w:p w14:paraId="34F87205">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633DE6D4">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62BE81BC">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637D01D0">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5FE064AB">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51D795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0" w:type="dxa"/>
            <w:vAlign w:val="center"/>
          </w:tcPr>
          <w:p w14:paraId="4D6B4BBB">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w:t>
            </w:r>
          </w:p>
        </w:tc>
        <w:tc>
          <w:tcPr>
            <w:tcW w:w="660" w:type="dxa"/>
          </w:tcPr>
          <w:p w14:paraId="6CE531FE">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4BB4B6D6">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35B9E79C">
            <w:pPr>
              <w:pStyle w:val="3"/>
              <w:pageBreakBefore w:val="0"/>
              <w:numPr>
                <w:ilvl w:val="0"/>
                <w:numId w:val="0"/>
              </w:numPr>
              <w:shd w:val="clear"/>
              <w:kinsoku/>
              <w:wordWrap/>
              <w:overflowPunct/>
              <w:topLinePunct w:val="0"/>
              <w:autoSpaceDE/>
              <w:autoSpaceDN/>
              <w:bidi w:val="0"/>
              <w:adjustRightInd/>
              <w:snapToGrid/>
              <w:spacing w:before="0" w:after="0" w:line="360" w:lineRule="auto"/>
              <w:ind w:left="0" w:leftChars="0" w:firstLine="0" w:firstLineChars="0"/>
              <w:textAlignment w:val="auto"/>
              <w:rPr>
                <w:rFonts w:hint="eastAsia" w:ascii="宋体" w:hAnsi="宋体" w:eastAsia="宋体" w:cs="宋体"/>
                <w:sz w:val="22"/>
                <w:szCs w:val="22"/>
              </w:rPr>
            </w:pPr>
            <w:bookmarkStart w:id="26" w:name="_Toc173501800"/>
            <w:r>
              <w:rPr>
                <w:rFonts w:hint="eastAsia" w:ascii="宋体" w:hAnsi="宋体" w:eastAsia="宋体" w:cs="宋体"/>
                <w:b/>
                <w:bCs/>
                <w:kern w:val="44"/>
                <w:sz w:val="22"/>
                <w:szCs w:val="22"/>
                <w:lang w:val="en-US" w:eastAsia="zh-CN" w:bidi="ar-SA"/>
              </w:rPr>
              <w:t>三、</w:t>
            </w:r>
            <w:bookmarkEnd w:id="26"/>
            <w:bookmarkStart w:id="27" w:name="_Toc173501805"/>
            <w:r>
              <w:rPr>
                <w:rFonts w:hint="eastAsia" w:ascii="宋体" w:hAnsi="宋体" w:eastAsia="宋体" w:cs="宋体"/>
                <w:sz w:val="22"/>
                <w:szCs w:val="22"/>
              </w:rPr>
              <w:t>主要设备参数要求</w:t>
            </w:r>
            <w:bookmarkEnd w:id="27"/>
          </w:p>
          <w:p w14:paraId="375544A4">
            <w:pPr>
              <w:keepNext w:val="0"/>
              <w:keepLines w:val="0"/>
              <w:pageBreakBefore w:val="0"/>
              <w:widowControl w:val="0"/>
              <w:shd w:val="clea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Hans"/>
              </w:rPr>
              <w:t>设备应符合相关的国家标准和行业标准。并根据项目功能要求，设备技术参数均应不低于以下技术指标要求。</w:t>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SEQ alist \h</w:instrText>
            </w:r>
            <w:r>
              <w:rPr>
                <w:rFonts w:hint="eastAsia" w:ascii="宋体" w:hAnsi="宋体" w:eastAsia="宋体" w:cs="宋体"/>
                <w:sz w:val="22"/>
                <w:szCs w:val="22"/>
              </w:rPr>
              <w:fldChar w:fldCharType="end"/>
            </w:r>
          </w:p>
          <w:p w14:paraId="751B46F1">
            <w:pPr>
              <w:pStyle w:val="4"/>
              <w:pageBreakBefore w:val="0"/>
              <w:numPr>
                <w:ilvl w:val="1"/>
                <w:numId w:val="0"/>
              </w:numPr>
              <w:shd w:val="clear"/>
              <w:kinsoku/>
              <w:wordWrap/>
              <w:overflowPunct/>
              <w:topLinePunct w:val="0"/>
              <w:autoSpaceDE/>
              <w:autoSpaceDN/>
              <w:bidi w:val="0"/>
              <w:adjustRightInd/>
              <w:snapToGrid/>
              <w:spacing w:before="0" w:line="360" w:lineRule="auto"/>
              <w:ind w:left="0" w:leftChars="0" w:firstLine="0" w:firstLineChars="0"/>
              <w:textAlignment w:val="auto"/>
              <w:rPr>
                <w:rFonts w:hint="eastAsia" w:ascii="宋体" w:hAnsi="宋体" w:eastAsia="宋体" w:cs="宋体"/>
                <w:b/>
                <w:bCs/>
                <w:sz w:val="22"/>
                <w:szCs w:val="22"/>
              </w:rPr>
            </w:pPr>
            <w:bookmarkStart w:id="28" w:name="_Toc173501806"/>
            <w:r>
              <w:rPr>
                <w:rFonts w:hint="eastAsia" w:ascii="宋体" w:hAnsi="宋体" w:eastAsia="宋体" w:cs="宋体"/>
                <w:b/>
                <w:bCs/>
                <w:kern w:val="2"/>
                <w:sz w:val="22"/>
                <w:szCs w:val="22"/>
                <w:lang w:val="en-US" w:eastAsia="zh-CN" w:bidi="ar-SA"/>
              </w:rPr>
              <w:t>（一）</w:t>
            </w:r>
            <w:r>
              <w:rPr>
                <w:rFonts w:hint="eastAsia" w:ascii="宋体" w:hAnsi="宋体" w:eastAsia="宋体" w:cs="宋体"/>
                <w:b/>
                <w:bCs/>
                <w:sz w:val="22"/>
                <w:szCs w:val="22"/>
              </w:rPr>
              <w:t>电警抓拍单元（车尾）</w:t>
            </w:r>
            <w:bookmarkEnd w:id="28"/>
          </w:p>
          <w:tbl>
            <w:tblPr>
              <w:tblStyle w:val="18"/>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1842"/>
              <w:gridCol w:w="6169"/>
            </w:tblGrid>
            <w:tr w14:paraId="6EEAE4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tblHeader/>
                <w:jc w:val="center"/>
              </w:trPr>
              <w:tc>
                <w:tcPr>
                  <w:tcW w:w="1149" w:type="pct"/>
                  <w:shd w:val="clear" w:color="auto" w:fill="auto"/>
                  <w:vAlign w:val="center"/>
                </w:tcPr>
                <w:p w14:paraId="24DF3D90">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项目</w:t>
                  </w:r>
                </w:p>
              </w:tc>
              <w:tc>
                <w:tcPr>
                  <w:tcW w:w="3850" w:type="pct"/>
                  <w:shd w:val="clear" w:color="auto" w:fill="auto"/>
                  <w:vAlign w:val="center"/>
                </w:tcPr>
                <w:p w14:paraId="040F5B4B">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参数描述</w:t>
                  </w:r>
                </w:p>
              </w:tc>
            </w:tr>
            <w:tr w14:paraId="4D3CCC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149" w:type="pct"/>
                  <w:shd w:val="clear" w:color="auto" w:fill="auto"/>
                  <w:vAlign w:val="center"/>
                </w:tcPr>
                <w:p w14:paraId="53001F5E">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配置要求</w:t>
                  </w:r>
                </w:p>
              </w:tc>
              <w:tc>
                <w:tcPr>
                  <w:tcW w:w="3850" w:type="pct"/>
                  <w:shd w:val="clear" w:color="auto" w:fill="auto"/>
                  <w:vAlign w:val="center"/>
                </w:tcPr>
                <w:p w14:paraId="5F0F1356">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至少包含摄像机、高清镜头、室外防护罩、风扇、内置补光灯、相机内置防雷模块、电源适配器、安装万向节等</w:t>
                  </w:r>
                  <w:r>
                    <w:rPr>
                      <w:rFonts w:hint="eastAsia" w:ascii="宋体" w:hAnsi="宋体" w:eastAsia="宋体" w:cs="宋体"/>
                      <w:color w:val="000000"/>
                      <w:kern w:val="0"/>
                      <w:sz w:val="22"/>
                      <w:szCs w:val="22"/>
                      <w:lang w:eastAsia="zh-CN"/>
                    </w:rPr>
                    <w:t>。</w:t>
                  </w:r>
                </w:p>
              </w:tc>
            </w:tr>
            <w:tr w14:paraId="606A74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84" w:hRule="atLeast"/>
                <w:jc w:val="center"/>
              </w:trPr>
              <w:tc>
                <w:tcPr>
                  <w:tcW w:w="1149" w:type="pct"/>
                  <w:shd w:val="clear" w:color="auto" w:fill="auto"/>
                  <w:vAlign w:val="center"/>
                </w:tcPr>
                <w:p w14:paraId="41BBCB8D">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传感器类型</w:t>
                  </w:r>
                </w:p>
              </w:tc>
              <w:tc>
                <w:tcPr>
                  <w:tcW w:w="3850" w:type="pct"/>
                  <w:shd w:val="clear" w:color="auto" w:fill="auto"/>
                  <w:vAlign w:val="center"/>
                </w:tcPr>
                <w:p w14:paraId="6D668195">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不小于1英寸全局曝光CMOS传感器</w:t>
                  </w:r>
                  <w:r>
                    <w:rPr>
                      <w:rFonts w:hint="eastAsia" w:ascii="宋体" w:hAnsi="宋体" w:eastAsia="宋体" w:cs="宋体"/>
                      <w:color w:val="000000"/>
                      <w:kern w:val="0"/>
                      <w:sz w:val="22"/>
                      <w:szCs w:val="22"/>
                      <w:lang w:eastAsia="zh-CN"/>
                    </w:rPr>
                    <w:t>。</w:t>
                  </w:r>
                </w:p>
              </w:tc>
            </w:tr>
            <w:tr w14:paraId="694652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149" w:type="pct"/>
                  <w:shd w:val="clear" w:color="auto" w:fill="auto"/>
                  <w:vAlign w:val="center"/>
                </w:tcPr>
                <w:p w14:paraId="7AAC14FB">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图像处理器</w:t>
                  </w:r>
                </w:p>
              </w:tc>
              <w:tc>
                <w:tcPr>
                  <w:tcW w:w="3850" w:type="pct"/>
                  <w:shd w:val="clear" w:color="auto" w:fill="auto"/>
                  <w:vAlign w:val="center"/>
                </w:tcPr>
                <w:p w14:paraId="46A4AE6E">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内置GPU芯片</w:t>
                  </w:r>
                  <w:r>
                    <w:rPr>
                      <w:rFonts w:hint="eastAsia" w:ascii="宋体" w:hAnsi="宋体" w:eastAsia="宋体" w:cs="宋体"/>
                      <w:color w:val="000000"/>
                      <w:kern w:val="0"/>
                      <w:sz w:val="22"/>
                      <w:szCs w:val="22"/>
                      <w:lang w:eastAsia="zh-CN"/>
                    </w:rPr>
                    <w:t>。</w:t>
                  </w:r>
                </w:p>
              </w:tc>
            </w:tr>
            <w:tr w14:paraId="5D1B36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84" w:hRule="atLeast"/>
                <w:jc w:val="center"/>
              </w:trPr>
              <w:tc>
                <w:tcPr>
                  <w:tcW w:w="1149" w:type="pct"/>
                  <w:shd w:val="clear" w:color="auto" w:fill="auto"/>
                  <w:vAlign w:val="center"/>
                </w:tcPr>
                <w:p w14:paraId="1F568EE1">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像素</w:t>
                  </w:r>
                </w:p>
              </w:tc>
              <w:tc>
                <w:tcPr>
                  <w:tcW w:w="3850" w:type="pct"/>
                  <w:shd w:val="clear" w:color="auto" w:fill="auto"/>
                  <w:vAlign w:val="center"/>
                </w:tcPr>
                <w:p w14:paraId="4B54A7DA">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≥900万</w:t>
                  </w:r>
                  <w:r>
                    <w:rPr>
                      <w:rFonts w:hint="eastAsia" w:ascii="宋体" w:hAnsi="宋体" w:eastAsia="宋体" w:cs="宋体"/>
                      <w:color w:val="000000"/>
                      <w:kern w:val="0"/>
                      <w:sz w:val="22"/>
                      <w:szCs w:val="22"/>
                      <w:lang w:eastAsia="zh-CN"/>
                    </w:rPr>
                    <w:t>。</w:t>
                  </w:r>
                </w:p>
              </w:tc>
            </w:tr>
            <w:tr w14:paraId="79C282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84" w:hRule="atLeast"/>
                <w:jc w:val="center"/>
              </w:trPr>
              <w:tc>
                <w:tcPr>
                  <w:tcW w:w="1149" w:type="pct"/>
                  <w:shd w:val="clear" w:color="auto" w:fill="auto"/>
                  <w:vAlign w:val="center"/>
                </w:tcPr>
                <w:p w14:paraId="2E61EDEC">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分辨率</w:t>
                  </w:r>
                </w:p>
              </w:tc>
              <w:tc>
                <w:tcPr>
                  <w:tcW w:w="3850" w:type="pct"/>
                  <w:shd w:val="clear" w:color="auto" w:fill="auto"/>
                  <w:vAlign w:val="center"/>
                </w:tcPr>
                <w:p w14:paraId="31C8ECB1">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w:t>
                  </w:r>
                  <w:r>
                    <w:rPr>
                      <w:rFonts w:hint="eastAsia" w:ascii="宋体" w:hAnsi="宋体" w:eastAsia="宋体" w:cs="宋体"/>
                      <w:bCs/>
                      <w:kern w:val="0"/>
                      <w:sz w:val="22"/>
                      <w:szCs w:val="22"/>
                    </w:rPr>
                    <w:t>4096(H)×2160(V)</w:t>
                  </w:r>
                  <w:r>
                    <w:rPr>
                      <w:rFonts w:hint="eastAsia" w:ascii="宋体" w:hAnsi="宋体" w:eastAsia="宋体" w:cs="宋体"/>
                      <w:bCs/>
                      <w:kern w:val="0"/>
                      <w:sz w:val="22"/>
                      <w:szCs w:val="22"/>
                      <w:lang w:eastAsia="zh-CN"/>
                    </w:rPr>
                    <w:t>。</w:t>
                  </w:r>
                </w:p>
              </w:tc>
            </w:tr>
            <w:tr w14:paraId="2BB8F0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149" w:type="pct"/>
                  <w:shd w:val="clear" w:color="auto" w:fill="auto"/>
                  <w:vAlign w:val="center"/>
                </w:tcPr>
                <w:p w14:paraId="3002D604">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帧率</w:t>
                  </w:r>
                </w:p>
              </w:tc>
              <w:tc>
                <w:tcPr>
                  <w:tcW w:w="3850" w:type="pct"/>
                  <w:shd w:val="clear" w:color="auto" w:fill="auto"/>
                  <w:vAlign w:val="center"/>
                </w:tcPr>
                <w:p w14:paraId="1E4E2373">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≥25fps</w:t>
                  </w:r>
                  <w:r>
                    <w:rPr>
                      <w:rFonts w:hint="eastAsia" w:ascii="宋体" w:hAnsi="宋体" w:eastAsia="宋体" w:cs="宋体"/>
                      <w:color w:val="000000"/>
                      <w:kern w:val="0"/>
                      <w:sz w:val="22"/>
                      <w:szCs w:val="22"/>
                      <w:lang w:eastAsia="zh-CN"/>
                    </w:rPr>
                    <w:t>。</w:t>
                  </w:r>
                </w:p>
              </w:tc>
            </w:tr>
            <w:tr w14:paraId="7B97A2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149" w:type="pct"/>
                  <w:shd w:val="clear" w:color="auto" w:fill="auto"/>
                  <w:vAlign w:val="center"/>
                </w:tcPr>
                <w:p w14:paraId="6DC23293">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接口协议</w:t>
                  </w:r>
                </w:p>
              </w:tc>
              <w:tc>
                <w:tcPr>
                  <w:tcW w:w="3850" w:type="pct"/>
                  <w:shd w:val="clear" w:color="auto" w:fill="auto"/>
                  <w:vAlign w:val="center"/>
                </w:tcPr>
                <w:p w14:paraId="0120CD58">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sz w:val="22"/>
                      <w:szCs w:val="22"/>
                    </w:rPr>
                    <w:t>GB/T 28181，GA/T 1400</w:t>
                  </w:r>
                  <w:r>
                    <w:rPr>
                      <w:rFonts w:hint="eastAsia" w:ascii="宋体" w:hAnsi="宋体" w:eastAsia="宋体" w:cs="宋体"/>
                      <w:color w:val="000000"/>
                      <w:sz w:val="22"/>
                      <w:szCs w:val="22"/>
                      <w:lang w:eastAsia="zh-CN"/>
                    </w:rPr>
                    <w:t>。</w:t>
                  </w:r>
                </w:p>
              </w:tc>
            </w:tr>
            <w:tr w14:paraId="070D17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149" w:type="pct"/>
                  <w:shd w:val="clear" w:color="auto" w:fill="auto"/>
                  <w:vAlign w:val="center"/>
                </w:tcPr>
                <w:p w14:paraId="544D4FF9">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视频压缩标准</w:t>
                  </w:r>
                </w:p>
              </w:tc>
              <w:tc>
                <w:tcPr>
                  <w:tcW w:w="3850" w:type="pct"/>
                  <w:shd w:val="clear" w:color="auto" w:fill="auto"/>
                  <w:vAlign w:val="center"/>
                </w:tcPr>
                <w:p w14:paraId="1B37A040">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H.264/H.265/MJPEG</w:t>
                  </w:r>
                  <w:r>
                    <w:rPr>
                      <w:rFonts w:hint="eastAsia" w:ascii="宋体" w:hAnsi="宋体" w:eastAsia="宋体" w:cs="宋体"/>
                      <w:color w:val="000000"/>
                      <w:kern w:val="0"/>
                      <w:sz w:val="22"/>
                      <w:szCs w:val="22"/>
                      <w:lang w:eastAsia="zh-CN"/>
                    </w:rPr>
                    <w:t>。</w:t>
                  </w:r>
                </w:p>
              </w:tc>
            </w:tr>
            <w:tr w14:paraId="0F78B2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149" w:type="pct"/>
                  <w:shd w:val="clear" w:color="auto" w:fill="auto"/>
                  <w:vAlign w:val="center"/>
                </w:tcPr>
                <w:p w14:paraId="251A4C51">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输出图片格式</w:t>
                  </w:r>
                </w:p>
              </w:tc>
              <w:tc>
                <w:tcPr>
                  <w:tcW w:w="3850" w:type="pct"/>
                  <w:shd w:val="clear" w:color="auto" w:fill="auto"/>
                  <w:vAlign w:val="center"/>
                </w:tcPr>
                <w:p w14:paraId="2D31AEB8">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JPEG</w:t>
                  </w:r>
                  <w:r>
                    <w:rPr>
                      <w:rFonts w:hint="eastAsia" w:ascii="宋体" w:hAnsi="宋体" w:eastAsia="宋体" w:cs="宋体"/>
                      <w:color w:val="000000"/>
                      <w:kern w:val="0"/>
                      <w:sz w:val="22"/>
                      <w:szCs w:val="22"/>
                      <w:lang w:eastAsia="zh-CN"/>
                    </w:rPr>
                    <w:t>。</w:t>
                  </w:r>
                </w:p>
              </w:tc>
            </w:tr>
            <w:tr w14:paraId="2E8ABC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149" w:type="pct"/>
                  <w:shd w:val="clear" w:color="auto" w:fill="auto"/>
                  <w:vAlign w:val="center"/>
                </w:tcPr>
                <w:p w14:paraId="4BBFD1E6">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接口</w:t>
                  </w:r>
                </w:p>
              </w:tc>
              <w:tc>
                <w:tcPr>
                  <w:tcW w:w="3850" w:type="pct"/>
                  <w:shd w:val="clear" w:color="auto" w:fill="auto"/>
                  <w:vAlign w:val="center"/>
                </w:tcPr>
                <w:p w14:paraId="4D901871">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≥3个RS-485接口</w:t>
                  </w:r>
                  <w:r>
                    <w:rPr>
                      <w:rFonts w:hint="eastAsia" w:ascii="宋体" w:hAnsi="宋体" w:eastAsia="宋体" w:cs="宋体"/>
                      <w:color w:val="000000"/>
                      <w:kern w:val="0"/>
                      <w:sz w:val="22"/>
                      <w:szCs w:val="22"/>
                      <w:lang w:eastAsia="zh-CN"/>
                    </w:rPr>
                    <w:t>。</w:t>
                  </w:r>
                </w:p>
                <w:p w14:paraId="4B9FE155">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≥1个RS-232接口</w:t>
                  </w:r>
                  <w:r>
                    <w:rPr>
                      <w:rFonts w:hint="eastAsia" w:ascii="宋体" w:hAnsi="宋体" w:eastAsia="宋体" w:cs="宋体"/>
                      <w:color w:val="000000"/>
                      <w:kern w:val="0"/>
                      <w:sz w:val="22"/>
                      <w:szCs w:val="22"/>
                      <w:lang w:eastAsia="zh-CN"/>
                    </w:rPr>
                    <w:t>。</w:t>
                  </w:r>
                </w:p>
                <w:p w14:paraId="215C1219">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≥2个RJ45 10M/100M/1000M自适应以太网口</w:t>
                  </w:r>
                  <w:r>
                    <w:rPr>
                      <w:rFonts w:hint="eastAsia" w:ascii="宋体" w:hAnsi="宋体" w:eastAsia="宋体" w:cs="宋体"/>
                      <w:color w:val="000000"/>
                      <w:kern w:val="0"/>
                      <w:sz w:val="22"/>
                      <w:szCs w:val="22"/>
                      <w:lang w:eastAsia="zh-CN"/>
                    </w:rPr>
                    <w:t>。</w:t>
                  </w:r>
                </w:p>
              </w:tc>
            </w:tr>
            <w:tr w14:paraId="5E1953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149" w:type="pct"/>
                  <w:shd w:val="clear" w:color="auto" w:fill="auto"/>
                  <w:vAlign w:val="center"/>
                </w:tcPr>
                <w:p w14:paraId="355F8322">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触发输入</w:t>
                  </w:r>
                </w:p>
              </w:tc>
              <w:tc>
                <w:tcPr>
                  <w:tcW w:w="3850" w:type="pct"/>
                  <w:shd w:val="clear" w:color="auto" w:fill="auto"/>
                  <w:vAlign w:val="center"/>
                </w:tcPr>
                <w:p w14:paraId="2C34D6C5">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kern w:val="0"/>
                      <w:sz w:val="22"/>
                      <w:szCs w:val="22"/>
                      <w:lang w:eastAsia="zh-CN"/>
                    </w:rPr>
                  </w:pPr>
                  <w:r>
                    <w:rPr>
                      <w:rFonts w:hint="eastAsia" w:ascii="宋体" w:hAnsi="宋体" w:eastAsia="宋体" w:cs="宋体"/>
                      <w:color w:val="000000"/>
                      <w:kern w:val="0"/>
                      <w:sz w:val="22"/>
                      <w:szCs w:val="22"/>
                    </w:rPr>
                    <w:t>≥</w:t>
                  </w:r>
                  <w:r>
                    <w:rPr>
                      <w:rFonts w:hint="eastAsia" w:ascii="宋体" w:hAnsi="宋体" w:eastAsia="宋体" w:cs="宋体"/>
                      <w:bCs/>
                      <w:kern w:val="0"/>
                      <w:sz w:val="22"/>
                      <w:szCs w:val="22"/>
                    </w:rPr>
                    <w:t>1个触发/报警输入</w:t>
                  </w:r>
                  <w:r>
                    <w:rPr>
                      <w:rFonts w:hint="eastAsia" w:ascii="宋体" w:hAnsi="宋体" w:eastAsia="宋体" w:cs="宋体"/>
                      <w:bCs/>
                      <w:kern w:val="0"/>
                      <w:sz w:val="22"/>
                      <w:szCs w:val="22"/>
                      <w:lang w:eastAsia="zh-CN"/>
                    </w:rPr>
                    <w:t>。</w:t>
                  </w:r>
                </w:p>
              </w:tc>
            </w:tr>
            <w:tr w14:paraId="104D3B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104" w:hRule="atLeast"/>
                <w:jc w:val="center"/>
              </w:trPr>
              <w:tc>
                <w:tcPr>
                  <w:tcW w:w="1149" w:type="pct"/>
                  <w:vMerge w:val="restart"/>
                  <w:shd w:val="clear" w:color="auto" w:fill="auto"/>
                  <w:vAlign w:val="center"/>
                </w:tcPr>
                <w:p w14:paraId="05504EA4">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智能功能</w:t>
                  </w:r>
                </w:p>
              </w:tc>
              <w:tc>
                <w:tcPr>
                  <w:tcW w:w="3850" w:type="pct"/>
                  <w:shd w:val="clear" w:color="auto" w:fill="auto"/>
                  <w:vAlign w:val="center"/>
                </w:tcPr>
                <w:p w14:paraId="623D9748">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2"/>
                      <w:szCs w:val="22"/>
                      <w:lang w:eastAsia="zh-CN"/>
                    </w:rPr>
                  </w:pPr>
                  <w:r>
                    <w:rPr>
                      <w:rFonts w:hint="eastAsia" w:ascii="宋体" w:hAnsi="宋体" w:eastAsia="宋体" w:cs="宋体"/>
                      <w:sz w:val="22"/>
                      <w:szCs w:val="22"/>
                    </w:rPr>
                    <w:t>目标检测：机动车抓拍，车辆捕获率≥99%（线圈），车辆捕获率≥99%（视频）</w:t>
                  </w:r>
                  <w:r>
                    <w:rPr>
                      <w:rFonts w:hint="eastAsia" w:ascii="宋体" w:hAnsi="宋体" w:eastAsia="宋体" w:cs="宋体"/>
                      <w:sz w:val="22"/>
                      <w:szCs w:val="22"/>
                      <w:lang w:eastAsia="zh-CN"/>
                    </w:rPr>
                    <w:t>。</w:t>
                  </w:r>
                </w:p>
              </w:tc>
            </w:tr>
            <w:tr w14:paraId="7608D7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4" w:hRule="atLeast"/>
                <w:jc w:val="center"/>
              </w:trPr>
              <w:tc>
                <w:tcPr>
                  <w:tcW w:w="1149" w:type="pct"/>
                  <w:vMerge w:val="continue"/>
                  <w:shd w:val="clear" w:color="auto" w:fill="auto"/>
                  <w:vAlign w:val="center"/>
                </w:tcPr>
                <w:p w14:paraId="1E82FB3F">
                  <w:pPr>
                    <w:pageBreakBefore w:val="0"/>
                    <w:widowControl/>
                    <w:shd w:val="clear"/>
                    <w:kinsoku/>
                    <w:wordWrap/>
                    <w:overflowPunct/>
                    <w:topLinePunct w:val="0"/>
                    <w:autoSpaceDE/>
                    <w:autoSpaceDN/>
                    <w:bidi w:val="0"/>
                    <w:adjustRightInd/>
                    <w:snapToGrid/>
                    <w:spacing w:line="360" w:lineRule="auto"/>
                    <w:ind w:firstLine="440" w:firstLineChars="200"/>
                    <w:jc w:val="center"/>
                    <w:textAlignment w:val="auto"/>
                    <w:rPr>
                      <w:rFonts w:hint="eastAsia" w:ascii="宋体" w:hAnsi="宋体" w:eastAsia="宋体" w:cs="宋体"/>
                      <w:sz w:val="22"/>
                      <w:szCs w:val="22"/>
                    </w:rPr>
                  </w:pPr>
                </w:p>
              </w:tc>
              <w:tc>
                <w:tcPr>
                  <w:tcW w:w="3850" w:type="pct"/>
                  <w:shd w:val="clear" w:color="auto" w:fill="auto"/>
                  <w:vAlign w:val="center"/>
                </w:tcPr>
                <w:p w14:paraId="54964E9A">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2"/>
                      <w:szCs w:val="22"/>
                      <w:lang w:eastAsia="zh-CN"/>
                    </w:rPr>
                  </w:pPr>
                  <w:r>
                    <w:rPr>
                      <w:rFonts w:hint="eastAsia" w:ascii="宋体" w:hAnsi="宋体" w:eastAsia="宋体" w:cs="宋体"/>
                      <w:sz w:val="22"/>
                      <w:szCs w:val="22"/>
                    </w:rPr>
                    <w:t>违法检测：压线、逆行、闯红灯、不按导向行驶、违法变道、绿灯停止、左转不让直行、右转不让直行、掉头不让直行、大弯小转、机占非、闯禁令（禁左、禁右、禁止大车、公交专用道）、不礼让行人、闯绿灯</w:t>
                  </w:r>
                  <w:r>
                    <w:rPr>
                      <w:rFonts w:hint="eastAsia" w:ascii="宋体" w:hAnsi="宋体" w:eastAsia="宋体" w:cs="宋体"/>
                      <w:sz w:val="22"/>
                      <w:szCs w:val="22"/>
                      <w:lang w:eastAsia="zh-CN"/>
                    </w:rPr>
                    <w:t>。</w:t>
                  </w:r>
                </w:p>
              </w:tc>
            </w:tr>
            <w:tr w14:paraId="6912C5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4" w:hRule="atLeast"/>
                <w:jc w:val="center"/>
              </w:trPr>
              <w:tc>
                <w:tcPr>
                  <w:tcW w:w="1149" w:type="pct"/>
                  <w:vMerge w:val="continue"/>
                  <w:shd w:val="clear" w:color="auto" w:fill="auto"/>
                  <w:vAlign w:val="center"/>
                </w:tcPr>
                <w:p w14:paraId="249BA885">
                  <w:pPr>
                    <w:pageBreakBefore w:val="0"/>
                    <w:widowControl/>
                    <w:shd w:val="clear"/>
                    <w:kinsoku/>
                    <w:wordWrap/>
                    <w:overflowPunct/>
                    <w:topLinePunct w:val="0"/>
                    <w:autoSpaceDE/>
                    <w:autoSpaceDN/>
                    <w:bidi w:val="0"/>
                    <w:adjustRightInd/>
                    <w:snapToGrid/>
                    <w:spacing w:line="360" w:lineRule="auto"/>
                    <w:ind w:firstLine="440" w:firstLineChars="200"/>
                    <w:jc w:val="center"/>
                    <w:textAlignment w:val="auto"/>
                    <w:rPr>
                      <w:rFonts w:hint="eastAsia" w:ascii="宋体" w:hAnsi="宋体" w:eastAsia="宋体" w:cs="宋体"/>
                      <w:sz w:val="22"/>
                      <w:szCs w:val="22"/>
                    </w:rPr>
                  </w:pPr>
                </w:p>
              </w:tc>
              <w:tc>
                <w:tcPr>
                  <w:tcW w:w="3850" w:type="pct"/>
                  <w:shd w:val="clear" w:color="auto" w:fill="auto"/>
                </w:tcPr>
                <w:p w14:paraId="4F4CDDE1">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2"/>
                      <w:szCs w:val="22"/>
                      <w:lang w:eastAsia="zh-CN"/>
                    </w:rPr>
                  </w:pPr>
                  <w:r>
                    <w:rPr>
                      <w:rFonts w:hint="eastAsia" w:ascii="宋体" w:hAnsi="宋体" w:eastAsia="宋体" w:cs="宋体"/>
                      <w:sz w:val="22"/>
                      <w:szCs w:val="22"/>
                    </w:rPr>
                    <w:t>车辆特征检测：车牌识别、车型识别、车身颜色识别(环境光</w:t>
                  </w:r>
                  <w:r>
                    <w:rPr>
                      <w:rFonts w:hint="eastAsia" w:ascii="宋体" w:hAnsi="宋体" w:eastAsia="宋体" w:cs="宋体"/>
                      <w:sz w:val="22"/>
                      <w:szCs w:val="22"/>
                      <w:lang w:val="en-US" w:eastAsia="zh-CN"/>
                    </w:rPr>
                    <w:t>线</w:t>
                  </w:r>
                  <w:r>
                    <w:rPr>
                      <w:rFonts w:hint="eastAsia" w:ascii="宋体" w:hAnsi="宋体" w:eastAsia="宋体" w:cs="宋体"/>
                      <w:sz w:val="22"/>
                      <w:szCs w:val="22"/>
                    </w:rPr>
                    <w:t>有要求)、车辆品牌识别</w:t>
                  </w:r>
                  <w:r>
                    <w:rPr>
                      <w:rFonts w:hint="eastAsia" w:ascii="宋体" w:hAnsi="宋体" w:eastAsia="宋体" w:cs="宋体"/>
                      <w:sz w:val="22"/>
                      <w:szCs w:val="22"/>
                      <w:lang w:eastAsia="zh-CN"/>
                    </w:rPr>
                    <w:t>。</w:t>
                  </w:r>
                </w:p>
              </w:tc>
            </w:tr>
            <w:tr w14:paraId="4DFBE1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4" w:hRule="atLeast"/>
                <w:jc w:val="center"/>
              </w:trPr>
              <w:tc>
                <w:tcPr>
                  <w:tcW w:w="1149" w:type="pct"/>
                  <w:vMerge w:val="continue"/>
                  <w:shd w:val="clear" w:color="auto" w:fill="auto"/>
                  <w:vAlign w:val="center"/>
                </w:tcPr>
                <w:p w14:paraId="2853C1E9">
                  <w:pPr>
                    <w:pageBreakBefore w:val="0"/>
                    <w:widowControl/>
                    <w:shd w:val="clear"/>
                    <w:kinsoku/>
                    <w:wordWrap/>
                    <w:overflowPunct/>
                    <w:topLinePunct w:val="0"/>
                    <w:autoSpaceDE/>
                    <w:autoSpaceDN/>
                    <w:bidi w:val="0"/>
                    <w:adjustRightInd/>
                    <w:snapToGrid/>
                    <w:spacing w:line="360" w:lineRule="auto"/>
                    <w:ind w:firstLine="440" w:firstLineChars="200"/>
                    <w:jc w:val="center"/>
                    <w:textAlignment w:val="auto"/>
                    <w:rPr>
                      <w:rFonts w:hint="eastAsia" w:ascii="宋体" w:hAnsi="宋体" w:eastAsia="宋体" w:cs="宋体"/>
                      <w:sz w:val="22"/>
                      <w:szCs w:val="22"/>
                    </w:rPr>
                  </w:pPr>
                </w:p>
              </w:tc>
              <w:tc>
                <w:tcPr>
                  <w:tcW w:w="3850" w:type="pct"/>
                  <w:shd w:val="clear" w:color="auto" w:fill="auto"/>
                </w:tcPr>
                <w:p w14:paraId="5A222103">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2"/>
                      <w:szCs w:val="22"/>
                      <w:lang w:eastAsia="zh-CN"/>
                    </w:rPr>
                  </w:pPr>
                  <w:r>
                    <w:rPr>
                      <w:rFonts w:hint="eastAsia" w:ascii="宋体" w:hAnsi="宋体" w:eastAsia="宋体" w:cs="宋体"/>
                      <w:sz w:val="22"/>
                      <w:szCs w:val="22"/>
                    </w:rPr>
                    <w:t>车辆品牌识别：支持识别不少于350 种车辆品牌</w:t>
                  </w:r>
                  <w:r>
                    <w:rPr>
                      <w:rFonts w:hint="eastAsia" w:ascii="宋体" w:hAnsi="宋体" w:eastAsia="宋体" w:cs="宋体"/>
                      <w:sz w:val="22"/>
                      <w:szCs w:val="22"/>
                      <w:lang w:eastAsia="zh-CN"/>
                    </w:rPr>
                    <w:t>。</w:t>
                  </w:r>
                </w:p>
              </w:tc>
            </w:tr>
            <w:tr w14:paraId="716747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149" w:type="pct"/>
                  <w:shd w:val="clear" w:color="auto" w:fill="auto"/>
                  <w:vAlign w:val="center"/>
                </w:tcPr>
                <w:p w14:paraId="4947447E">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终端接入</w:t>
                  </w:r>
                </w:p>
              </w:tc>
              <w:tc>
                <w:tcPr>
                  <w:tcW w:w="3850" w:type="pct"/>
                  <w:shd w:val="clear" w:color="auto" w:fill="auto"/>
                  <w:vAlign w:val="center"/>
                </w:tcPr>
                <w:p w14:paraId="244C502B">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支持接入终端服务器</w:t>
                  </w:r>
                  <w:r>
                    <w:rPr>
                      <w:rFonts w:hint="eastAsia" w:ascii="宋体" w:hAnsi="宋体" w:eastAsia="宋体" w:cs="宋体"/>
                      <w:color w:val="000000"/>
                      <w:kern w:val="0"/>
                      <w:sz w:val="22"/>
                      <w:szCs w:val="22"/>
                      <w:lang w:eastAsia="zh-CN"/>
                    </w:rPr>
                    <w:t>。</w:t>
                  </w:r>
                </w:p>
              </w:tc>
            </w:tr>
            <w:tr w14:paraId="2747DF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149" w:type="pct"/>
                  <w:shd w:val="clear" w:color="auto" w:fill="auto"/>
                  <w:noWrap/>
                  <w:vAlign w:val="center"/>
                </w:tcPr>
                <w:p w14:paraId="2164E32D">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电压</w:t>
                  </w:r>
                </w:p>
              </w:tc>
              <w:tc>
                <w:tcPr>
                  <w:tcW w:w="3850" w:type="pct"/>
                  <w:shd w:val="clear" w:color="auto" w:fill="auto"/>
                  <w:vAlign w:val="center"/>
                </w:tcPr>
                <w:p w14:paraId="32C2C1B1">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至少100VAC～240VAC</w:t>
                  </w:r>
                  <w:r>
                    <w:rPr>
                      <w:rFonts w:hint="eastAsia" w:ascii="宋体" w:hAnsi="宋体" w:eastAsia="宋体" w:cs="宋体"/>
                      <w:color w:val="000000"/>
                      <w:kern w:val="0"/>
                      <w:sz w:val="22"/>
                      <w:szCs w:val="22"/>
                      <w:lang w:eastAsia="zh-CN"/>
                    </w:rPr>
                    <w:t>。</w:t>
                  </w:r>
                </w:p>
              </w:tc>
            </w:tr>
            <w:tr w14:paraId="481176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84" w:hRule="atLeast"/>
                <w:jc w:val="center"/>
              </w:trPr>
              <w:tc>
                <w:tcPr>
                  <w:tcW w:w="1149" w:type="pct"/>
                  <w:shd w:val="clear" w:color="auto" w:fill="auto"/>
                  <w:noWrap/>
                  <w:vAlign w:val="center"/>
                </w:tcPr>
                <w:p w14:paraId="0C308836">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频率</w:t>
                  </w:r>
                </w:p>
              </w:tc>
              <w:tc>
                <w:tcPr>
                  <w:tcW w:w="3850" w:type="pct"/>
                  <w:shd w:val="clear" w:color="auto" w:fill="auto"/>
                  <w:vAlign w:val="center"/>
                </w:tcPr>
                <w:p w14:paraId="10A1195C">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至少48Hz～52Hz</w:t>
                  </w:r>
                  <w:r>
                    <w:rPr>
                      <w:rFonts w:hint="eastAsia" w:ascii="宋体" w:hAnsi="宋体" w:eastAsia="宋体" w:cs="宋体"/>
                      <w:color w:val="000000"/>
                      <w:kern w:val="0"/>
                      <w:sz w:val="22"/>
                      <w:szCs w:val="22"/>
                      <w:lang w:eastAsia="zh-CN"/>
                    </w:rPr>
                    <w:t>。</w:t>
                  </w:r>
                </w:p>
              </w:tc>
            </w:tr>
            <w:tr w14:paraId="1B5536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149" w:type="pct"/>
                  <w:shd w:val="clear" w:color="auto" w:fill="auto"/>
                  <w:noWrap/>
                  <w:vAlign w:val="center"/>
                </w:tcPr>
                <w:p w14:paraId="49FFBA2F">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功耗</w:t>
                  </w:r>
                </w:p>
              </w:tc>
              <w:tc>
                <w:tcPr>
                  <w:tcW w:w="3850" w:type="pct"/>
                  <w:shd w:val="clear" w:color="auto" w:fill="auto"/>
                  <w:vAlign w:val="center"/>
                </w:tcPr>
                <w:p w14:paraId="30AD9554">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≤20W</w:t>
                  </w:r>
                  <w:r>
                    <w:rPr>
                      <w:rFonts w:hint="eastAsia" w:ascii="宋体" w:hAnsi="宋体" w:eastAsia="宋体" w:cs="宋体"/>
                      <w:color w:val="000000"/>
                      <w:kern w:val="0"/>
                      <w:sz w:val="22"/>
                      <w:szCs w:val="22"/>
                      <w:lang w:eastAsia="zh-CN"/>
                    </w:rPr>
                    <w:t>。</w:t>
                  </w:r>
                </w:p>
              </w:tc>
            </w:tr>
            <w:tr w14:paraId="40C580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84" w:hRule="atLeast"/>
                <w:jc w:val="center"/>
              </w:trPr>
              <w:tc>
                <w:tcPr>
                  <w:tcW w:w="1149" w:type="pct"/>
                  <w:shd w:val="clear" w:color="auto" w:fill="auto"/>
                  <w:noWrap/>
                  <w:vAlign w:val="center"/>
                </w:tcPr>
                <w:p w14:paraId="335C7188">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工作环境</w:t>
                  </w:r>
                </w:p>
                <w:p w14:paraId="4B0C2921">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温度</w:t>
                  </w:r>
                </w:p>
              </w:tc>
              <w:tc>
                <w:tcPr>
                  <w:tcW w:w="3850" w:type="pct"/>
                  <w:shd w:val="clear" w:color="auto" w:fill="auto"/>
                  <w:vAlign w:val="center"/>
                </w:tcPr>
                <w:p w14:paraId="17A33881">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至少-30℃～+60℃</w:t>
                  </w:r>
                  <w:r>
                    <w:rPr>
                      <w:rFonts w:hint="eastAsia" w:ascii="宋体" w:hAnsi="宋体" w:eastAsia="宋体" w:cs="宋体"/>
                      <w:color w:val="000000"/>
                      <w:kern w:val="0"/>
                      <w:sz w:val="22"/>
                      <w:szCs w:val="22"/>
                      <w:lang w:eastAsia="zh-CN"/>
                    </w:rPr>
                    <w:t>。</w:t>
                  </w:r>
                </w:p>
              </w:tc>
            </w:tr>
            <w:tr w14:paraId="66ED5D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149" w:type="pct"/>
                  <w:shd w:val="clear" w:color="auto" w:fill="auto"/>
                  <w:noWrap/>
                  <w:vAlign w:val="center"/>
                </w:tcPr>
                <w:p w14:paraId="644D214A">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工作环境</w:t>
                  </w:r>
                </w:p>
                <w:p w14:paraId="1A77B688">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湿度</w:t>
                  </w:r>
                </w:p>
              </w:tc>
              <w:tc>
                <w:tcPr>
                  <w:tcW w:w="3850" w:type="pct"/>
                  <w:shd w:val="clear" w:color="auto" w:fill="auto"/>
                  <w:noWrap/>
                  <w:vAlign w:val="center"/>
                </w:tcPr>
                <w:p w14:paraId="1CCD2D15">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至少5%～95%@40℃，无凝结</w:t>
                  </w:r>
                  <w:r>
                    <w:rPr>
                      <w:rFonts w:hint="eastAsia" w:ascii="宋体" w:hAnsi="宋体" w:eastAsia="宋体" w:cs="宋体"/>
                      <w:color w:val="000000"/>
                      <w:kern w:val="0"/>
                      <w:sz w:val="22"/>
                      <w:szCs w:val="22"/>
                      <w:lang w:eastAsia="zh-CN"/>
                    </w:rPr>
                    <w:t>。</w:t>
                  </w:r>
                </w:p>
              </w:tc>
            </w:tr>
            <w:tr w14:paraId="461844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84" w:hRule="atLeast"/>
                <w:jc w:val="center"/>
              </w:trPr>
              <w:tc>
                <w:tcPr>
                  <w:tcW w:w="1149" w:type="pct"/>
                  <w:shd w:val="clear" w:color="auto" w:fill="auto"/>
                  <w:noWrap/>
                  <w:vAlign w:val="center"/>
                </w:tcPr>
                <w:p w14:paraId="177C359F">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防护等级</w:t>
                  </w:r>
                </w:p>
              </w:tc>
              <w:tc>
                <w:tcPr>
                  <w:tcW w:w="3850" w:type="pct"/>
                  <w:shd w:val="clear" w:color="auto" w:fill="auto"/>
                  <w:vAlign w:val="center"/>
                </w:tcPr>
                <w:p w14:paraId="150A3BDF">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≥IP66</w:t>
                  </w:r>
                  <w:r>
                    <w:rPr>
                      <w:rFonts w:hint="eastAsia" w:ascii="宋体" w:hAnsi="宋体" w:eastAsia="宋体" w:cs="宋体"/>
                      <w:color w:val="000000"/>
                      <w:kern w:val="0"/>
                      <w:sz w:val="22"/>
                      <w:szCs w:val="22"/>
                      <w:lang w:eastAsia="zh-CN"/>
                    </w:rPr>
                    <w:t>。</w:t>
                  </w:r>
                </w:p>
              </w:tc>
            </w:tr>
            <w:tr w14:paraId="625E84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149" w:type="pct"/>
                  <w:shd w:val="clear" w:color="auto" w:fill="auto"/>
                  <w:noWrap/>
                  <w:vAlign w:val="center"/>
                </w:tcPr>
                <w:p w14:paraId="589E489C">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安全要求</w:t>
                  </w:r>
                </w:p>
              </w:tc>
              <w:tc>
                <w:tcPr>
                  <w:tcW w:w="3850" w:type="pct"/>
                  <w:shd w:val="clear" w:color="auto" w:fill="auto"/>
                  <w:vAlign w:val="center"/>
                </w:tcPr>
                <w:p w14:paraId="27973452">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至少</w:t>
                  </w:r>
                  <w:r>
                    <w:rPr>
                      <w:rFonts w:hint="eastAsia" w:ascii="宋体" w:hAnsi="宋体" w:eastAsia="宋体" w:cs="宋体"/>
                      <w:color w:val="000000"/>
                      <w:kern w:val="0"/>
                      <w:sz w:val="22"/>
                      <w:szCs w:val="22"/>
                      <w:lang w:val="en-US" w:eastAsia="zh-CN"/>
                    </w:rPr>
                    <w:t>同时</w:t>
                  </w:r>
                  <w:r>
                    <w:rPr>
                      <w:rFonts w:hint="eastAsia" w:ascii="宋体" w:hAnsi="宋体" w:eastAsia="宋体" w:cs="宋体"/>
                      <w:color w:val="000000"/>
                      <w:kern w:val="0"/>
                      <w:sz w:val="22"/>
                      <w:szCs w:val="22"/>
                    </w:rPr>
                    <w:t>符合GB 35114的A级规定</w:t>
                  </w:r>
                  <w:r>
                    <w:rPr>
                      <w:rFonts w:hint="eastAsia" w:ascii="宋体" w:hAnsi="宋体" w:eastAsia="宋体" w:cs="宋体"/>
                      <w:color w:val="000000"/>
                      <w:kern w:val="0"/>
                      <w:sz w:val="22"/>
                      <w:szCs w:val="22"/>
                      <w:lang w:val="en-US" w:eastAsia="zh-CN"/>
                    </w:rPr>
                    <w:t>和</w:t>
                  </w:r>
                  <w:r>
                    <w:rPr>
                      <w:rFonts w:hint="eastAsia" w:ascii="宋体" w:hAnsi="宋体" w:eastAsia="宋体" w:cs="宋体"/>
                      <w:color w:val="000000"/>
                      <w:kern w:val="0"/>
                      <w:sz w:val="22"/>
                      <w:szCs w:val="22"/>
                    </w:rPr>
                    <w:t>GA/T 17882的增强型I级规定</w:t>
                  </w:r>
                  <w:r>
                    <w:rPr>
                      <w:rFonts w:hint="eastAsia" w:ascii="宋体" w:hAnsi="宋体" w:eastAsia="宋体" w:cs="宋体"/>
                      <w:color w:val="000000"/>
                      <w:kern w:val="0"/>
                      <w:sz w:val="22"/>
                      <w:szCs w:val="22"/>
                      <w:lang w:eastAsia="zh-CN"/>
                    </w:rPr>
                    <w:t>。</w:t>
                  </w:r>
                </w:p>
              </w:tc>
            </w:tr>
          </w:tbl>
          <w:p w14:paraId="7E05E0A2">
            <w:pPr>
              <w:pageBreakBefore w:val="0"/>
              <w:kinsoku/>
              <w:wordWrap/>
              <w:overflowPunct/>
              <w:autoSpaceDE/>
              <w:autoSpaceDN/>
              <w:bidi w:val="0"/>
              <w:snapToGrid/>
              <w:spacing w:beforeAutospacing="0" w:afterAutospacing="0" w:line="360" w:lineRule="auto"/>
              <w:ind w:firstLine="440" w:firstLineChars="200"/>
              <w:rPr>
                <w:rFonts w:hint="eastAsia" w:ascii="宋体" w:hAnsi="宋体" w:eastAsia="宋体" w:cs="宋体"/>
                <w:b w:val="0"/>
                <w:bCs w:val="0"/>
                <w:color w:val="auto"/>
                <w:sz w:val="22"/>
                <w:szCs w:val="22"/>
                <w:highlight w:val="none"/>
                <w:lang w:eastAsia="zh-CN"/>
              </w:rPr>
            </w:pPr>
          </w:p>
        </w:tc>
        <w:tc>
          <w:tcPr>
            <w:tcW w:w="1208" w:type="dxa"/>
          </w:tcPr>
          <w:p w14:paraId="6380A5B4">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6EFEEAA5">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4F7B2955">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2ECD7D4E">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7AF72453">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682BC4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0" w:type="dxa"/>
            <w:vAlign w:val="center"/>
          </w:tcPr>
          <w:p w14:paraId="16B12499">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w:t>
            </w:r>
          </w:p>
        </w:tc>
        <w:tc>
          <w:tcPr>
            <w:tcW w:w="660" w:type="dxa"/>
          </w:tcPr>
          <w:p w14:paraId="3B2D4FDE">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4C61FA83">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0BC066F6">
            <w:pPr>
              <w:pStyle w:val="4"/>
              <w:pageBreakBefore w:val="0"/>
              <w:numPr>
                <w:ilvl w:val="1"/>
                <w:numId w:val="0"/>
              </w:numPr>
              <w:shd w:val="clear"/>
              <w:kinsoku/>
              <w:wordWrap/>
              <w:overflowPunct/>
              <w:topLinePunct w:val="0"/>
              <w:autoSpaceDE/>
              <w:autoSpaceDN/>
              <w:bidi w:val="0"/>
              <w:adjustRightInd/>
              <w:snapToGrid/>
              <w:spacing w:before="0" w:line="360" w:lineRule="auto"/>
              <w:ind w:left="0" w:leftChars="0" w:firstLine="0" w:firstLineChars="0"/>
              <w:textAlignment w:val="auto"/>
              <w:rPr>
                <w:rFonts w:hint="eastAsia" w:ascii="宋体" w:hAnsi="宋体" w:eastAsia="宋体" w:cs="宋体"/>
                <w:sz w:val="22"/>
                <w:szCs w:val="22"/>
              </w:rPr>
            </w:pPr>
            <w:bookmarkStart w:id="29" w:name="_Toc173501807"/>
            <w:r>
              <w:rPr>
                <w:rFonts w:hint="eastAsia" w:ascii="宋体" w:hAnsi="宋体" w:eastAsia="宋体" w:cs="宋体"/>
                <w:b/>
                <w:bCs/>
                <w:kern w:val="2"/>
                <w:sz w:val="22"/>
                <w:szCs w:val="22"/>
                <w:lang w:val="en-US" w:eastAsia="zh-CN" w:bidi="ar-SA"/>
              </w:rPr>
              <w:t>（二）</w:t>
            </w:r>
            <w:r>
              <w:rPr>
                <w:rFonts w:hint="eastAsia" w:ascii="宋体" w:hAnsi="宋体" w:eastAsia="宋体" w:cs="宋体"/>
                <w:b/>
                <w:bCs w:val="0"/>
                <w:sz w:val="22"/>
                <w:szCs w:val="22"/>
              </w:rPr>
              <w:t>电警抓拍单元（车头）</w:t>
            </w:r>
            <w:bookmarkEnd w:id="29"/>
          </w:p>
          <w:tbl>
            <w:tblPr>
              <w:tblStyle w:val="18"/>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1842"/>
              <w:gridCol w:w="6172"/>
            </w:tblGrid>
            <w:tr w14:paraId="198905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tblHeader/>
                <w:jc w:val="center"/>
              </w:trPr>
              <w:tc>
                <w:tcPr>
                  <w:tcW w:w="1149" w:type="pct"/>
                  <w:shd w:val="clear" w:color="auto" w:fill="auto"/>
                  <w:vAlign w:val="center"/>
                </w:tcPr>
                <w:p w14:paraId="2BD1620E">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项目</w:t>
                  </w:r>
                </w:p>
              </w:tc>
              <w:tc>
                <w:tcPr>
                  <w:tcW w:w="3851" w:type="pct"/>
                  <w:shd w:val="clear" w:color="auto" w:fill="auto"/>
                  <w:vAlign w:val="center"/>
                </w:tcPr>
                <w:p w14:paraId="0FF37F2B">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参数描述</w:t>
                  </w:r>
                </w:p>
              </w:tc>
            </w:tr>
            <w:tr w14:paraId="326488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149" w:type="pct"/>
                  <w:shd w:val="clear" w:color="auto" w:fill="auto"/>
                  <w:vAlign w:val="center"/>
                </w:tcPr>
                <w:p w14:paraId="426F4733">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配置要求</w:t>
                  </w:r>
                </w:p>
              </w:tc>
              <w:tc>
                <w:tcPr>
                  <w:tcW w:w="3851" w:type="pct"/>
                  <w:shd w:val="clear" w:color="auto" w:fill="auto"/>
                  <w:vAlign w:val="center"/>
                </w:tcPr>
                <w:p w14:paraId="27CF8E45">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至少包含摄像机（内置偏振镜）、高清镜头、室外防护罩、风扇、内置补光灯、相机内置防雷模块、电源适配器、安装万向节等</w:t>
                  </w:r>
                  <w:r>
                    <w:rPr>
                      <w:rFonts w:hint="eastAsia" w:ascii="宋体" w:hAnsi="宋体" w:eastAsia="宋体" w:cs="宋体"/>
                      <w:color w:val="000000"/>
                      <w:kern w:val="0"/>
                      <w:sz w:val="22"/>
                      <w:szCs w:val="22"/>
                      <w:lang w:eastAsia="zh-CN"/>
                    </w:rPr>
                    <w:t>。</w:t>
                  </w:r>
                </w:p>
              </w:tc>
            </w:tr>
            <w:tr w14:paraId="457509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149" w:type="pct"/>
                  <w:shd w:val="clear" w:color="auto" w:fill="auto"/>
                  <w:vAlign w:val="center"/>
                </w:tcPr>
                <w:p w14:paraId="5888F5A8">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传感器类型</w:t>
                  </w:r>
                </w:p>
              </w:tc>
              <w:tc>
                <w:tcPr>
                  <w:tcW w:w="3851" w:type="pct"/>
                  <w:shd w:val="clear" w:color="auto" w:fill="auto"/>
                  <w:vAlign w:val="center"/>
                </w:tcPr>
                <w:p w14:paraId="279E29C1">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不小于1英寸全局曝光CMOS传感器</w:t>
                  </w:r>
                  <w:r>
                    <w:rPr>
                      <w:rFonts w:hint="eastAsia" w:ascii="宋体" w:hAnsi="宋体" w:eastAsia="宋体" w:cs="宋体"/>
                      <w:color w:val="000000"/>
                      <w:kern w:val="0"/>
                      <w:sz w:val="22"/>
                      <w:szCs w:val="22"/>
                      <w:lang w:eastAsia="zh-CN"/>
                    </w:rPr>
                    <w:t>。</w:t>
                  </w:r>
                </w:p>
              </w:tc>
            </w:tr>
            <w:tr w14:paraId="296F32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149" w:type="pct"/>
                  <w:shd w:val="clear" w:color="auto" w:fill="auto"/>
                  <w:vAlign w:val="center"/>
                </w:tcPr>
                <w:p w14:paraId="4AA55C87">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图像处理器</w:t>
                  </w:r>
                </w:p>
              </w:tc>
              <w:tc>
                <w:tcPr>
                  <w:tcW w:w="3851" w:type="pct"/>
                  <w:shd w:val="clear" w:color="auto" w:fill="auto"/>
                  <w:vAlign w:val="center"/>
                </w:tcPr>
                <w:p w14:paraId="449D8210">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内置GPU芯片</w:t>
                  </w:r>
                  <w:r>
                    <w:rPr>
                      <w:rFonts w:hint="eastAsia" w:ascii="宋体" w:hAnsi="宋体" w:eastAsia="宋体" w:cs="宋体"/>
                      <w:color w:val="000000"/>
                      <w:kern w:val="0"/>
                      <w:sz w:val="22"/>
                      <w:szCs w:val="22"/>
                      <w:lang w:eastAsia="zh-CN"/>
                    </w:rPr>
                    <w:t>。</w:t>
                  </w:r>
                </w:p>
              </w:tc>
            </w:tr>
            <w:tr w14:paraId="6483A3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149" w:type="pct"/>
                  <w:shd w:val="clear" w:color="auto" w:fill="auto"/>
                  <w:vAlign w:val="center"/>
                </w:tcPr>
                <w:p w14:paraId="0E5CB140">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镜头</w:t>
                  </w:r>
                </w:p>
              </w:tc>
              <w:tc>
                <w:tcPr>
                  <w:tcW w:w="3851" w:type="pct"/>
                  <w:shd w:val="clear" w:color="auto" w:fill="auto"/>
                  <w:vAlign w:val="center"/>
                </w:tcPr>
                <w:p w14:paraId="0C25FA6E">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25mm或50mm</w:t>
                  </w:r>
                  <w:r>
                    <w:rPr>
                      <w:rFonts w:hint="eastAsia" w:ascii="宋体" w:hAnsi="宋体" w:eastAsia="宋体" w:cs="宋体"/>
                      <w:color w:val="000000"/>
                      <w:kern w:val="0"/>
                      <w:sz w:val="22"/>
                      <w:szCs w:val="22"/>
                      <w:lang w:eastAsia="zh-CN"/>
                    </w:rPr>
                    <w:t>。</w:t>
                  </w:r>
                </w:p>
              </w:tc>
            </w:tr>
            <w:tr w14:paraId="564B9F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84" w:hRule="atLeast"/>
                <w:jc w:val="center"/>
              </w:trPr>
              <w:tc>
                <w:tcPr>
                  <w:tcW w:w="1149" w:type="pct"/>
                  <w:shd w:val="clear" w:color="auto" w:fill="auto"/>
                  <w:vAlign w:val="center"/>
                </w:tcPr>
                <w:p w14:paraId="3F4ED0E4">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像素</w:t>
                  </w:r>
                </w:p>
              </w:tc>
              <w:tc>
                <w:tcPr>
                  <w:tcW w:w="3851" w:type="pct"/>
                  <w:shd w:val="clear" w:color="auto" w:fill="auto"/>
                  <w:vAlign w:val="center"/>
                </w:tcPr>
                <w:p w14:paraId="18CB0181">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≥900万</w:t>
                  </w:r>
                  <w:r>
                    <w:rPr>
                      <w:rFonts w:hint="eastAsia" w:ascii="宋体" w:hAnsi="宋体" w:eastAsia="宋体" w:cs="宋体"/>
                      <w:color w:val="000000"/>
                      <w:kern w:val="0"/>
                      <w:sz w:val="22"/>
                      <w:szCs w:val="22"/>
                      <w:lang w:eastAsia="zh-CN"/>
                    </w:rPr>
                    <w:t>。</w:t>
                  </w:r>
                </w:p>
              </w:tc>
            </w:tr>
            <w:tr w14:paraId="014E31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84" w:hRule="atLeast"/>
                <w:jc w:val="center"/>
              </w:trPr>
              <w:tc>
                <w:tcPr>
                  <w:tcW w:w="1149" w:type="pct"/>
                  <w:shd w:val="clear" w:color="auto" w:fill="auto"/>
                  <w:vAlign w:val="center"/>
                </w:tcPr>
                <w:p w14:paraId="1C42A837">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分辨率</w:t>
                  </w:r>
                </w:p>
              </w:tc>
              <w:tc>
                <w:tcPr>
                  <w:tcW w:w="3851" w:type="pct"/>
                  <w:shd w:val="clear" w:color="auto" w:fill="auto"/>
                  <w:vAlign w:val="center"/>
                </w:tcPr>
                <w:p w14:paraId="0FB7B8D7">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≥4096(H)×2160(V)</w:t>
                  </w:r>
                  <w:r>
                    <w:rPr>
                      <w:rFonts w:hint="eastAsia" w:ascii="宋体" w:hAnsi="宋体" w:eastAsia="宋体" w:cs="宋体"/>
                      <w:color w:val="000000"/>
                      <w:kern w:val="0"/>
                      <w:sz w:val="22"/>
                      <w:szCs w:val="22"/>
                      <w:lang w:eastAsia="zh-CN"/>
                    </w:rPr>
                    <w:t>。</w:t>
                  </w:r>
                </w:p>
              </w:tc>
            </w:tr>
            <w:tr w14:paraId="763BFE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84" w:hRule="atLeast"/>
                <w:jc w:val="center"/>
              </w:trPr>
              <w:tc>
                <w:tcPr>
                  <w:tcW w:w="1149" w:type="pct"/>
                  <w:shd w:val="clear" w:color="auto" w:fill="auto"/>
                  <w:vAlign w:val="center"/>
                </w:tcPr>
                <w:p w14:paraId="00254B0B">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帧率</w:t>
                  </w:r>
                </w:p>
              </w:tc>
              <w:tc>
                <w:tcPr>
                  <w:tcW w:w="3851" w:type="pct"/>
                  <w:shd w:val="clear" w:color="auto" w:fill="auto"/>
                  <w:vAlign w:val="center"/>
                </w:tcPr>
                <w:p w14:paraId="738782CD">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≥25fps</w:t>
                  </w:r>
                  <w:r>
                    <w:rPr>
                      <w:rFonts w:hint="eastAsia" w:ascii="宋体" w:hAnsi="宋体" w:eastAsia="宋体" w:cs="宋体"/>
                      <w:color w:val="000000"/>
                      <w:kern w:val="0"/>
                      <w:sz w:val="22"/>
                      <w:szCs w:val="22"/>
                      <w:lang w:eastAsia="zh-CN"/>
                    </w:rPr>
                    <w:t>。</w:t>
                  </w:r>
                </w:p>
              </w:tc>
            </w:tr>
            <w:tr w14:paraId="3F8361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84" w:hRule="atLeast"/>
                <w:jc w:val="center"/>
              </w:trPr>
              <w:tc>
                <w:tcPr>
                  <w:tcW w:w="1149" w:type="pct"/>
                  <w:shd w:val="clear" w:color="auto" w:fill="auto"/>
                  <w:vAlign w:val="center"/>
                </w:tcPr>
                <w:p w14:paraId="0E6B3201">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接口协议</w:t>
                  </w:r>
                </w:p>
              </w:tc>
              <w:tc>
                <w:tcPr>
                  <w:tcW w:w="3851" w:type="pct"/>
                  <w:shd w:val="clear" w:color="auto" w:fill="auto"/>
                  <w:vAlign w:val="center"/>
                </w:tcPr>
                <w:p w14:paraId="2DABB259">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GA/T 1400 ，GB/T 28181</w:t>
                  </w:r>
                  <w:r>
                    <w:rPr>
                      <w:rFonts w:hint="eastAsia" w:ascii="宋体" w:hAnsi="宋体" w:eastAsia="宋体" w:cs="宋体"/>
                      <w:color w:val="000000"/>
                      <w:kern w:val="0"/>
                      <w:sz w:val="22"/>
                      <w:szCs w:val="22"/>
                      <w:lang w:eastAsia="zh-CN"/>
                    </w:rPr>
                    <w:t>。</w:t>
                  </w:r>
                </w:p>
              </w:tc>
            </w:tr>
            <w:tr w14:paraId="57250B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68" w:hRule="atLeast"/>
                <w:jc w:val="center"/>
              </w:trPr>
              <w:tc>
                <w:tcPr>
                  <w:tcW w:w="1149" w:type="pct"/>
                  <w:shd w:val="clear" w:color="auto" w:fill="auto"/>
                  <w:vAlign w:val="center"/>
                </w:tcPr>
                <w:p w14:paraId="2FF794D5">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视频压缩标准</w:t>
                  </w:r>
                </w:p>
              </w:tc>
              <w:tc>
                <w:tcPr>
                  <w:tcW w:w="3851" w:type="pct"/>
                  <w:shd w:val="clear" w:color="auto" w:fill="auto"/>
                  <w:vAlign w:val="center"/>
                </w:tcPr>
                <w:p w14:paraId="68388BC5">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H.264/H.265/MJPEG</w:t>
                  </w:r>
                  <w:r>
                    <w:rPr>
                      <w:rFonts w:hint="eastAsia" w:ascii="宋体" w:hAnsi="宋体" w:eastAsia="宋体" w:cs="宋体"/>
                      <w:color w:val="000000"/>
                      <w:kern w:val="0"/>
                      <w:sz w:val="22"/>
                      <w:szCs w:val="22"/>
                      <w:lang w:eastAsia="zh-CN"/>
                    </w:rPr>
                    <w:t>。</w:t>
                  </w:r>
                </w:p>
              </w:tc>
            </w:tr>
            <w:tr w14:paraId="20CA31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713" w:hRule="atLeast"/>
                <w:jc w:val="center"/>
              </w:trPr>
              <w:tc>
                <w:tcPr>
                  <w:tcW w:w="1149" w:type="pct"/>
                  <w:shd w:val="clear" w:color="auto" w:fill="auto"/>
                  <w:vAlign w:val="center"/>
                </w:tcPr>
                <w:p w14:paraId="22F97355">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输出图片格式</w:t>
                  </w:r>
                </w:p>
              </w:tc>
              <w:tc>
                <w:tcPr>
                  <w:tcW w:w="3851" w:type="pct"/>
                  <w:shd w:val="clear" w:color="auto" w:fill="auto"/>
                  <w:vAlign w:val="center"/>
                </w:tcPr>
                <w:p w14:paraId="1F835515">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JPEG</w:t>
                  </w:r>
                  <w:r>
                    <w:rPr>
                      <w:rFonts w:hint="eastAsia" w:ascii="宋体" w:hAnsi="宋体" w:eastAsia="宋体" w:cs="宋体"/>
                      <w:color w:val="000000"/>
                      <w:kern w:val="0"/>
                      <w:sz w:val="22"/>
                      <w:szCs w:val="22"/>
                      <w:lang w:eastAsia="zh-CN"/>
                    </w:rPr>
                    <w:t>。</w:t>
                  </w:r>
                </w:p>
              </w:tc>
            </w:tr>
            <w:tr w14:paraId="5D9896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149" w:type="pct"/>
                  <w:shd w:val="clear" w:color="auto" w:fill="auto"/>
                  <w:vAlign w:val="center"/>
                </w:tcPr>
                <w:p w14:paraId="6E99F88B">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接口</w:t>
                  </w:r>
                </w:p>
              </w:tc>
              <w:tc>
                <w:tcPr>
                  <w:tcW w:w="3851" w:type="pct"/>
                  <w:shd w:val="clear" w:color="auto" w:fill="auto"/>
                  <w:vAlign w:val="center"/>
                </w:tcPr>
                <w:p w14:paraId="6F5A4782">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≥3个RS-485接口</w:t>
                  </w:r>
                  <w:r>
                    <w:rPr>
                      <w:rFonts w:hint="eastAsia" w:ascii="宋体" w:hAnsi="宋体" w:eastAsia="宋体" w:cs="宋体"/>
                      <w:color w:val="000000"/>
                      <w:kern w:val="0"/>
                      <w:sz w:val="22"/>
                      <w:szCs w:val="22"/>
                      <w:lang w:eastAsia="zh-CN"/>
                    </w:rPr>
                    <w:t>。</w:t>
                  </w:r>
                </w:p>
                <w:p w14:paraId="287D1CC4">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≥1个RS-232接口</w:t>
                  </w:r>
                  <w:r>
                    <w:rPr>
                      <w:rFonts w:hint="eastAsia" w:ascii="宋体" w:hAnsi="宋体" w:eastAsia="宋体" w:cs="宋体"/>
                      <w:color w:val="000000"/>
                      <w:kern w:val="0"/>
                      <w:sz w:val="22"/>
                      <w:szCs w:val="22"/>
                      <w:lang w:eastAsia="zh-CN"/>
                    </w:rPr>
                    <w:t>。</w:t>
                  </w:r>
                </w:p>
                <w:p w14:paraId="5826369E">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≥2个RJ45 10M/100M/1000M自适应以太网口</w:t>
                  </w:r>
                  <w:r>
                    <w:rPr>
                      <w:rFonts w:hint="eastAsia" w:ascii="宋体" w:hAnsi="宋体" w:eastAsia="宋体" w:cs="宋体"/>
                      <w:color w:val="000000"/>
                      <w:kern w:val="0"/>
                      <w:sz w:val="22"/>
                      <w:szCs w:val="22"/>
                      <w:lang w:eastAsia="zh-CN"/>
                    </w:rPr>
                    <w:t>。</w:t>
                  </w:r>
                </w:p>
              </w:tc>
            </w:tr>
            <w:tr w14:paraId="10D553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84" w:hRule="atLeast"/>
                <w:jc w:val="center"/>
              </w:trPr>
              <w:tc>
                <w:tcPr>
                  <w:tcW w:w="1149" w:type="pct"/>
                  <w:shd w:val="clear" w:color="auto" w:fill="auto"/>
                  <w:vAlign w:val="center"/>
                </w:tcPr>
                <w:p w14:paraId="379F4BBB">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触发输入</w:t>
                  </w:r>
                </w:p>
              </w:tc>
              <w:tc>
                <w:tcPr>
                  <w:tcW w:w="3851" w:type="pct"/>
                  <w:shd w:val="clear" w:color="auto" w:fill="auto"/>
                  <w:vAlign w:val="center"/>
                </w:tcPr>
                <w:p w14:paraId="5F89A05E">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≥1个触发/报警输入</w:t>
                  </w:r>
                  <w:r>
                    <w:rPr>
                      <w:rFonts w:hint="eastAsia" w:ascii="宋体" w:hAnsi="宋体" w:eastAsia="宋体" w:cs="宋体"/>
                      <w:color w:val="000000"/>
                      <w:kern w:val="0"/>
                      <w:sz w:val="22"/>
                      <w:szCs w:val="22"/>
                      <w:lang w:eastAsia="zh-CN"/>
                    </w:rPr>
                    <w:t>。</w:t>
                  </w:r>
                </w:p>
              </w:tc>
            </w:tr>
            <w:tr w14:paraId="4A3389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104" w:hRule="atLeast"/>
                <w:jc w:val="center"/>
              </w:trPr>
              <w:tc>
                <w:tcPr>
                  <w:tcW w:w="1149" w:type="pct"/>
                  <w:vMerge w:val="restart"/>
                  <w:shd w:val="clear" w:color="auto" w:fill="auto"/>
                  <w:vAlign w:val="center"/>
                </w:tcPr>
                <w:p w14:paraId="2C98F868">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智能功能</w:t>
                  </w:r>
                </w:p>
              </w:tc>
              <w:tc>
                <w:tcPr>
                  <w:tcW w:w="3851" w:type="pct"/>
                  <w:shd w:val="clear" w:color="auto" w:fill="auto"/>
                  <w:vAlign w:val="center"/>
                </w:tcPr>
                <w:p w14:paraId="7FED612A">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目标检测：机动车抓拍，车辆捕获率≥99%（线圈），车辆捕获率≥99%（视频）</w:t>
                  </w:r>
                  <w:r>
                    <w:rPr>
                      <w:rFonts w:hint="eastAsia" w:ascii="宋体" w:hAnsi="宋体" w:eastAsia="宋体" w:cs="宋体"/>
                      <w:color w:val="000000"/>
                      <w:kern w:val="0"/>
                      <w:sz w:val="22"/>
                      <w:szCs w:val="22"/>
                      <w:lang w:eastAsia="zh-CN"/>
                    </w:rPr>
                    <w:t>。</w:t>
                  </w:r>
                </w:p>
              </w:tc>
            </w:tr>
            <w:tr w14:paraId="26C7AE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4" w:hRule="atLeast"/>
                <w:jc w:val="center"/>
              </w:trPr>
              <w:tc>
                <w:tcPr>
                  <w:tcW w:w="1149" w:type="pct"/>
                  <w:vMerge w:val="continue"/>
                  <w:shd w:val="clear" w:color="auto" w:fill="auto"/>
                  <w:vAlign w:val="center"/>
                </w:tcPr>
                <w:p w14:paraId="754D1950">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3851" w:type="pct"/>
                  <w:shd w:val="clear" w:color="auto" w:fill="auto"/>
                  <w:vAlign w:val="center"/>
                </w:tcPr>
                <w:p w14:paraId="26107D5E">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违法检测：超速、压车道线、违章变道、未系安全带、未戴头盔、不礼让行人、逆行、机动车闯禁令、打电话、占用机动车道等违法行为</w:t>
                  </w:r>
                  <w:r>
                    <w:rPr>
                      <w:rFonts w:hint="eastAsia" w:ascii="宋体" w:hAnsi="宋体" w:eastAsia="宋体" w:cs="宋体"/>
                      <w:color w:val="000000"/>
                      <w:kern w:val="0"/>
                      <w:sz w:val="22"/>
                      <w:szCs w:val="22"/>
                      <w:lang w:eastAsia="zh-CN"/>
                    </w:rPr>
                    <w:t>。</w:t>
                  </w:r>
                </w:p>
              </w:tc>
            </w:tr>
            <w:tr w14:paraId="600B7F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104" w:hRule="atLeast"/>
                <w:jc w:val="center"/>
              </w:trPr>
              <w:tc>
                <w:tcPr>
                  <w:tcW w:w="1149" w:type="pct"/>
                  <w:vMerge w:val="continue"/>
                  <w:shd w:val="clear" w:color="auto" w:fill="auto"/>
                  <w:vAlign w:val="center"/>
                </w:tcPr>
                <w:p w14:paraId="455D2D1E">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p>
              </w:tc>
              <w:tc>
                <w:tcPr>
                  <w:tcW w:w="3851" w:type="pct"/>
                  <w:shd w:val="clear" w:color="auto" w:fill="auto"/>
                  <w:vAlign w:val="center"/>
                </w:tcPr>
                <w:p w14:paraId="01877F3C">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1.</w:t>
                  </w:r>
                  <w:r>
                    <w:rPr>
                      <w:rFonts w:hint="eastAsia" w:ascii="宋体" w:hAnsi="宋体" w:eastAsia="宋体" w:cs="宋体"/>
                      <w:color w:val="000000"/>
                      <w:kern w:val="0"/>
                      <w:sz w:val="22"/>
                      <w:szCs w:val="22"/>
                    </w:rPr>
                    <w:t>支持机动车的车牌</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车身颜色</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车型</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子品牌</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驾驶室人员等特征检测，支持机动车的过车记录和违章行为检测抓拍</w:t>
                  </w:r>
                  <w:r>
                    <w:rPr>
                      <w:rFonts w:hint="eastAsia" w:ascii="宋体" w:hAnsi="宋体" w:eastAsia="宋体" w:cs="宋体"/>
                      <w:color w:val="000000"/>
                      <w:kern w:val="0"/>
                      <w:sz w:val="22"/>
                      <w:szCs w:val="22"/>
                      <w:lang w:eastAsia="zh-CN"/>
                    </w:rPr>
                    <w:t>。</w:t>
                  </w:r>
                </w:p>
                <w:p w14:paraId="3607BC36">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2.</w:t>
                  </w:r>
                  <w:r>
                    <w:rPr>
                      <w:rFonts w:hint="eastAsia" w:ascii="宋体" w:hAnsi="宋体" w:eastAsia="宋体" w:cs="宋体"/>
                      <w:color w:val="000000"/>
                      <w:kern w:val="0"/>
                      <w:sz w:val="22"/>
                      <w:szCs w:val="22"/>
                    </w:rPr>
                    <w:t>支持驾驶人脸部特征信息大于100×100个像素点</w:t>
                  </w:r>
                  <w:r>
                    <w:rPr>
                      <w:rFonts w:hint="eastAsia" w:ascii="宋体" w:hAnsi="宋体" w:eastAsia="宋体" w:cs="宋体"/>
                      <w:color w:val="000000"/>
                      <w:kern w:val="0"/>
                      <w:sz w:val="22"/>
                      <w:szCs w:val="22"/>
                      <w:lang w:eastAsia="zh-CN"/>
                    </w:rPr>
                    <w:t>。</w:t>
                  </w:r>
                </w:p>
                <w:p w14:paraId="268843F6">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3.</w:t>
                  </w:r>
                  <w:r>
                    <w:rPr>
                      <w:rFonts w:hint="eastAsia" w:ascii="宋体" w:hAnsi="宋体" w:eastAsia="宋体" w:cs="宋体"/>
                      <w:color w:val="000000"/>
                      <w:kern w:val="0"/>
                      <w:sz w:val="22"/>
                      <w:szCs w:val="22"/>
                    </w:rPr>
                    <w:t>GB/T 28181视频联网标准、GA/T 1400视图库标准、FTP协议，可将抓拍的图片上传给终端服务器、FTP服务器或者后端平台</w:t>
                  </w:r>
                  <w:r>
                    <w:rPr>
                      <w:rFonts w:hint="eastAsia" w:ascii="宋体" w:hAnsi="宋体" w:eastAsia="宋体" w:cs="宋体"/>
                      <w:color w:val="000000"/>
                      <w:kern w:val="0"/>
                      <w:sz w:val="22"/>
                      <w:szCs w:val="22"/>
                      <w:lang w:eastAsia="zh-CN"/>
                    </w:rPr>
                    <w:t>。</w:t>
                  </w:r>
                </w:p>
                <w:p w14:paraId="690814B2">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4.</w:t>
                  </w:r>
                  <w:r>
                    <w:rPr>
                      <w:rFonts w:hint="eastAsia" w:ascii="宋体" w:hAnsi="宋体" w:eastAsia="宋体" w:cs="宋体"/>
                      <w:color w:val="000000"/>
                      <w:kern w:val="0"/>
                      <w:sz w:val="22"/>
                      <w:szCs w:val="22"/>
                    </w:rPr>
                    <w:t>支持香港、澳门和大陆车牌识别</w:t>
                  </w:r>
                  <w:r>
                    <w:rPr>
                      <w:rFonts w:hint="eastAsia" w:ascii="宋体" w:hAnsi="宋体" w:eastAsia="宋体" w:cs="宋体"/>
                      <w:color w:val="000000"/>
                      <w:kern w:val="0"/>
                      <w:sz w:val="22"/>
                      <w:szCs w:val="22"/>
                      <w:lang w:eastAsia="zh-CN"/>
                    </w:rPr>
                    <w:t>。</w:t>
                  </w:r>
                </w:p>
                <w:p w14:paraId="1093C979">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5.</w:t>
                  </w:r>
                  <w:r>
                    <w:rPr>
                      <w:rFonts w:hint="eastAsia" w:ascii="宋体" w:hAnsi="宋体" w:eastAsia="宋体" w:cs="宋体"/>
                      <w:color w:val="000000"/>
                      <w:kern w:val="0"/>
                      <w:sz w:val="22"/>
                      <w:szCs w:val="22"/>
                    </w:rPr>
                    <w:t>支持去除车灯附近产生的红光，支持消除画面中的鬼影现象，支持消除交通灯周边的光晕效果</w:t>
                  </w:r>
                  <w:r>
                    <w:rPr>
                      <w:rFonts w:hint="eastAsia" w:ascii="宋体" w:hAnsi="宋体" w:eastAsia="宋体" w:cs="宋体"/>
                      <w:color w:val="000000"/>
                      <w:kern w:val="0"/>
                      <w:sz w:val="22"/>
                      <w:szCs w:val="22"/>
                      <w:lang w:eastAsia="zh-CN"/>
                    </w:rPr>
                    <w:t>。</w:t>
                  </w:r>
                </w:p>
                <w:p w14:paraId="75635BFF">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支持主驾驶人脸图、副驾驶人脸图、机动车图、车牌图、车辆特写图关联存储功能</w:t>
                  </w:r>
                  <w:r>
                    <w:rPr>
                      <w:rFonts w:hint="eastAsia" w:ascii="宋体" w:hAnsi="宋体" w:eastAsia="宋体" w:cs="宋体"/>
                      <w:color w:val="000000"/>
                      <w:kern w:val="0"/>
                      <w:sz w:val="22"/>
                      <w:szCs w:val="22"/>
                      <w:lang w:eastAsia="zh-CN"/>
                    </w:rPr>
                    <w:t>。</w:t>
                  </w:r>
                </w:p>
                <w:p w14:paraId="6ACA61C8">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6.</w:t>
                  </w:r>
                  <w:r>
                    <w:rPr>
                      <w:rFonts w:hint="eastAsia" w:ascii="宋体" w:hAnsi="宋体" w:eastAsia="宋体" w:cs="宋体"/>
                      <w:color w:val="000000"/>
                      <w:kern w:val="0"/>
                      <w:sz w:val="22"/>
                      <w:szCs w:val="22"/>
                    </w:rPr>
                    <w:t>支持在补光亮度不大于151x情况下，开启图像低照增强功能后，车内人员、车辆车身颜色、车辆号牌、车型可辨</w:t>
                  </w:r>
                  <w:r>
                    <w:rPr>
                      <w:rFonts w:hint="eastAsia" w:ascii="宋体" w:hAnsi="宋体" w:eastAsia="宋体" w:cs="宋体"/>
                      <w:color w:val="000000"/>
                      <w:kern w:val="0"/>
                      <w:sz w:val="22"/>
                      <w:szCs w:val="22"/>
                      <w:lang w:eastAsia="zh-CN"/>
                    </w:rPr>
                    <w:t>。</w:t>
                  </w:r>
                </w:p>
                <w:p w14:paraId="7C3B3355">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 w:val="22"/>
                      <w:szCs w:val="22"/>
                    </w:rPr>
                  </w:pPr>
                  <w:r>
                    <w:rPr>
                      <w:rFonts w:hint="eastAsia" w:ascii="宋体" w:hAnsi="宋体" w:eastAsia="宋体" w:cs="宋体"/>
                      <w:color w:val="000000"/>
                      <w:kern w:val="0"/>
                      <w:sz w:val="22"/>
                      <w:szCs w:val="22"/>
                      <w:lang w:val="en-US" w:eastAsia="zh-CN"/>
                    </w:rPr>
                    <w:t>7.</w:t>
                  </w:r>
                  <w:r>
                    <w:rPr>
                      <w:rFonts w:hint="eastAsia" w:ascii="宋体" w:hAnsi="宋体" w:eastAsia="宋体" w:cs="宋体"/>
                      <w:color w:val="000000"/>
                      <w:kern w:val="0"/>
                      <w:sz w:val="22"/>
                      <w:szCs w:val="22"/>
                    </w:rPr>
                    <w:t>支持保证在主体目标清晰的情况下压缩图片整体大小，平均压缩率可达到原图大小的30%</w:t>
                  </w:r>
                  <w:r>
                    <w:rPr>
                      <w:rFonts w:hint="eastAsia" w:ascii="宋体" w:hAnsi="宋体" w:eastAsia="宋体" w:cs="宋体"/>
                      <w:color w:val="000000"/>
                      <w:kern w:val="0"/>
                      <w:sz w:val="22"/>
                      <w:szCs w:val="22"/>
                      <w:lang w:eastAsia="zh-CN"/>
                    </w:rPr>
                    <w:t>。</w:t>
                  </w:r>
                </w:p>
              </w:tc>
            </w:tr>
            <w:tr w14:paraId="0ADB2C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84" w:hRule="atLeast"/>
                <w:jc w:val="center"/>
              </w:trPr>
              <w:tc>
                <w:tcPr>
                  <w:tcW w:w="1149" w:type="pct"/>
                  <w:shd w:val="clear" w:color="auto" w:fill="auto"/>
                  <w:vAlign w:val="center"/>
                </w:tcPr>
                <w:p w14:paraId="52E6F8EF">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终端接入</w:t>
                  </w:r>
                </w:p>
              </w:tc>
              <w:tc>
                <w:tcPr>
                  <w:tcW w:w="3851" w:type="pct"/>
                  <w:shd w:val="clear" w:color="auto" w:fill="auto"/>
                  <w:vAlign w:val="center"/>
                </w:tcPr>
                <w:p w14:paraId="0F245DCB">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支持接入终端服务模块</w:t>
                  </w:r>
                  <w:r>
                    <w:rPr>
                      <w:rFonts w:hint="eastAsia" w:ascii="宋体" w:hAnsi="宋体" w:eastAsia="宋体" w:cs="宋体"/>
                      <w:color w:val="000000"/>
                      <w:kern w:val="0"/>
                      <w:sz w:val="22"/>
                      <w:szCs w:val="22"/>
                      <w:lang w:eastAsia="zh-CN"/>
                    </w:rPr>
                    <w:t>。</w:t>
                  </w:r>
                </w:p>
              </w:tc>
            </w:tr>
            <w:tr w14:paraId="587D1C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149" w:type="pct"/>
                  <w:shd w:val="clear" w:color="auto" w:fill="auto"/>
                  <w:noWrap/>
                  <w:vAlign w:val="center"/>
                </w:tcPr>
                <w:p w14:paraId="1B43161D">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电压</w:t>
                  </w:r>
                </w:p>
              </w:tc>
              <w:tc>
                <w:tcPr>
                  <w:tcW w:w="3851" w:type="pct"/>
                  <w:shd w:val="clear" w:color="auto" w:fill="auto"/>
                  <w:vAlign w:val="center"/>
                </w:tcPr>
                <w:p w14:paraId="66B22CD6">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至少100VAC～240VAC</w:t>
                  </w:r>
                  <w:r>
                    <w:rPr>
                      <w:rFonts w:hint="eastAsia" w:ascii="宋体" w:hAnsi="宋体" w:eastAsia="宋体" w:cs="宋体"/>
                      <w:color w:val="000000"/>
                      <w:kern w:val="0"/>
                      <w:sz w:val="22"/>
                      <w:szCs w:val="22"/>
                      <w:lang w:eastAsia="zh-CN"/>
                    </w:rPr>
                    <w:t>。</w:t>
                  </w:r>
                </w:p>
              </w:tc>
            </w:tr>
            <w:tr w14:paraId="196771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149" w:type="pct"/>
                  <w:shd w:val="clear" w:color="auto" w:fill="auto"/>
                  <w:noWrap/>
                  <w:vAlign w:val="center"/>
                </w:tcPr>
                <w:p w14:paraId="76C7D4E8">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频率</w:t>
                  </w:r>
                </w:p>
              </w:tc>
              <w:tc>
                <w:tcPr>
                  <w:tcW w:w="3851" w:type="pct"/>
                  <w:shd w:val="clear" w:color="auto" w:fill="auto"/>
                  <w:vAlign w:val="center"/>
                </w:tcPr>
                <w:p w14:paraId="7833B13F">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至少48Hz～52Hz</w:t>
                  </w:r>
                  <w:r>
                    <w:rPr>
                      <w:rFonts w:hint="eastAsia" w:ascii="宋体" w:hAnsi="宋体" w:eastAsia="宋体" w:cs="宋体"/>
                      <w:color w:val="000000"/>
                      <w:kern w:val="0"/>
                      <w:sz w:val="22"/>
                      <w:szCs w:val="22"/>
                      <w:lang w:eastAsia="zh-CN"/>
                    </w:rPr>
                    <w:t>。</w:t>
                  </w:r>
                </w:p>
              </w:tc>
            </w:tr>
            <w:tr w14:paraId="5AE94A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84" w:hRule="atLeast"/>
                <w:jc w:val="center"/>
              </w:trPr>
              <w:tc>
                <w:tcPr>
                  <w:tcW w:w="1149" w:type="pct"/>
                  <w:shd w:val="clear" w:color="auto" w:fill="auto"/>
                  <w:noWrap/>
                  <w:vAlign w:val="center"/>
                </w:tcPr>
                <w:p w14:paraId="2E0D4404">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功耗</w:t>
                  </w:r>
                </w:p>
              </w:tc>
              <w:tc>
                <w:tcPr>
                  <w:tcW w:w="3851" w:type="pct"/>
                  <w:shd w:val="clear" w:color="auto" w:fill="auto"/>
                  <w:vAlign w:val="center"/>
                </w:tcPr>
                <w:p w14:paraId="2186AF0F">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≤20W</w:t>
                  </w:r>
                  <w:r>
                    <w:rPr>
                      <w:rFonts w:hint="eastAsia" w:ascii="宋体" w:hAnsi="宋体" w:eastAsia="宋体" w:cs="宋体"/>
                      <w:color w:val="000000"/>
                      <w:kern w:val="0"/>
                      <w:sz w:val="22"/>
                      <w:szCs w:val="22"/>
                      <w:lang w:eastAsia="zh-CN"/>
                    </w:rPr>
                    <w:t>。</w:t>
                  </w:r>
                </w:p>
              </w:tc>
            </w:tr>
            <w:tr w14:paraId="6F8D45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149" w:type="pct"/>
                  <w:shd w:val="clear" w:color="auto" w:fill="auto"/>
                  <w:noWrap/>
                  <w:vAlign w:val="center"/>
                </w:tcPr>
                <w:p w14:paraId="14DFB35D">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工作环境温度</w:t>
                  </w:r>
                </w:p>
              </w:tc>
              <w:tc>
                <w:tcPr>
                  <w:tcW w:w="3851" w:type="pct"/>
                  <w:shd w:val="clear" w:color="auto" w:fill="auto"/>
                  <w:vAlign w:val="center"/>
                </w:tcPr>
                <w:p w14:paraId="2030C384">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至少-30℃～+60℃</w:t>
                  </w:r>
                  <w:r>
                    <w:rPr>
                      <w:rFonts w:hint="eastAsia" w:ascii="宋体" w:hAnsi="宋体" w:eastAsia="宋体" w:cs="宋体"/>
                      <w:color w:val="000000"/>
                      <w:kern w:val="0"/>
                      <w:sz w:val="22"/>
                      <w:szCs w:val="22"/>
                      <w:lang w:eastAsia="zh-CN"/>
                    </w:rPr>
                    <w:t>。</w:t>
                  </w:r>
                </w:p>
              </w:tc>
            </w:tr>
            <w:tr w14:paraId="477FDE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149" w:type="pct"/>
                  <w:shd w:val="clear" w:color="auto" w:fill="auto"/>
                  <w:noWrap/>
                  <w:vAlign w:val="center"/>
                </w:tcPr>
                <w:p w14:paraId="178A7F2A">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工作环境湿度</w:t>
                  </w:r>
                </w:p>
              </w:tc>
              <w:tc>
                <w:tcPr>
                  <w:tcW w:w="3851" w:type="pct"/>
                  <w:shd w:val="clear" w:color="auto" w:fill="auto"/>
                  <w:noWrap/>
                  <w:vAlign w:val="center"/>
                </w:tcPr>
                <w:p w14:paraId="2D86D110">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至少5%~95%@40℃，无凝结</w:t>
                  </w:r>
                  <w:r>
                    <w:rPr>
                      <w:rFonts w:hint="eastAsia" w:ascii="宋体" w:hAnsi="宋体" w:eastAsia="宋体" w:cs="宋体"/>
                      <w:color w:val="000000"/>
                      <w:kern w:val="0"/>
                      <w:sz w:val="22"/>
                      <w:szCs w:val="22"/>
                      <w:lang w:eastAsia="zh-CN"/>
                    </w:rPr>
                    <w:t>。</w:t>
                  </w:r>
                </w:p>
              </w:tc>
            </w:tr>
            <w:tr w14:paraId="1568DC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84" w:hRule="atLeast"/>
                <w:jc w:val="center"/>
              </w:trPr>
              <w:tc>
                <w:tcPr>
                  <w:tcW w:w="1149" w:type="pct"/>
                  <w:shd w:val="clear" w:color="auto" w:fill="auto"/>
                  <w:noWrap/>
                  <w:vAlign w:val="center"/>
                </w:tcPr>
                <w:p w14:paraId="1BDF3C48">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防护等级</w:t>
                  </w:r>
                </w:p>
              </w:tc>
              <w:tc>
                <w:tcPr>
                  <w:tcW w:w="3851" w:type="pct"/>
                  <w:shd w:val="clear" w:color="auto" w:fill="auto"/>
                  <w:vAlign w:val="center"/>
                </w:tcPr>
                <w:p w14:paraId="1EF0174C">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≥IP66</w:t>
                  </w:r>
                  <w:r>
                    <w:rPr>
                      <w:rFonts w:hint="eastAsia" w:ascii="宋体" w:hAnsi="宋体" w:eastAsia="宋体" w:cs="宋体"/>
                      <w:color w:val="000000"/>
                      <w:kern w:val="0"/>
                      <w:sz w:val="22"/>
                      <w:szCs w:val="22"/>
                      <w:lang w:eastAsia="zh-CN"/>
                    </w:rPr>
                    <w:t>。</w:t>
                  </w:r>
                </w:p>
              </w:tc>
            </w:tr>
            <w:tr w14:paraId="7225AA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149" w:type="pct"/>
                  <w:shd w:val="clear" w:color="auto" w:fill="auto"/>
                  <w:noWrap/>
                  <w:vAlign w:val="center"/>
                </w:tcPr>
                <w:p w14:paraId="213E5DD9">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安全要求</w:t>
                  </w:r>
                </w:p>
              </w:tc>
              <w:tc>
                <w:tcPr>
                  <w:tcW w:w="3851" w:type="pct"/>
                  <w:shd w:val="clear" w:color="auto" w:fill="auto"/>
                  <w:vAlign w:val="center"/>
                </w:tcPr>
                <w:p w14:paraId="759E73C3">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至少</w:t>
                  </w:r>
                  <w:r>
                    <w:rPr>
                      <w:rFonts w:hint="eastAsia" w:ascii="宋体" w:hAnsi="宋体" w:eastAsia="宋体" w:cs="宋体"/>
                      <w:color w:val="000000"/>
                      <w:kern w:val="0"/>
                      <w:sz w:val="22"/>
                      <w:szCs w:val="22"/>
                      <w:lang w:val="en-US" w:eastAsia="zh-CN"/>
                    </w:rPr>
                    <w:t>同时</w:t>
                  </w:r>
                  <w:r>
                    <w:rPr>
                      <w:rFonts w:hint="eastAsia" w:ascii="宋体" w:hAnsi="宋体" w:eastAsia="宋体" w:cs="宋体"/>
                      <w:color w:val="000000"/>
                      <w:kern w:val="0"/>
                      <w:sz w:val="22"/>
                      <w:szCs w:val="22"/>
                    </w:rPr>
                    <w:t>符合GB 35114的A级规定</w:t>
                  </w:r>
                  <w:r>
                    <w:rPr>
                      <w:rFonts w:hint="eastAsia" w:ascii="宋体" w:hAnsi="宋体" w:eastAsia="宋体" w:cs="宋体"/>
                      <w:color w:val="000000"/>
                      <w:kern w:val="0"/>
                      <w:sz w:val="22"/>
                      <w:szCs w:val="22"/>
                      <w:lang w:val="en-US" w:eastAsia="zh-CN"/>
                    </w:rPr>
                    <w:t>和</w:t>
                  </w:r>
                  <w:r>
                    <w:rPr>
                      <w:rFonts w:hint="eastAsia" w:ascii="宋体" w:hAnsi="宋体" w:eastAsia="宋体" w:cs="宋体"/>
                      <w:color w:val="000000"/>
                      <w:kern w:val="0"/>
                      <w:sz w:val="22"/>
                      <w:szCs w:val="22"/>
                    </w:rPr>
                    <w:t>GA/T 17882的增强型I级规定</w:t>
                  </w:r>
                  <w:r>
                    <w:rPr>
                      <w:rFonts w:hint="eastAsia" w:ascii="宋体" w:hAnsi="宋体" w:eastAsia="宋体" w:cs="宋体"/>
                      <w:color w:val="000000"/>
                      <w:kern w:val="0"/>
                      <w:sz w:val="22"/>
                      <w:szCs w:val="22"/>
                      <w:lang w:eastAsia="zh-CN"/>
                    </w:rPr>
                    <w:t>。</w:t>
                  </w:r>
                </w:p>
              </w:tc>
            </w:tr>
          </w:tbl>
          <w:p w14:paraId="77309B29">
            <w:pPr>
              <w:pStyle w:val="2"/>
              <w:rPr>
                <w:rFonts w:hint="default"/>
                <w:lang w:val="en-US" w:eastAsia="zh-CN"/>
              </w:rPr>
            </w:pPr>
          </w:p>
        </w:tc>
        <w:tc>
          <w:tcPr>
            <w:tcW w:w="1208" w:type="dxa"/>
          </w:tcPr>
          <w:p w14:paraId="1D59B92A">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2E198276">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2E9377BF">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64638A6B">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03368475">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7F5E29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98" w:hRule="atLeast"/>
        </w:trPr>
        <w:tc>
          <w:tcPr>
            <w:tcW w:w="530" w:type="dxa"/>
            <w:vAlign w:val="center"/>
          </w:tcPr>
          <w:p w14:paraId="6660E1D5">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17</w:t>
            </w:r>
          </w:p>
        </w:tc>
        <w:tc>
          <w:tcPr>
            <w:tcW w:w="660" w:type="dxa"/>
          </w:tcPr>
          <w:p w14:paraId="5B9AA3CB">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68CD6CD4">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2002C5F6">
            <w:pPr>
              <w:pStyle w:val="4"/>
              <w:pageBreakBefore w:val="0"/>
              <w:numPr>
                <w:ilvl w:val="1"/>
                <w:numId w:val="0"/>
              </w:numPr>
              <w:shd w:val="clear"/>
              <w:kinsoku/>
              <w:wordWrap/>
              <w:overflowPunct/>
              <w:topLinePunct w:val="0"/>
              <w:autoSpaceDE/>
              <w:autoSpaceDN/>
              <w:bidi w:val="0"/>
              <w:adjustRightInd/>
              <w:snapToGrid/>
              <w:spacing w:before="0" w:line="360" w:lineRule="auto"/>
              <w:ind w:left="0" w:leftChars="0" w:firstLine="0" w:firstLineChars="0"/>
              <w:textAlignment w:val="auto"/>
              <w:rPr>
                <w:rFonts w:hint="eastAsia" w:ascii="宋体" w:hAnsi="宋体" w:eastAsia="宋体" w:cs="宋体"/>
                <w:sz w:val="22"/>
                <w:szCs w:val="22"/>
              </w:rPr>
            </w:pPr>
            <w:bookmarkStart w:id="30" w:name="_Toc173501808"/>
            <w:r>
              <w:rPr>
                <w:rFonts w:hint="eastAsia" w:ascii="宋体" w:hAnsi="宋体" w:eastAsia="宋体" w:cs="宋体"/>
                <w:b/>
                <w:bCs/>
                <w:kern w:val="2"/>
                <w:sz w:val="22"/>
                <w:szCs w:val="22"/>
                <w:lang w:val="en-US" w:eastAsia="zh-CN" w:bidi="ar-SA"/>
              </w:rPr>
              <w:t>（三）</w:t>
            </w:r>
            <w:r>
              <w:rPr>
                <w:rFonts w:hint="eastAsia" w:ascii="宋体" w:hAnsi="宋体" w:eastAsia="宋体" w:cs="宋体"/>
                <w:b/>
                <w:bCs w:val="0"/>
                <w:sz w:val="22"/>
                <w:szCs w:val="22"/>
              </w:rPr>
              <w:t>频闪灯</w:t>
            </w:r>
            <w:bookmarkEnd w:id="30"/>
          </w:p>
          <w:tbl>
            <w:tblPr>
              <w:tblStyle w:val="18"/>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1717"/>
              <w:gridCol w:w="5866"/>
            </w:tblGrid>
            <w:tr w14:paraId="48EAC5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458" w:hRule="atLeast"/>
                <w:tblHeader/>
                <w:jc w:val="center"/>
              </w:trPr>
              <w:tc>
                <w:tcPr>
                  <w:tcW w:w="1717" w:type="dxa"/>
                  <w:shd w:val="clear" w:color="auto" w:fill="auto"/>
                  <w:vAlign w:val="center"/>
                </w:tcPr>
                <w:p w14:paraId="30E716C6">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项目</w:t>
                  </w:r>
                </w:p>
              </w:tc>
              <w:tc>
                <w:tcPr>
                  <w:tcW w:w="5866" w:type="dxa"/>
                  <w:shd w:val="clear" w:color="auto" w:fill="auto"/>
                  <w:noWrap/>
                  <w:vAlign w:val="center"/>
                </w:tcPr>
                <w:p w14:paraId="58102CD3">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参数描述</w:t>
                  </w:r>
                </w:p>
              </w:tc>
            </w:tr>
            <w:tr w14:paraId="1FB2E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458" w:hRule="atLeast"/>
                <w:jc w:val="center"/>
              </w:trPr>
              <w:tc>
                <w:tcPr>
                  <w:tcW w:w="1717" w:type="dxa"/>
                  <w:shd w:val="clear" w:color="auto" w:fill="auto"/>
                  <w:vAlign w:val="center"/>
                </w:tcPr>
                <w:p w14:paraId="3634F446">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光源类型</w:t>
                  </w:r>
                </w:p>
              </w:tc>
              <w:tc>
                <w:tcPr>
                  <w:tcW w:w="5866" w:type="dxa"/>
                  <w:shd w:val="clear" w:color="auto" w:fill="auto"/>
                  <w:noWrap/>
                  <w:vAlign w:val="center"/>
                </w:tcPr>
                <w:p w14:paraId="71AE13D9">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大功率暖光LED</w:t>
                  </w:r>
                  <w:r>
                    <w:rPr>
                      <w:rFonts w:hint="eastAsia" w:ascii="宋体" w:hAnsi="宋体" w:eastAsia="宋体" w:cs="宋体"/>
                      <w:color w:val="000000"/>
                      <w:kern w:val="0"/>
                      <w:sz w:val="22"/>
                      <w:szCs w:val="22"/>
                      <w:lang w:eastAsia="zh-CN"/>
                    </w:rPr>
                    <w:t>。</w:t>
                  </w:r>
                </w:p>
              </w:tc>
            </w:tr>
            <w:tr w14:paraId="0FEB9E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458" w:hRule="atLeast"/>
                <w:jc w:val="center"/>
              </w:trPr>
              <w:tc>
                <w:tcPr>
                  <w:tcW w:w="1717" w:type="dxa"/>
                  <w:shd w:val="clear" w:color="auto" w:fill="auto"/>
                  <w:vAlign w:val="center"/>
                </w:tcPr>
                <w:p w14:paraId="7AF6BF33">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LED灯珠数量</w:t>
                  </w:r>
                </w:p>
              </w:tc>
              <w:tc>
                <w:tcPr>
                  <w:tcW w:w="5866" w:type="dxa"/>
                  <w:shd w:val="clear" w:color="auto" w:fill="auto"/>
                  <w:noWrap/>
                  <w:vAlign w:val="center"/>
                </w:tcPr>
                <w:p w14:paraId="430E40D4">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不少于16颗LED灯珠</w:t>
                  </w:r>
                  <w:r>
                    <w:rPr>
                      <w:rFonts w:hint="eastAsia" w:ascii="宋体" w:hAnsi="宋体" w:eastAsia="宋体" w:cs="宋体"/>
                      <w:color w:val="000000"/>
                      <w:kern w:val="0"/>
                      <w:sz w:val="22"/>
                      <w:szCs w:val="22"/>
                      <w:lang w:eastAsia="zh-CN"/>
                    </w:rPr>
                    <w:t>。</w:t>
                  </w:r>
                </w:p>
              </w:tc>
            </w:tr>
            <w:tr w14:paraId="0DB33A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458" w:hRule="atLeast"/>
                <w:jc w:val="center"/>
              </w:trPr>
              <w:tc>
                <w:tcPr>
                  <w:tcW w:w="1717" w:type="dxa"/>
                  <w:shd w:val="clear" w:color="auto" w:fill="auto"/>
                  <w:vAlign w:val="center"/>
                </w:tcPr>
                <w:p w14:paraId="66FA6066">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发光角度</w:t>
                  </w:r>
                </w:p>
              </w:tc>
              <w:tc>
                <w:tcPr>
                  <w:tcW w:w="5866" w:type="dxa"/>
                  <w:shd w:val="clear" w:color="auto" w:fill="auto"/>
                  <w:vAlign w:val="center"/>
                </w:tcPr>
                <w:p w14:paraId="62103067">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不小于10°</w:t>
                  </w:r>
                  <w:r>
                    <w:rPr>
                      <w:rFonts w:hint="eastAsia" w:ascii="宋体" w:hAnsi="宋体" w:eastAsia="宋体" w:cs="宋体"/>
                      <w:color w:val="000000"/>
                      <w:kern w:val="0"/>
                      <w:sz w:val="22"/>
                      <w:szCs w:val="22"/>
                      <w:lang w:eastAsia="zh-CN"/>
                    </w:rPr>
                    <w:t>。</w:t>
                  </w:r>
                </w:p>
              </w:tc>
            </w:tr>
            <w:tr w14:paraId="6549DB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458" w:hRule="atLeast"/>
                <w:jc w:val="center"/>
              </w:trPr>
              <w:tc>
                <w:tcPr>
                  <w:tcW w:w="1717" w:type="dxa"/>
                  <w:shd w:val="clear" w:color="auto" w:fill="auto"/>
                  <w:vAlign w:val="center"/>
                </w:tcPr>
                <w:p w14:paraId="4849E024">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覆盖范围</w:t>
                  </w:r>
                </w:p>
              </w:tc>
              <w:tc>
                <w:tcPr>
                  <w:tcW w:w="5866" w:type="dxa"/>
                  <w:shd w:val="clear" w:color="auto" w:fill="auto"/>
                  <w:noWrap/>
                  <w:vAlign w:val="center"/>
                </w:tcPr>
                <w:p w14:paraId="7BAABDED">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单车道环境补光灯</w:t>
                  </w:r>
                  <w:r>
                    <w:rPr>
                      <w:rFonts w:hint="eastAsia" w:ascii="宋体" w:hAnsi="宋体" w:eastAsia="宋体" w:cs="宋体"/>
                      <w:color w:val="000000"/>
                      <w:kern w:val="0"/>
                      <w:sz w:val="22"/>
                      <w:szCs w:val="22"/>
                      <w:lang w:eastAsia="zh-CN"/>
                    </w:rPr>
                    <w:t>。</w:t>
                  </w:r>
                </w:p>
              </w:tc>
            </w:tr>
            <w:tr w14:paraId="08B5AB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458" w:hRule="atLeast"/>
                <w:jc w:val="center"/>
              </w:trPr>
              <w:tc>
                <w:tcPr>
                  <w:tcW w:w="1717" w:type="dxa"/>
                  <w:shd w:val="clear" w:color="auto" w:fill="auto"/>
                  <w:vAlign w:val="center"/>
                </w:tcPr>
                <w:p w14:paraId="3B4D36C4">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最佳补光距离</w:t>
                  </w:r>
                </w:p>
              </w:tc>
              <w:tc>
                <w:tcPr>
                  <w:tcW w:w="5866" w:type="dxa"/>
                  <w:shd w:val="clear" w:color="auto" w:fill="auto"/>
                  <w:noWrap/>
                  <w:vAlign w:val="center"/>
                </w:tcPr>
                <w:p w14:paraId="03792C9E">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至少16米～25米</w:t>
                  </w:r>
                  <w:r>
                    <w:rPr>
                      <w:rFonts w:hint="eastAsia" w:ascii="宋体" w:hAnsi="宋体" w:eastAsia="宋体" w:cs="宋体"/>
                      <w:color w:val="000000"/>
                      <w:kern w:val="0"/>
                      <w:sz w:val="22"/>
                      <w:szCs w:val="22"/>
                      <w:lang w:eastAsia="zh-CN"/>
                    </w:rPr>
                    <w:t>。</w:t>
                  </w:r>
                </w:p>
              </w:tc>
            </w:tr>
            <w:tr w14:paraId="6ADDE4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458" w:hRule="atLeast"/>
                <w:jc w:val="center"/>
              </w:trPr>
              <w:tc>
                <w:tcPr>
                  <w:tcW w:w="1717" w:type="dxa"/>
                  <w:shd w:val="clear" w:color="auto" w:fill="auto"/>
                  <w:vAlign w:val="center"/>
                </w:tcPr>
                <w:p w14:paraId="2C74333A">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触发方式</w:t>
                  </w:r>
                </w:p>
              </w:tc>
              <w:tc>
                <w:tcPr>
                  <w:tcW w:w="5866" w:type="dxa"/>
                  <w:shd w:val="clear" w:color="auto" w:fill="auto"/>
                  <w:noWrap/>
                  <w:vAlign w:val="center"/>
                </w:tcPr>
                <w:p w14:paraId="43B7996F">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电平量触发</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开关量触发</w:t>
                  </w:r>
                  <w:r>
                    <w:rPr>
                      <w:rFonts w:hint="eastAsia" w:ascii="宋体" w:hAnsi="宋体" w:eastAsia="宋体" w:cs="宋体"/>
                      <w:color w:val="000000"/>
                      <w:kern w:val="0"/>
                      <w:sz w:val="22"/>
                      <w:szCs w:val="22"/>
                      <w:lang w:eastAsia="zh-CN"/>
                    </w:rPr>
                    <w:t>。</w:t>
                  </w:r>
                </w:p>
              </w:tc>
            </w:tr>
            <w:tr w14:paraId="0D0984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458" w:hRule="atLeast"/>
                <w:jc w:val="center"/>
              </w:trPr>
              <w:tc>
                <w:tcPr>
                  <w:tcW w:w="1717" w:type="dxa"/>
                  <w:shd w:val="clear" w:color="auto" w:fill="auto"/>
                  <w:vAlign w:val="center"/>
                </w:tcPr>
                <w:p w14:paraId="24180EA0">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日夜功能</w:t>
                  </w:r>
                </w:p>
              </w:tc>
              <w:tc>
                <w:tcPr>
                  <w:tcW w:w="5866" w:type="dxa"/>
                  <w:shd w:val="clear" w:color="auto" w:fill="auto"/>
                  <w:noWrap/>
                  <w:vAlign w:val="center"/>
                </w:tcPr>
                <w:p w14:paraId="6D10B469">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支持环境亮度监测，低照度下自动开启</w:t>
                  </w:r>
                  <w:r>
                    <w:rPr>
                      <w:rFonts w:hint="eastAsia" w:ascii="宋体" w:hAnsi="宋体" w:eastAsia="宋体" w:cs="宋体"/>
                      <w:color w:val="000000"/>
                      <w:kern w:val="0"/>
                      <w:sz w:val="22"/>
                      <w:szCs w:val="22"/>
                      <w:lang w:eastAsia="zh-CN"/>
                    </w:rPr>
                    <w:t>。</w:t>
                  </w:r>
                </w:p>
              </w:tc>
            </w:tr>
            <w:tr w14:paraId="44A030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458" w:hRule="atLeast"/>
                <w:jc w:val="center"/>
              </w:trPr>
              <w:tc>
                <w:tcPr>
                  <w:tcW w:w="1717" w:type="dxa"/>
                  <w:shd w:val="clear" w:color="auto" w:fill="auto"/>
                  <w:vAlign w:val="center"/>
                </w:tcPr>
                <w:p w14:paraId="26AEEFDA">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RS485接口</w:t>
                  </w:r>
                </w:p>
              </w:tc>
              <w:tc>
                <w:tcPr>
                  <w:tcW w:w="5866" w:type="dxa"/>
                  <w:shd w:val="clear" w:color="auto" w:fill="auto"/>
                  <w:noWrap/>
                  <w:vAlign w:val="center"/>
                </w:tcPr>
                <w:p w14:paraId="305B4625">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≥1路</w:t>
                  </w:r>
                  <w:r>
                    <w:rPr>
                      <w:rFonts w:hint="eastAsia" w:ascii="宋体" w:hAnsi="宋体" w:eastAsia="宋体" w:cs="宋体"/>
                      <w:color w:val="000000"/>
                      <w:kern w:val="0"/>
                      <w:sz w:val="22"/>
                      <w:szCs w:val="22"/>
                      <w:lang w:eastAsia="zh-CN"/>
                    </w:rPr>
                    <w:t>。</w:t>
                  </w:r>
                </w:p>
              </w:tc>
            </w:tr>
            <w:tr w14:paraId="5D48A8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912" w:hRule="atLeast"/>
                <w:jc w:val="center"/>
              </w:trPr>
              <w:tc>
                <w:tcPr>
                  <w:tcW w:w="1717" w:type="dxa"/>
                  <w:shd w:val="clear" w:color="auto" w:fill="auto"/>
                  <w:vAlign w:val="center"/>
                </w:tcPr>
                <w:p w14:paraId="6B096EC3">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同步接口</w:t>
                  </w:r>
                </w:p>
              </w:tc>
              <w:tc>
                <w:tcPr>
                  <w:tcW w:w="5866" w:type="dxa"/>
                  <w:shd w:val="clear" w:color="auto" w:fill="auto"/>
                  <w:noWrap/>
                  <w:vAlign w:val="center"/>
                </w:tcPr>
                <w:p w14:paraId="47E06949">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≥1路频闪触发输入</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≥1路抓拍触发输入和≥1路频闪同步输出</w:t>
                  </w:r>
                  <w:r>
                    <w:rPr>
                      <w:rFonts w:hint="eastAsia" w:ascii="宋体" w:hAnsi="宋体" w:eastAsia="宋体" w:cs="宋体"/>
                      <w:color w:val="000000"/>
                      <w:kern w:val="0"/>
                      <w:sz w:val="22"/>
                      <w:szCs w:val="22"/>
                      <w:lang w:eastAsia="zh-CN"/>
                    </w:rPr>
                    <w:t>。</w:t>
                  </w:r>
                </w:p>
              </w:tc>
            </w:tr>
            <w:tr w14:paraId="3BD684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458" w:hRule="atLeast"/>
                <w:jc w:val="center"/>
              </w:trPr>
              <w:tc>
                <w:tcPr>
                  <w:tcW w:w="1717" w:type="dxa"/>
                  <w:shd w:val="clear" w:color="auto" w:fill="auto"/>
                  <w:vAlign w:val="center"/>
                </w:tcPr>
                <w:p w14:paraId="6A1C7DC5">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设计寿命</w:t>
                  </w:r>
                </w:p>
              </w:tc>
              <w:tc>
                <w:tcPr>
                  <w:tcW w:w="5866" w:type="dxa"/>
                  <w:shd w:val="clear" w:color="auto" w:fill="auto"/>
                  <w:noWrap/>
                  <w:vAlign w:val="center"/>
                </w:tcPr>
                <w:p w14:paraId="13BF4F3E">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≥50000小时</w:t>
                  </w:r>
                  <w:r>
                    <w:rPr>
                      <w:rFonts w:hint="eastAsia" w:ascii="宋体" w:hAnsi="宋体" w:eastAsia="宋体" w:cs="宋体"/>
                      <w:color w:val="000000"/>
                      <w:kern w:val="0"/>
                      <w:sz w:val="22"/>
                      <w:szCs w:val="22"/>
                      <w:lang w:eastAsia="zh-CN"/>
                    </w:rPr>
                    <w:t>。</w:t>
                  </w:r>
                </w:p>
              </w:tc>
            </w:tr>
            <w:tr w14:paraId="4F7727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458" w:hRule="atLeast"/>
                <w:jc w:val="center"/>
              </w:trPr>
              <w:tc>
                <w:tcPr>
                  <w:tcW w:w="1717" w:type="dxa"/>
                  <w:shd w:val="clear" w:color="auto" w:fill="auto"/>
                  <w:vAlign w:val="center"/>
                </w:tcPr>
                <w:p w14:paraId="2C3C20EE">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外壳材质</w:t>
                  </w:r>
                </w:p>
              </w:tc>
              <w:tc>
                <w:tcPr>
                  <w:tcW w:w="5866" w:type="dxa"/>
                  <w:shd w:val="clear" w:color="auto" w:fill="auto"/>
                  <w:noWrap/>
                  <w:vAlign w:val="center"/>
                </w:tcPr>
                <w:p w14:paraId="3EF63D6E">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压铸铝</w:t>
                  </w:r>
                  <w:r>
                    <w:rPr>
                      <w:rFonts w:hint="eastAsia" w:ascii="宋体" w:hAnsi="宋体" w:eastAsia="宋体" w:cs="宋体"/>
                      <w:color w:val="000000"/>
                      <w:kern w:val="0"/>
                      <w:sz w:val="22"/>
                      <w:szCs w:val="22"/>
                      <w:lang w:eastAsia="zh-CN"/>
                    </w:rPr>
                    <w:t>。</w:t>
                  </w:r>
                </w:p>
              </w:tc>
            </w:tr>
            <w:tr w14:paraId="631861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458" w:hRule="atLeast"/>
                <w:jc w:val="center"/>
              </w:trPr>
              <w:tc>
                <w:tcPr>
                  <w:tcW w:w="1717" w:type="dxa"/>
                  <w:shd w:val="clear" w:color="auto" w:fill="auto"/>
                  <w:vAlign w:val="center"/>
                </w:tcPr>
                <w:p w14:paraId="7FCC6358">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电源</w:t>
                  </w:r>
                </w:p>
              </w:tc>
              <w:tc>
                <w:tcPr>
                  <w:tcW w:w="5866" w:type="dxa"/>
                  <w:shd w:val="clear" w:color="auto" w:fill="auto"/>
                  <w:noWrap/>
                  <w:vAlign w:val="center"/>
                </w:tcPr>
                <w:p w14:paraId="2959034B">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AC220V±10%，47Hz～63Hz</w:t>
                  </w:r>
                  <w:r>
                    <w:rPr>
                      <w:rFonts w:hint="eastAsia" w:ascii="宋体" w:hAnsi="宋体" w:eastAsia="宋体" w:cs="宋体"/>
                      <w:color w:val="000000"/>
                      <w:kern w:val="0"/>
                      <w:sz w:val="22"/>
                      <w:szCs w:val="22"/>
                      <w:lang w:eastAsia="zh-CN"/>
                    </w:rPr>
                    <w:t>。</w:t>
                  </w:r>
                </w:p>
              </w:tc>
            </w:tr>
            <w:tr w14:paraId="2228AC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458" w:hRule="atLeast"/>
                <w:jc w:val="center"/>
              </w:trPr>
              <w:tc>
                <w:tcPr>
                  <w:tcW w:w="1717" w:type="dxa"/>
                  <w:shd w:val="clear" w:color="auto" w:fill="auto"/>
                  <w:vAlign w:val="center"/>
                </w:tcPr>
                <w:p w14:paraId="45B92E90">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功率</w:t>
                  </w:r>
                </w:p>
              </w:tc>
              <w:tc>
                <w:tcPr>
                  <w:tcW w:w="5866" w:type="dxa"/>
                  <w:shd w:val="clear" w:color="auto" w:fill="auto"/>
                  <w:noWrap/>
                  <w:vAlign w:val="center"/>
                </w:tcPr>
                <w:p w14:paraId="28E497CB">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≤35W</w:t>
                  </w:r>
                  <w:r>
                    <w:rPr>
                      <w:rFonts w:hint="eastAsia" w:ascii="宋体" w:hAnsi="宋体" w:eastAsia="宋体" w:cs="宋体"/>
                      <w:color w:val="000000"/>
                      <w:kern w:val="0"/>
                      <w:sz w:val="22"/>
                      <w:szCs w:val="22"/>
                      <w:lang w:eastAsia="zh-CN"/>
                    </w:rPr>
                    <w:t>。</w:t>
                  </w:r>
                </w:p>
              </w:tc>
            </w:tr>
            <w:tr w14:paraId="085247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912" w:hRule="atLeast"/>
                <w:jc w:val="center"/>
              </w:trPr>
              <w:tc>
                <w:tcPr>
                  <w:tcW w:w="1717" w:type="dxa"/>
                  <w:shd w:val="clear" w:color="auto" w:fill="auto"/>
                  <w:vAlign w:val="center"/>
                </w:tcPr>
                <w:p w14:paraId="1BFF823B">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工作环境</w:t>
                  </w:r>
                </w:p>
              </w:tc>
              <w:tc>
                <w:tcPr>
                  <w:tcW w:w="5866" w:type="dxa"/>
                  <w:shd w:val="clear" w:color="auto" w:fill="auto"/>
                  <w:noWrap/>
                  <w:vAlign w:val="center"/>
                </w:tcPr>
                <w:p w14:paraId="7DA960AE">
                  <w:pPr>
                    <w:pageBreakBefore w:val="0"/>
                    <w:widowControl/>
                    <w:shd w:val="clear"/>
                    <w:tabs>
                      <w:tab w:val="left" w:pos="840"/>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工作温度至少-30℃～+60℃</w:t>
                  </w:r>
                  <w:r>
                    <w:rPr>
                      <w:rFonts w:hint="eastAsia" w:ascii="宋体" w:hAnsi="宋体" w:eastAsia="宋体" w:cs="宋体"/>
                      <w:color w:val="000000"/>
                      <w:kern w:val="0"/>
                      <w:sz w:val="22"/>
                      <w:szCs w:val="22"/>
                      <w:lang w:eastAsia="zh-CN"/>
                    </w:rPr>
                    <w:t>。</w:t>
                  </w:r>
                </w:p>
                <w:p w14:paraId="66AC6742">
                  <w:pPr>
                    <w:pageBreakBefore w:val="0"/>
                    <w:widowControl/>
                    <w:shd w:val="clear"/>
                    <w:tabs>
                      <w:tab w:val="left" w:pos="840"/>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工作湿度至少5%～95%@40℃，无凝结</w:t>
                  </w:r>
                  <w:r>
                    <w:rPr>
                      <w:rFonts w:hint="eastAsia" w:ascii="宋体" w:hAnsi="宋体" w:eastAsia="宋体" w:cs="宋体"/>
                      <w:color w:val="000000"/>
                      <w:kern w:val="0"/>
                      <w:sz w:val="22"/>
                      <w:szCs w:val="22"/>
                      <w:lang w:eastAsia="zh-CN"/>
                    </w:rPr>
                    <w:t>。</w:t>
                  </w:r>
                </w:p>
              </w:tc>
            </w:tr>
            <w:tr w14:paraId="5FD1F6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458" w:hRule="atLeast"/>
                <w:jc w:val="center"/>
              </w:trPr>
              <w:tc>
                <w:tcPr>
                  <w:tcW w:w="1717" w:type="dxa"/>
                  <w:shd w:val="clear" w:color="auto" w:fill="auto"/>
                  <w:vAlign w:val="center"/>
                </w:tcPr>
                <w:p w14:paraId="504938DF">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防护等级</w:t>
                  </w:r>
                </w:p>
              </w:tc>
              <w:tc>
                <w:tcPr>
                  <w:tcW w:w="5866" w:type="dxa"/>
                  <w:shd w:val="clear" w:color="auto" w:fill="auto"/>
                  <w:noWrap/>
                  <w:vAlign w:val="center"/>
                </w:tcPr>
                <w:p w14:paraId="468B0035">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≥IP66</w:t>
                  </w:r>
                  <w:r>
                    <w:rPr>
                      <w:rFonts w:hint="eastAsia" w:ascii="宋体" w:hAnsi="宋体" w:eastAsia="宋体" w:cs="宋体"/>
                      <w:color w:val="000000"/>
                      <w:kern w:val="0"/>
                      <w:sz w:val="22"/>
                      <w:szCs w:val="22"/>
                      <w:lang w:eastAsia="zh-CN"/>
                    </w:rPr>
                    <w:t>。</w:t>
                  </w:r>
                </w:p>
              </w:tc>
            </w:tr>
            <w:tr w14:paraId="24B510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458" w:hRule="atLeast"/>
                <w:jc w:val="center"/>
              </w:trPr>
              <w:tc>
                <w:tcPr>
                  <w:tcW w:w="1717" w:type="dxa"/>
                  <w:shd w:val="clear" w:color="auto" w:fill="auto"/>
                  <w:vAlign w:val="center"/>
                </w:tcPr>
                <w:p w14:paraId="7494C9FC">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光栅</w:t>
                  </w:r>
                </w:p>
              </w:tc>
              <w:tc>
                <w:tcPr>
                  <w:tcW w:w="5866" w:type="dxa"/>
                  <w:shd w:val="clear" w:color="auto" w:fill="auto"/>
                  <w:noWrap/>
                  <w:vAlign w:val="center"/>
                </w:tcPr>
                <w:p w14:paraId="0B7BF932">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w:t>
                  </w:r>
                  <w:r>
                    <w:rPr>
                      <w:rFonts w:hint="eastAsia" w:ascii="宋体" w:hAnsi="宋体" w:eastAsia="宋体" w:cs="宋体"/>
                      <w:color w:val="000000"/>
                      <w:kern w:val="0"/>
                      <w:sz w:val="22"/>
                      <w:szCs w:val="22"/>
                      <w:lang w:eastAsia="zh-CN"/>
                    </w:rPr>
                    <w:t>。</w:t>
                  </w:r>
                </w:p>
              </w:tc>
            </w:tr>
            <w:tr w14:paraId="67370B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458" w:hRule="atLeast"/>
                <w:jc w:val="center"/>
              </w:trPr>
              <w:tc>
                <w:tcPr>
                  <w:tcW w:w="1717" w:type="dxa"/>
                  <w:shd w:val="clear" w:color="auto" w:fill="auto"/>
                  <w:vAlign w:val="center"/>
                </w:tcPr>
                <w:p w14:paraId="7D3B353B">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安装方式</w:t>
                  </w:r>
                </w:p>
              </w:tc>
              <w:tc>
                <w:tcPr>
                  <w:tcW w:w="5866" w:type="dxa"/>
                  <w:shd w:val="clear" w:color="auto" w:fill="auto"/>
                  <w:noWrap/>
                  <w:vAlign w:val="center"/>
                </w:tcPr>
                <w:p w14:paraId="08AE221E">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正装（支架旋转角度-90°～+90°）</w:t>
                  </w:r>
                  <w:r>
                    <w:rPr>
                      <w:rFonts w:hint="eastAsia" w:ascii="宋体" w:hAnsi="宋体" w:eastAsia="宋体" w:cs="宋体"/>
                      <w:color w:val="000000"/>
                      <w:kern w:val="0"/>
                      <w:sz w:val="22"/>
                      <w:szCs w:val="22"/>
                      <w:lang w:eastAsia="zh-CN"/>
                    </w:rPr>
                    <w:t>。</w:t>
                  </w:r>
                </w:p>
              </w:tc>
            </w:tr>
            <w:tr w14:paraId="1FA1CD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916" w:hRule="atLeast"/>
                <w:jc w:val="center"/>
              </w:trPr>
              <w:tc>
                <w:tcPr>
                  <w:tcW w:w="1717" w:type="dxa"/>
                  <w:shd w:val="clear" w:color="auto" w:fill="auto"/>
                  <w:vAlign w:val="center"/>
                </w:tcPr>
                <w:p w14:paraId="5F9B141D">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标准</w:t>
                  </w:r>
                </w:p>
              </w:tc>
              <w:tc>
                <w:tcPr>
                  <w:tcW w:w="5866" w:type="dxa"/>
                  <w:shd w:val="clear" w:color="auto" w:fill="auto"/>
                  <w:noWrap/>
                  <w:vAlign w:val="center"/>
                </w:tcPr>
                <w:p w14:paraId="09E417F7">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符合GA/T 1202-2022《交通技术监控成像补光装置通用技术条件》中的一级补光装置要求</w:t>
                  </w:r>
                  <w:r>
                    <w:rPr>
                      <w:rFonts w:hint="eastAsia" w:ascii="宋体" w:hAnsi="宋体" w:eastAsia="宋体" w:cs="宋体"/>
                      <w:color w:val="000000"/>
                      <w:kern w:val="0"/>
                      <w:sz w:val="22"/>
                      <w:szCs w:val="22"/>
                      <w:lang w:eastAsia="zh-CN"/>
                    </w:rPr>
                    <w:t>。</w:t>
                  </w:r>
                </w:p>
              </w:tc>
            </w:tr>
          </w:tbl>
          <w:p w14:paraId="0E676873">
            <w:pPr>
              <w:pageBreakBefore w:val="0"/>
              <w:kinsoku/>
              <w:wordWrap/>
              <w:overflowPunct/>
              <w:autoSpaceDE/>
              <w:autoSpaceDN/>
              <w:bidi w:val="0"/>
              <w:snapToGrid/>
              <w:spacing w:beforeAutospacing="0" w:afterAutospacing="0" w:line="360" w:lineRule="auto"/>
              <w:rPr>
                <w:rFonts w:hint="eastAsia" w:ascii="宋体" w:hAnsi="宋体" w:eastAsia="宋体" w:cs="宋体"/>
                <w:b w:val="0"/>
                <w:bCs w:val="0"/>
                <w:color w:val="auto"/>
                <w:sz w:val="22"/>
                <w:szCs w:val="22"/>
                <w:highlight w:val="none"/>
                <w:lang w:eastAsia="zh-CN"/>
              </w:rPr>
            </w:pPr>
          </w:p>
        </w:tc>
        <w:tc>
          <w:tcPr>
            <w:tcW w:w="1208" w:type="dxa"/>
          </w:tcPr>
          <w:p w14:paraId="03D4D3EE">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694F3E16">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446DBBFD">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5D825FB9">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3484A1C9">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006142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530" w:type="dxa"/>
            <w:vAlign w:val="center"/>
          </w:tcPr>
          <w:p w14:paraId="6C1B08BD">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w:t>
            </w:r>
          </w:p>
        </w:tc>
        <w:tc>
          <w:tcPr>
            <w:tcW w:w="660" w:type="dxa"/>
          </w:tcPr>
          <w:p w14:paraId="56117A07">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22E79618">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278F4627">
            <w:pPr>
              <w:pStyle w:val="4"/>
              <w:pageBreakBefore w:val="0"/>
              <w:numPr>
                <w:ilvl w:val="1"/>
                <w:numId w:val="0"/>
              </w:numPr>
              <w:shd w:val="clear"/>
              <w:kinsoku/>
              <w:wordWrap/>
              <w:overflowPunct/>
              <w:topLinePunct w:val="0"/>
              <w:autoSpaceDE/>
              <w:autoSpaceDN/>
              <w:bidi w:val="0"/>
              <w:adjustRightInd/>
              <w:snapToGrid/>
              <w:spacing w:before="0" w:line="360" w:lineRule="auto"/>
              <w:ind w:left="0" w:leftChars="0" w:firstLine="0" w:firstLineChars="0"/>
              <w:textAlignment w:val="auto"/>
              <w:rPr>
                <w:rFonts w:hint="eastAsia" w:ascii="宋体" w:hAnsi="宋体" w:eastAsia="宋体" w:cs="宋体"/>
                <w:sz w:val="22"/>
                <w:szCs w:val="22"/>
              </w:rPr>
            </w:pPr>
            <w:bookmarkStart w:id="31" w:name="_Toc173501809"/>
            <w:bookmarkStart w:id="32" w:name="_Toc132982747"/>
            <w:r>
              <w:rPr>
                <w:rFonts w:hint="eastAsia" w:ascii="宋体" w:hAnsi="宋体" w:eastAsia="宋体" w:cs="宋体"/>
                <w:b/>
                <w:bCs/>
                <w:kern w:val="2"/>
                <w:sz w:val="22"/>
                <w:szCs w:val="22"/>
                <w:lang w:val="en-US" w:eastAsia="zh-CN" w:bidi="ar-SA"/>
              </w:rPr>
              <w:t>（四）</w:t>
            </w:r>
            <w:r>
              <w:rPr>
                <w:rFonts w:hint="eastAsia" w:ascii="宋体" w:hAnsi="宋体" w:eastAsia="宋体" w:cs="宋体"/>
                <w:b/>
                <w:bCs w:val="0"/>
                <w:sz w:val="22"/>
                <w:szCs w:val="22"/>
              </w:rPr>
              <w:t>多功能补光灯</w:t>
            </w:r>
            <w:bookmarkEnd w:id="31"/>
            <w:bookmarkEnd w:id="32"/>
          </w:p>
          <w:tbl>
            <w:tblPr>
              <w:tblStyle w:val="18"/>
              <w:tblW w:w="7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979"/>
              <w:gridCol w:w="5717"/>
            </w:tblGrid>
            <w:tr w14:paraId="6203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 w:hRule="atLeast"/>
                <w:tblHeader/>
                <w:jc w:val="center"/>
              </w:trPr>
              <w:tc>
                <w:tcPr>
                  <w:tcW w:w="1979" w:type="dxa"/>
                  <w:shd w:val="clear" w:color="auto" w:fill="auto"/>
                  <w:noWrap/>
                  <w:vAlign w:val="center"/>
                </w:tcPr>
                <w:p w14:paraId="29AC5B47">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bookmarkStart w:id="33" w:name="_Toc43246757"/>
                  <w:bookmarkStart w:id="34" w:name="_Toc30518"/>
                  <w:bookmarkStart w:id="35" w:name="_Toc10438"/>
                  <w:bookmarkStart w:id="36" w:name="_Toc43246741"/>
                  <w:r>
                    <w:rPr>
                      <w:rFonts w:hint="eastAsia" w:ascii="宋体" w:hAnsi="宋体" w:eastAsia="宋体" w:cs="宋体"/>
                      <w:b/>
                      <w:bCs/>
                      <w:color w:val="000000"/>
                      <w:kern w:val="0"/>
                      <w:sz w:val="22"/>
                      <w:szCs w:val="22"/>
                    </w:rPr>
                    <w:t>项目</w:t>
                  </w:r>
                </w:p>
              </w:tc>
              <w:tc>
                <w:tcPr>
                  <w:tcW w:w="5717" w:type="dxa"/>
                  <w:shd w:val="clear" w:color="auto" w:fill="auto"/>
                  <w:noWrap/>
                  <w:vAlign w:val="center"/>
                </w:tcPr>
                <w:p w14:paraId="0BB1EE2C">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规格参数</w:t>
                  </w:r>
                </w:p>
              </w:tc>
            </w:tr>
            <w:tr w14:paraId="01BDB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 w:hRule="atLeast"/>
                <w:jc w:val="center"/>
              </w:trPr>
              <w:tc>
                <w:tcPr>
                  <w:tcW w:w="1979" w:type="dxa"/>
                  <w:shd w:val="clear" w:color="auto" w:fill="auto"/>
                  <w:noWrap/>
                  <w:vAlign w:val="center"/>
                </w:tcPr>
                <w:p w14:paraId="3FD4986C">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光源类型</w:t>
                  </w:r>
                </w:p>
              </w:tc>
              <w:tc>
                <w:tcPr>
                  <w:tcW w:w="5717" w:type="dxa"/>
                  <w:shd w:val="clear" w:color="auto" w:fill="auto"/>
                  <w:noWrap/>
                  <w:vAlign w:val="center"/>
                </w:tcPr>
                <w:p w14:paraId="2EE1EF39">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LED光源（一级频闪）、气体放电光源（二级脉冲）和红外光源</w:t>
                  </w:r>
                  <w:r>
                    <w:rPr>
                      <w:rFonts w:hint="eastAsia" w:ascii="宋体" w:hAnsi="宋体" w:eastAsia="宋体" w:cs="宋体"/>
                      <w:color w:val="000000"/>
                      <w:kern w:val="0"/>
                      <w:sz w:val="22"/>
                      <w:szCs w:val="22"/>
                      <w:lang w:eastAsia="zh-CN"/>
                    </w:rPr>
                    <w:t>。</w:t>
                  </w:r>
                </w:p>
                <w:p w14:paraId="14E9CAFC">
                  <w:pPr>
                    <w:pStyle w:val="2"/>
                    <w:pageBreakBefore w:val="0"/>
                    <w:shd w:val="clear"/>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color w:val="000000"/>
                      <w:sz w:val="22"/>
                      <w:szCs w:val="22"/>
                      <w:lang w:eastAsia="zh-CN"/>
                    </w:rPr>
                  </w:pPr>
                  <w:r>
                    <w:rPr>
                      <w:rFonts w:hint="eastAsia" w:ascii="宋体" w:hAnsi="宋体" w:eastAsia="宋体" w:cs="宋体"/>
                      <w:color w:val="000000"/>
                      <w:sz w:val="22"/>
                      <w:szCs w:val="22"/>
                    </w:rPr>
                    <w:t>采用LED光源和气</w:t>
                  </w:r>
                  <w:r>
                    <w:rPr>
                      <w:rFonts w:hint="eastAsia" w:ascii="宋体" w:hAnsi="宋体" w:eastAsia="宋体" w:cs="宋体"/>
                      <w:color w:val="000000"/>
                      <w:sz w:val="22"/>
                      <w:szCs w:val="22"/>
                      <w:lang w:val="en-US" w:eastAsia="zh-CN"/>
                    </w:rPr>
                    <w:t>体</w:t>
                  </w:r>
                  <w:r>
                    <w:rPr>
                      <w:rFonts w:hint="eastAsia" w:ascii="宋体" w:hAnsi="宋体" w:eastAsia="宋体" w:cs="宋体"/>
                      <w:color w:val="000000"/>
                      <w:sz w:val="22"/>
                      <w:szCs w:val="22"/>
                    </w:rPr>
                    <w:t>放电两种光源，LED光源呈圆形排布，气体放电光源前置转轴叶片，支持红外和白光补光切换</w:t>
                  </w:r>
                  <w:r>
                    <w:rPr>
                      <w:rFonts w:hint="eastAsia" w:ascii="宋体" w:hAnsi="宋体" w:eastAsia="宋体" w:cs="宋体"/>
                      <w:color w:val="000000"/>
                      <w:sz w:val="22"/>
                      <w:szCs w:val="22"/>
                      <w:lang w:eastAsia="zh-CN"/>
                    </w:rPr>
                    <w:t>。</w:t>
                  </w:r>
                </w:p>
              </w:tc>
            </w:tr>
            <w:tr w14:paraId="428E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7" w:hRule="atLeast"/>
                <w:jc w:val="center"/>
              </w:trPr>
              <w:tc>
                <w:tcPr>
                  <w:tcW w:w="1979" w:type="dxa"/>
                  <w:shd w:val="clear" w:color="auto" w:fill="auto"/>
                  <w:noWrap/>
                  <w:vAlign w:val="center"/>
                </w:tcPr>
                <w:p w14:paraId="37B7A042">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补光模式</w:t>
                  </w:r>
                </w:p>
              </w:tc>
              <w:tc>
                <w:tcPr>
                  <w:tcW w:w="5717" w:type="dxa"/>
                  <w:shd w:val="clear" w:color="auto" w:fill="auto"/>
                  <w:noWrap/>
                  <w:vAlign w:val="center"/>
                </w:tcPr>
                <w:p w14:paraId="64A45ABE">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支持LED频闪、LED爆闪、白光气体爆闪及红外气体爆闪四种补光方式，可通过远程控制切换</w:t>
                  </w:r>
                  <w:r>
                    <w:rPr>
                      <w:rFonts w:hint="eastAsia" w:ascii="宋体" w:hAnsi="宋体" w:eastAsia="宋体" w:cs="宋体"/>
                      <w:color w:val="000000"/>
                      <w:kern w:val="0"/>
                      <w:sz w:val="22"/>
                      <w:szCs w:val="22"/>
                      <w:lang w:eastAsia="zh-CN"/>
                    </w:rPr>
                    <w:t>。</w:t>
                  </w:r>
                </w:p>
              </w:tc>
            </w:tr>
            <w:tr w14:paraId="426A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 w:hRule="atLeast"/>
                <w:jc w:val="center"/>
              </w:trPr>
              <w:tc>
                <w:tcPr>
                  <w:tcW w:w="1979" w:type="dxa"/>
                  <w:shd w:val="clear" w:color="auto" w:fill="auto"/>
                  <w:noWrap/>
                  <w:vAlign w:val="center"/>
                </w:tcPr>
                <w:p w14:paraId="507C8D45">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LED灯珠数量</w:t>
                  </w:r>
                </w:p>
              </w:tc>
              <w:tc>
                <w:tcPr>
                  <w:tcW w:w="5717" w:type="dxa"/>
                  <w:shd w:val="clear" w:color="auto" w:fill="auto"/>
                  <w:noWrap/>
                  <w:vAlign w:val="center"/>
                </w:tcPr>
                <w:p w14:paraId="033A6F89">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≥24颗</w:t>
                  </w:r>
                  <w:r>
                    <w:rPr>
                      <w:rFonts w:hint="eastAsia" w:ascii="宋体" w:hAnsi="宋体" w:eastAsia="宋体" w:cs="宋体"/>
                      <w:color w:val="000000"/>
                      <w:kern w:val="0"/>
                      <w:sz w:val="22"/>
                      <w:szCs w:val="22"/>
                      <w:lang w:eastAsia="zh-CN"/>
                    </w:rPr>
                    <w:t>。</w:t>
                  </w:r>
                </w:p>
              </w:tc>
            </w:tr>
            <w:tr w14:paraId="7F099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 w:hRule="atLeast"/>
                <w:jc w:val="center"/>
              </w:trPr>
              <w:tc>
                <w:tcPr>
                  <w:tcW w:w="1979" w:type="dxa"/>
                  <w:shd w:val="clear" w:color="auto" w:fill="auto"/>
                  <w:noWrap/>
                  <w:vAlign w:val="center"/>
                </w:tcPr>
                <w:p w14:paraId="3508DE8C">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发光角度</w:t>
                  </w:r>
                </w:p>
              </w:tc>
              <w:tc>
                <w:tcPr>
                  <w:tcW w:w="5717" w:type="dxa"/>
                  <w:shd w:val="clear" w:color="auto" w:fill="auto"/>
                  <w:noWrap/>
                  <w:vAlign w:val="center"/>
                </w:tcPr>
                <w:p w14:paraId="4F82F0AB">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单车道</w:t>
                  </w:r>
                  <w:r>
                    <w:rPr>
                      <w:rFonts w:hint="eastAsia" w:ascii="宋体" w:hAnsi="宋体" w:eastAsia="宋体" w:cs="宋体"/>
                      <w:color w:val="000000"/>
                      <w:kern w:val="0"/>
                      <w:sz w:val="22"/>
                      <w:szCs w:val="22"/>
                      <w:lang w:eastAsia="zh-CN"/>
                    </w:rPr>
                    <w:t>。</w:t>
                  </w:r>
                </w:p>
              </w:tc>
            </w:tr>
            <w:tr w14:paraId="0B25C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 w:hRule="atLeast"/>
                <w:jc w:val="center"/>
              </w:trPr>
              <w:tc>
                <w:tcPr>
                  <w:tcW w:w="1979" w:type="dxa"/>
                  <w:shd w:val="clear" w:color="auto" w:fill="auto"/>
                  <w:noWrap/>
                  <w:vAlign w:val="center"/>
                </w:tcPr>
                <w:p w14:paraId="2AB5D73F">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气体爆闪峰值闪光持续时间</w:t>
                  </w:r>
                </w:p>
              </w:tc>
              <w:tc>
                <w:tcPr>
                  <w:tcW w:w="5717" w:type="dxa"/>
                  <w:shd w:val="clear" w:color="auto" w:fill="auto"/>
                  <w:noWrap/>
                  <w:vAlign w:val="center"/>
                </w:tcPr>
                <w:p w14:paraId="615FB735">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≤1/30ms</w:t>
                  </w:r>
                  <w:r>
                    <w:rPr>
                      <w:rFonts w:hint="eastAsia" w:ascii="宋体" w:hAnsi="宋体" w:eastAsia="宋体" w:cs="宋体"/>
                      <w:color w:val="000000"/>
                      <w:kern w:val="0"/>
                      <w:sz w:val="22"/>
                      <w:szCs w:val="22"/>
                      <w:lang w:eastAsia="zh-CN"/>
                    </w:rPr>
                    <w:t>。</w:t>
                  </w:r>
                </w:p>
              </w:tc>
            </w:tr>
            <w:tr w14:paraId="4B283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 w:hRule="atLeast"/>
                <w:jc w:val="center"/>
              </w:trPr>
              <w:tc>
                <w:tcPr>
                  <w:tcW w:w="1979" w:type="dxa"/>
                  <w:shd w:val="clear" w:color="auto" w:fill="auto"/>
                  <w:noWrap/>
                  <w:vAlign w:val="center"/>
                </w:tcPr>
                <w:p w14:paraId="1D2AADE5">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气体爆闪回电时间</w:t>
                  </w:r>
                </w:p>
              </w:tc>
              <w:tc>
                <w:tcPr>
                  <w:tcW w:w="5717" w:type="dxa"/>
                  <w:shd w:val="clear" w:color="auto" w:fill="auto"/>
                  <w:noWrap/>
                  <w:vAlign w:val="center"/>
                </w:tcPr>
                <w:p w14:paraId="5D5D6C70">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＜67ms</w:t>
                  </w:r>
                  <w:r>
                    <w:rPr>
                      <w:rFonts w:hint="eastAsia" w:ascii="宋体" w:hAnsi="宋体" w:eastAsia="宋体" w:cs="宋体"/>
                      <w:color w:val="000000"/>
                      <w:kern w:val="0"/>
                      <w:sz w:val="22"/>
                      <w:szCs w:val="22"/>
                      <w:lang w:eastAsia="zh-CN"/>
                    </w:rPr>
                    <w:t>。</w:t>
                  </w:r>
                </w:p>
              </w:tc>
            </w:tr>
            <w:tr w14:paraId="26B0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 w:hRule="atLeast"/>
                <w:jc w:val="center"/>
              </w:trPr>
              <w:tc>
                <w:tcPr>
                  <w:tcW w:w="1979" w:type="dxa"/>
                  <w:shd w:val="clear" w:color="auto" w:fill="auto"/>
                  <w:noWrap/>
                  <w:vAlign w:val="center"/>
                </w:tcPr>
                <w:p w14:paraId="0EF56A3A">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气体单次闪光能量</w:t>
                  </w:r>
                </w:p>
              </w:tc>
              <w:tc>
                <w:tcPr>
                  <w:tcW w:w="5717" w:type="dxa"/>
                  <w:shd w:val="clear" w:color="auto" w:fill="auto"/>
                  <w:noWrap/>
                  <w:vAlign w:val="center"/>
                </w:tcPr>
                <w:p w14:paraId="6AE74051">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≤200J</w:t>
                  </w:r>
                  <w:r>
                    <w:rPr>
                      <w:rFonts w:hint="eastAsia" w:ascii="宋体" w:hAnsi="宋体" w:eastAsia="宋体" w:cs="宋体"/>
                      <w:color w:val="000000"/>
                      <w:kern w:val="0"/>
                      <w:sz w:val="22"/>
                      <w:szCs w:val="22"/>
                      <w:lang w:eastAsia="zh-CN"/>
                    </w:rPr>
                    <w:t>。</w:t>
                  </w:r>
                </w:p>
              </w:tc>
            </w:tr>
            <w:tr w14:paraId="7238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 w:hRule="atLeast"/>
                <w:jc w:val="center"/>
              </w:trPr>
              <w:tc>
                <w:tcPr>
                  <w:tcW w:w="1979" w:type="dxa"/>
                  <w:shd w:val="clear" w:color="auto" w:fill="auto"/>
                  <w:noWrap/>
                  <w:vAlign w:val="center"/>
                </w:tcPr>
                <w:p w14:paraId="69FD672A">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最佳补光距离</w:t>
                  </w:r>
                </w:p>
              </w:tc>
              <w:tc>
                <w:tcPr>
                  <w:tcW w:w="5717" w:type="dxa"/>
                  <w:shd w:val="clear" w:color="auto" w:fill="auto"/>
                  <w:noWrap/>
                  <w:vAlign w:val="center"/>
                </w:tcPr>
                <w:p w14:paraId="31C10785">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至少16米～30米</w:t>
                  </w:r>
                  <w:r>
                    <w:rPr>
                      <w:rFonts w:hint="eastAsia" w:ascii="宋体" w:hAnsi="宋体" w:eastAsia="宋体" w:cs="宋体"/>
                      <w:color w:val="000000"/>
                      <w:kern w:val="0"/>
                      <w:sz w:val="22"/>
                      <w:szCs w:val="22"/>
                      <w:lang w:eastAsia="zh-CN"/>
                    </w:rPr>
                    <w:t>。</w:t>
                  </w:r>
                </w:p>
              </w:tc>
            </w:tr>
            <w:tr w14:paraId="466F2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1" w:hRule="atLeast"/>
                <w:jc w:val="center"/>
              </w:trPr>
              <w:tc>
                <w:tcPr>
                  <w:tcW w:w="1979" w:type="dxa"/>
                  <w:shd w:val="clear" w:color="auto" w:fill="auto"/>
                  <w:noWrap/>
                  <w:vAlign w:val="center"/>
                </w:tcPr>
                <w:p w14:paraId="3F31F930">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触发方式</w:t>
                  </w:r>
                </w:p>
              </w:tc>
              <w:tc>
                <w:tcPr>
                  <w:tcW w:w="5717" w:type="dxa"/>
                  <w:shd w:val="clear" w:color="auto" w:fill="auto"/>
                  <w:noWrap/>
                  <w:vAlign w:val="center"/>
                </w:tcPr>
                <w:p w14:paraId="2E61A96E">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电平量触发</w:t>
                  </w:r>
                  <w:r>
                    <w:rPr>
                      <w:rFonts w:hint="eastAsia" w:ascii="宋体" w:hAnsi="宋体" w:eastAsia="宋体" w:cs="宋体"/>
                      <w:color w:val="000000"/>
                      <w:kern w:val="0"/>
                      <w:sz w:val="22"/>
                      <w:szCs w:val="22"/>
                      <w:lang w:eastAsia="zh-CN"/>
                    </w:rPr>
                    <w:t>。</w:t>
                  </w:r>
                </w:p>
              </w:tc>
            </w:tr>
            <w:tr w14:paraId="219D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1" w:hRule="atLeast"/>
                <w:jc w:val="center"/>
              </w:trPr>
              <w:tc>
                <w:tcPr>
                  <w:tcW w:w="1979" w:type="dxa"/>
                  <w:shd w:val="clear" w:color="auto" w:fill="auto"/>
                  <w:noWrap/>
                  <w:vAlign w:val="center"/>
                </w:tcPr>
                <w:p w14:paraId="1F2C813F">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触发信号电平</w:t>
                  </w:r>
                </w:p>
              </w:tc>
              <w:tc>
                <w:tcPr>
                  <w:tcW w:w="5717" w:type="dxa"/>
                  <w:shd w:val="clear" w:color="auto" w:fill="auto"/>
                  <w:noWrap/>
                  <w:vAlign w:val="center"/>
                </w:tcPr>
                <w:p w14:paraId="6D2B3B5A">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至少4V～6V</w:t>
                  </w:r>
                  <w:r>
                    <w:rPr>
                      <w:rFonts w:hint="eastAsia" w:ascii="宋体" w:hAnsi="宋体" w:eastAsia="宋体" w:cs="宋体"/>
                      <w:color w:val="000000"/>
                      <w:kern w:val="0"/>
                      <w:sz w:val="22"/>
                      <w:szCs w:val="22"/>
                      <w:lang w:eastAsia="zh-CN"/>
                    </w:rPr>
                    <w:t>。</w:t>
                  </w:r>
                </w:p>
              </w:tc>
            </w:tr>
            <w:tr w14:paraId="175E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 w:hRule="atLeast"/>
                <w:jc w:val="center"/>
              </w:trPr>
              <w:tc>
                <w:tcPr>
                  <w:tcW w:w="1979" w:type="dxa"/>
                  <w:shd w:val="clear" w:color="auto" w:fill="auto"/>
                  <w:noWrap/>
                  <w:vAlign w:val="center"/>
                </w:tcPr>
                <w:p w14:paraId="2CD1E560">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触发频率</w:t>
                  </w:r>
                </w:p>
              </w:tc>
              <w:tc>
                <w:tcPr>
                  <w:tcW w:w="5717" w:type="dxa"/>
                  <w:shd w:val="clear" w:color="auto" w:fill="auto"/>
                  <w:noWrap/>
                  <w:vAlign w:val="center"/>
                </w:tcPr>
                <w:p w14:paraId="462A2F88">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至少0Hz～250 Hz</w:t>
                  </w:r>
                  <w:r>
                    <w:rPr>
                      <w:rFonts w:hint="eastAsia" w:ascii="宋体" w:hAnsi="宋体" w:eastAsia="宋体" w:cs="宋体"/>
                      <w:color w:val="000000"/>
                      <w:kern w:val="0"/>
                      <w:sz w:val="22"/>
                      <w:szCs w:val="22"/>
                      <w:lang w:eastAsia="zh-CN"/>
                    </w:rPr>
                    <w:t>。</w:t>
                  </w:r>
                </w:p>
              </w:tc>
            </w:tr>
            <w:tr w14:paraId="6FE5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 w:hRule="atLeast"/>
                <w:jc w:val="center"/>
              </w:trPr>
              <w:tc>
                <w:tcPr>
                  <w:tcW w:w="1979" w:type="dxa"/>
                  <w:shd w:val="clear" w:color="auto" w:fill="auto"/>
                  <w:noWrap/>
                  <w:vAlign w:val="center"/>
                </w:tcPr>
                <w:p w14:paraId="56F06A7F">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触发占空比</w:t>
                  </w:r>
                </w:p>
              </w:tc>
              <w:tc>
                <w:tcPr>
                  <w:tcW w:w="5717" w:type="dxa"/>
                  <w:shd w:val="clear" w:color="auto" w:fill="auto"/>
                  <w:noWrap/>
                  <w:vAlign w:val="center"/>
                </w:tcPr>
                <w:p w14:paraId="1CBCE29C">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1%～39%，当占空比大于等于40%时进入自保护状态</w:t>
                  </w:r>
                  <w:r>
                    <w:rPr>
                      <w:rFonts w:hint="eastAsia" w:ascii="宋体" w:hAnsi="宋体" w:eastAsia="宋体" w:cs="宋体"/>
                      <w:color w:val="000000"/>
                      <w:kern w:val="0"/>
                      <w:sz w:val="22"/>
                      <w:szCs w:val="22"/>
                      <w:lang w:eastAsia="zh-CN"/>
                    </w:rPr>
                    <w:t>。</w:t>
                  </w:r>
                </w:p>
                <w:p w14:paraId="21CDA993">
                  <w:pPr>
                    <w:pStyle w:val="2"/>
                    <w:pageBreakBefore w:val="0"/>
                    <w:shd w:val="clear"/>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color w:val="000000"/>
                      <w:sz w:val="22"/>
                      <w:szCs w:val="22"/>
                      <w:lang w:eastAsia="zh-CN"/>
                    </w:rPr>
                  </w:pPr>
                  <w:r>
                    <w:rPr>
                      <w:rFonts w:hint="eastAsia" w:ascii="宋体" w:hAnsi="宋体" w:eastAsia="宋体" w:cs="宋体"/>
                      <w:color w:val="000000"/>
                      <w:sz w:val="22"/>
                      <w:szCs w:val="22"/>
                    </w:rPr>
                    <w:t>触发信号异常时，爆闪灯进入自动保护，触发信号输入正常，爆闪灯自动恢复正常</w:t>
                  </w:r>
                  <w:r>
                    <w:rPr>
                      <w:rFonts w:hint="eastAsia" w:ascii="宋体" w:hAnsi="宋体" w:eastAsia="宋体" w:cs="宋体"/>
                      <w:color w:val="000000"/>
                      <w:sz w:val="22"/>
                      <w:szCs w:val="22"/>
                      <w:lang w:eastAsia="zh-CN"/>
                    </w:rPr>
                    <w:t>。</w:t>
                  </w:r>
                </w:p>
              </w:tc>
            </w:tr>
            <w:tr w14:paraId="3CBE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 w:hRule="atLeast"/>
                <w:jc w:val="center"/>
              </w:trPr>
              <w:tc>
                <w:tcPr>
                  <w:tcW w:w="1979" w:type="dxa"/>
                  <w:shd w:val="clear" w:color="auto" w:fill="auto"/>
                  <w:noWrap/>
                  <w:vAlign w:val="center"/>
                </w:tcPr>
                <w:p w14:paraId="3408AEB2">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响应时间</w:t>
                  </w:r>
                </w:p>
              </w:tc>
              <w:tc>
                <w:tcPr>
                  <w:tcW w:w="5717" w:type="dxa"/>
                  <w:shd w:val="clear" w:color="auto" w:fill="auto"/>
                  <w:noWrap/>
                  <w:vAlign w:val="center"/>
                </w:tcPr>
                <w:p w14:paraId="560F0BAC">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≤20us</w:t>
                  </w:r>
                  <w:r>
                    <w:rPr>
                      <w:rFonts w:hint="eastAsia" w:ascii="宋体" w:hAnsi="宋体" w:eastAsia="宋体" w:cs="宋体"/>
                      <w:color w:val="000000"/>
                      <w:kern w:val="0"/>
                      <w:sz w:val="22"/>
                      <w:szCs w:val="22"/>
                      <w:lang w:eastAsia="zh-CN"/>
                    </w:rPr>
                    <w:t>。</w:t>
                  </w:r>
                </w:p>
              </w:tc>
            </w:tr>
            <w:tr w14:paraId="2CE7F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 w:hRule="atLeast"/>
                <w:jc w:val="center"/>
              </w:trPr>
              <w:tc>
                <w:tcPr>
                  <w:tcW w:w="1979" w:type="dxa"/>
                  <w:shd w:val="clear" w:color="auto" w:fill="auto"/>
                  <w:noWrap/>
                  <w:vAlign w:val="center"/>
                </w:tcPr>
                <w:p w14:paraId="22C2AC91">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RS485接口</w:t>
                  </w:r>
                </w:p>
              </w:tc>
              <w:tc>
                <w:tcPr>
                  <w:tcW w:w="5717" w:type="dxa"/>
                  <w:shd w:val="clear" w:color="auto" w:fill="auto"/>
                  <w:noWrap/>
                  <w:vAlign w:val="center"/>
                </w:tcPr>
                <w:p w14:paraId="55EE56B1">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≥1路</w:t>
                  </w:r>
                  <w:r>
                    <w:rPr>
                      <w:rFonts w:hint="eastAsia" w:ascii="宋体" w:hAnsi="宋体" w:eastAsia="宋体" w:cs="宋体"/>
                      <w:color w:val="000000"/>
                      <w:kern w:val="0"/>
                      <w:sz w:val="22"/>
                      <w:szCs w:val="22"/>
                      <w:lang w:eastAsia="zh-CN"/>
                    </w:rPr>
                    <w:t>。</w:t>
                  </w:r>
                </w:p>
              </w:tc>
            </w:tr>
            <w:tr w14:paraId="63994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 w:hRule="atLeast"/>
                <w:jc w:val="center"/>
              </w:trPr>
              <w:tc>
                <w:tcPr>
                  <w:tcW w:w="1979" w:type="dxa"/>
                  <w:shd w:val="clear" w:color="auto" w:fill="auto"/>
                  <w:noWrap/>
                  <w:vAlign w:val="center"/>
                </w:tcPr>
                <w:p w14:paraId="364C3416">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触发接口</w:t>
                  </w:r>
                </w:p>
              </w:tc>
              <w:tc>
                <w:tcPr>
                  <w:tcW w:w="5717" w:type="dxa"/>
                  <w:shd w:val="clear" w:color="auto" w:fill="auto"/>
                  <w:noWrap/>
                  <w:vAlign w:val="center"/>
                </w:tcPr>
                <w:p w14:paraId="581C0170">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≥1路RS485接口</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≥1路光源切换接口</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≥1路频闪输入接口</w:t>
                  </w:r>
                  <w:r>
                    <w:rPr>
                      <w:rFonts w:hint="eastAsia" w:ascii="宋体" w:hAnsi="宋体" w:eastAsia="宋体" w:cs="宋体"/>
                      <w:color w:val="000000"/>
                      <w:kern w:val="0"/>
                      <w:sz w:val="22"/>
                      <w:szCs w:val="22"/>
                      <w:lang w:val="en-US" w:eastAsia="zh-CN"/>
                    </w:rPr>
                    <w:t>和</w:t>
                  </w:r>
                  <w:r>
                    <w:rPr>
                      <w:rFonts w:hint="eastAsia" w:ascii="宋体" w:hAnsi="宋体" w:eastAsia="宋体" w:cs="宋体"/>
                      <w:color w:val="000000"/>
                      <w:kern w:val="0"/>
                      <w:sz w:val="22"/>
                      <w:szCs w:val="22"/>
                    </w:rPr>
                    <w:t>≥1路LED爆闪输入接口</w:t>
                  </w:r>
                  <w:r>
                    <w:rPr>
                      <w:rFonts w:hint="eastAsia" w:ascii="宋体" w:hAnsi="宋体" w:eastAsia="宋体" w:cs="宋体"/>
                      <w:color w:val="000000"/>
                      <w:kern w:val="0"/>
                      <w:sz w:val="22"/>
                      <w:szCs w:val="22"/>
                      <w:lang w:eastAsia="zh-CN"/>
                    </w:rPr>
                    <w:t>。</w:t>
                  </w:r>
                </w:p>
              </w:tc>
            </w:tr>
            <w:tr w14:paraId="59EF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 w:hRule="atLeast"/>
                <w:jc w:val="center"/>
              </w:trPr>
              <w:tc>
                <w:tcPr>
                  <w:tcW w:w="1979" w:type="dxa"/>
                  <w:shd w:val="clear" w:color="auto" w:fill="auto"/>
                  <w:noWrap/>
                  <w:vAlign w:val="center"/>
                </w:tcPr>
                <w:p w14:paraId="2534E7D6">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设计寿命</w:t>
                  </w:r>
                </w:p>
              </w:tc>
              <w:tc>
                <w:tcPr>
                  <w:tcW w:w="5717" w:type="dxa"/>
                  <w:shd w:val="clear" w:color="auto" w:fill="auto"/>
                  <w:noWrap/>
                  <w:vAlign w:val="center"/>
                </w:tcPr>
                <w:p w14:paraId="08F3EF51">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≥50000小时</w:t>
                  </w:r>
                  <w:r>
                    <w:rPr>
                      <w:rFonts w:hint="eastAsia" w:ascii="宋体" w:hAnsi="宋体" w:eastAsia="宋体" w:cs="宋体"/>
                      <w:color w:val="000000"/>
                      <w:kern w:val="0"/>
                      <w:sz w:val="22"/>
                      <w:szCs w:val="22"/>
                      <w:lang w:eastAsia="zh-CN"/>
                    </w:rPr>
                    <w:t>。</w:t>
                  </w:r>
                </w:p>
              </w:tc>
            </w:tr>
            <w:tr w14:paraId="06DC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 w:hRule="atLeast"/>
                <w:jc w:val="center"/>
              </w:trPr>
              <w:tc>
                <w:tcPr>
                  <w:tcW w:w="1979" w:type="dxa"/>
                  <w:shd w:val="clear" w:color="auto" w:fill="auto"/>
                  <w:noWrap/>
                  <w:vAlign w:val="center"/>
                </w:tcPr>
                <w:p w14:paraId="5FC8B712">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外壳材质</w:t>
                  </w:r>
                </w:p>
              </w:tc>
              <w:tc>
                <w:tcPr>
                  <w:tcW w:w="5717" w:type="dxa"/>
                  <w:shd w:val="clear" w:color="auto" w:fill="auto"/>
                  <w:noWrap/>
                  <w:vAlign w:val="center"/>
                </w:tcPr>
                <w:p w14:paraId="57648DC3">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压铸铝</w:t>
                  </w:r>
                  <w:r>
                    <w:rPr>
                      <w:rFonts w:hint="eastAsia" w:ascii="宋体" w:hAnsi="宋体" w:eastAsia="宋体" w:cs="宋体"/>
                      <w:color w:val="000000"/>
                      <w:kern w:val="0"/>
                      <w:sz w:val="22"/>
                      <w:szCs w:val="22"/>
                      <w:lang w:eastAsia="zh-CN"/>
                    </w:rPr>
                    <w:t>。</w:t>
                  </w:r>
                </w:p>
              </w:tc>
            </w:tr>
            <w:tr w14:paraId="6A56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 w:hRule="atLeast"/>
                <w:jc w:val="center"/>
              </w:trPr>
              <w:tc>
                <w:tcPr>
                  <w:tcW w:w="1979" w:type="dxa"/>
                  <w:shd w:val="clear" w:color="auto" w:fill="auto"/>
                  <w:noWrap/>
                  <w:vAlign w:val="center"/>
                </w:tcPr>
                <w:p w14:paraId="7C366753">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电源</w:t>
                  </w:r>
                </w:p>
              </w:tc>
              <w:tc>
                <w:tcPr>
                  <w:tcW w:w="5717" w:type="dxa"/>
                  <w:shd w:val="clear" w:color="auto" w:fill="auto"/>
                  <w:noWrap/>
                  <w:vAlign w:val="center"/>
                </w:tcPr>
                <w:p w14:paraId="627EE69E">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AC220V±10%，47Hz～63Hz</w:t>
                  </w:r>
                  <w:r>
                    <w:rPr>
                      <w:rFonts w:hint="eastAsia" w:ascii="宋体" w:hAnsi="宋体" w:eastAsia="宋体" w:cs="宋体"/>
                      <w:color w:val="000000"/>
                      <w:kern w:val="0"/>
                      <w:sz w:val="22"/>
                      <w:szCs w:val="22"/>
                      <w:lang w:eastAsia="zh-CN"/>
                    </w:rPr>
                    <w:t>。</w:t>
                  </w:r>
                </w:p>
              </w:tc>
            </w:tr>
            <w:tr w14:paraId="2F3F0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 w:hRule="atLeast"/>
                <w:jc w:val="center"/>
              </w:trPr>
              <w:tc>
                <w:tcPr>
                  <w:tcW w:w="1979" w:type="dxa"/>
                  <w:shd w:val="clear" w:color="auto" w:fill="auto"/>
                  <w:noWrap/>
                  <w:vAlign w:val="center"/>
                </w:tcPr>
                <w:p w14:paraId="70801739">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功率</w:t>
                  </w:r>
                </w:p>
              </w:tc>
              <w:tc>
                <w:tcPr>
                  <w:tcW w:w="5717" w:type="dxa"/>
                  <w:shd w:val="clear" w:color="auto" w:fill="auto"/>
                  <w:noWrap/>
                  <w:vAlign w:val="center"/>
                </w:tcPr>
                <w:p w14:paraId="57044E77">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≤60W</w:t>
                  </w:r>
                  <w:r>
                    <w:rPr>
                      <w:rFonts w:hint="eastAsia" w:ascii="宋体" w:hAnsi="宋体" w:eastAsia="宋体" w:cs="宋体"/>
                      <w:color w:val="000000"/>
                      <w:kern w:val="0"/>
                      <w:sz w:val="22"/>
                      <w:szCs w:val="22"/>
                      <w:lang w:eastAsia="zh-CN"/>
                    </w:rPr>
                    <w:t>。</w:t>
                  </w:r>
                </w:p>
              </w:tc>
            </w:tr>
            <w:tr w14:paraId="29E61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 w:hRule="atLeast"/>
                <w:jc w:val="center"/>
              </w:trPr>
              <w:tc>
                <w:tcPr>
                  <w:tcW w:w="1979" w:type="dxa"/>
                  <w:shd w:val="clear" w:color="auto" w:fill="auto"/>
                  <w:noWrap/>
                  <w:vAlign w:val="center"/>
                </w:tcPr>
                <w:p w14:paraId="7A59CFD6">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标准</w:t>
                  </w:r>
                </w:p>
              </w:tc>
              <w:tc>
                <w:tcPr>
                  <w:tcW w:w="5717" w:type="dxa"/>
                  <w:shd w:val="clear" w:color="auto" w:fill="auto"/>
                  <w:noWrap/>
                  <w:vAlign w:val="center"/>
                </w:tcPr>
                <w:p w14:paraId="47C14141">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符合GA/T 1202-2022《交通技术监控成像补光装置通用技术条件》</w:t>
                  </w:r>
                  <w:r>
                    <w:rPr>
                      <w:rFonts w:hint="eastAsia" w:ascii="宋体" w:hAnsi="宋体" w:eastAsia="宋体" w:cs="宋体"/>
                      <w:color w:val="000000"/>
                      <w:kern w:val="0"/>
                      <w:sz w:val="22"/>
                      <w:szCs w:val="22"/>
                      <w:lang w:val="en-US" w:eastAsia="zh-CN"/>
                    </w:rPr>
                    <w:t>要求</w:t>
                  </w:r>
                  <w:r>
                    <w:rPr>
                      <w:rFonts w:hint="eastAsia" w:ascii="宋体" w:hAnsi="宋体" w:eastAsia="宋体" w:cs="宋体"/>
                      <w:color w:val="000000"/>
                      <w:kern w:val="0"/>
                      <w:sz w:val="22"/>
                      <w:szCs w:val="22"/>
                      <w:lang w:eastAsia="zh-CN"/>
                    </w:rPr>
                    <w:t>。</w:t>
                  </w:r>
                </w:p>
              </w:tc>
            </w:tr>
            <w:tr w14:paraId="0764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 w:hRule="atLeast"/>
                <w:jc w:val="center"/>
              </w:trPr>
              <w:tc>
                <w:tcPr>
                  <w:tcW w:w="1979" w:type="dxa"/>
                  <w:shd w:val="clear" w:color="auto" w:fill="auto"/>
                  <w:noWrap/>
                  <w:vAlign w:val="center"/>
                </w:tcPr>
                <w:p w14:paraId="79FAA4FE">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工作温度</w:t>
                  </w:r>
                </w:p>
              </w:tc>
              <w:tc>
                <w:tcPr>
                  <w:tcW w:w="5717" w:type="dxa"/>
                  <w:shd w:val="clear" w:color="auto" w:fill="auto"/>
                  <w:noWrap/>
                  <w:vAlign w:val="center"/>
                </w:tcPr>
                <w:p w14:paraId="6D1A890F">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-30℃～60℃</w:t>
                  </w:r>
                  <w:r>
                    <w:rPr>
                      <w:rFonts w:hint="eastAsia" w:ascii="宋体" w:hAnsi="宋体" w:eastAsia="宋体" w:cs="宋体"/>
                      <w:color w:val="000000"/>
                      <w:kern w:val="0"/>
                      <w:sz w:val="22"/>
                      <w:szCs w:val="22"/>
                      <w:lang w:eastAsia="zh-CN"/>
                    </w:rPr>
                    <w:t>。</w:t>
                  </w:r>
                </w:p>
              </w:tc>
            </w:tr>
            <w:tr w14:paraId="4E422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 w:hRule="atLeast"/>
                <w:jc w:val="center"/>
              </w:trPr>
              <w:tc>
                <w:tcPr>
                  <w:tcW w:w="1979" w:type="dxa"/>
                  <w:shd w:val="clear" w:color="auto" w:fill="auto"/>
                  <w:noWrap/>
                  <w:vAlign w:val="center"/>
                </w:tcPr>
                <w:p w14:paraId="2E9194D6">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工作湿度</w:t>
                  </w:r>
                </w:p>
              </w:tc>
              <w:tc>
                <w:tcPr>
                  <w:tcW w:w="5717" w:type="dxa"/>
                  <w:shd w:val="clear" w:color="auto" w:fill="auto"/>
                  <w:noWrap/>
                  <w:vAlign w:val="center"/>
                </w:tcPr>
                <w:p w14:paraId="26372AF1">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5%～95%@40℃，无凝结</w:t>
                  </w:r>
                  <w:r>
                    <w:rPr>
                      <w:rFonts w:hint="eastAsia" w:ascii="宋体" w:hAnsi="宋体" w:eastAsia="宋体" w:cs="宋体"/>
                      <w:color w:val="000000"/>
                      <w:kern w:val="0"/>
                      <w:sz w:val="22"/>
                      <w:szCs w:val="22"/>
                      <w:lang w:eastAsia="zh-CN"/>
                    </w:rPr>
                    <w:t>。</w:t>
                  </w:r>
                </w:p>
              </w:tc>
            </w:tr>
            <w:tr w14:paraId="5A7650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48" w:hRule="atLeast"/>
                <w:jc w:val="center"/>
              </w:trPr>
              <w:tc>
                <w:tcPr>
                  <w:tcW w:w="1979" w:type="dxa"/>
                  <w:shd w:val="clear" w:color="auto" w:fill="auto"/>
                  <w:vAlign w:val="center"/>
                </w:tcPr>
                <w:p w14:paraId="43207946">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防护等级</w:t>
                  </w:r>
                </w:p>
              </w:tc>
              <w:tc>
                <w:tcPr>
                  <w:tcW w:w="5717" w:type="dxa"/>
                  <w:shd w:val="clear" w:color="auto" w:fill="auto"/>
                  <w:noWrap/>
                  <w:vAlign w:val="center"/>
                </w:tcPr>
                <w:p w14:paraId="24C4134C">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≥IP66</w:t>
                  </w:r>
                  <w:r>
                    <w:rPr>
                      <w:rFonts w:hint="eastAsia" w:ascii="宋体" w:hAnsi="宋体" w:eastAsia="宋体" w:cs="宋体"/>
                      <w:color w:val="000000"/>
                      <w:kern w:val="0"/>
                      <w:sz w:val="22"/>
                      <w:szCs w:val="22"/>
                      <w:lang w:eastAsia="zh-CN"/>
                    </w:rPr>
                    <w:t>。</w:t>
                  </w:r>
                </w:p>
              </w:tc>
            </w:tr>
            <w:bookmarkEnd w:id="33"/>
            <w:bookmarkEnd w:id="34"/>
            <w:bookmarkEnd w:id="35"/>
            <w:bookmarkEnd w:id="36"/>
          </w:tbl>
          <w:p w14:paraId="1BE0320A">
            <w:pPr>
              <w:pageBreakBefore w:val="0"/>
              <w:numPr>
                <w:ilvl w:val="0"/>
                <w:numId w:val="0"/>
              </w:numPr>
              <w:kinsoku/>
              <w:wordWrap/>
              <w:overflowPunct/>
              <w:autoSpaceDE/>
              <w:autoSpaceDN/>
              <w:bidi w:val="0"/>
              <w:snapToGrid/>
              <w:spacing w:beforeAutospacing="0" w:afterAutospacing="0" w:line="360" w:lineRule="auto"/>
              <w:rPr>
                <w:rFonts w:hint="eastAsia" w:ascii="宋体" w:hAnsi="宋体" w:eastAsia="宋体" w:cs="宋体"/>
                <w:b w:val="0"/>
                <w:bCs w:val="0"/>
                <w:color w:val="auto"/>
                <w:sz w:val="22"/>
                <w:szCs w:val="22"/>
                <w:highlight w:val="none"/>
                <w:lang w:eastAsia="zh-CN"/>
              </w:rPr>
            </w:pPr>
          </w:p>
        </w:tc>
        <w:tc>
          <w:tcPr>
            <w:tcW w:w="1208" w:type="dxa"/>
          </w:tcPr>
          <w:p w14:paraId="541655EA">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2B5ABD26">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37EB8877">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20CADBA4">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7BEF64FC">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2AE853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73" w:hRule="atLeast"/>
        </w:trPr>
        <w:tc>
          <w:tcPr>
            <w:tcW w:w="530" w:type="dxa"/>
            <w:vAlign w:val="center"/>
          </w:tcPr>
          <w:p w14:paraId="35F86531">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19</w:t>
            </w:r>
          </w:p>
        </w:tc>
        <w:tc>
          <w:tcPr>
            <w:tcW w:w="660" w:type="dxa"/>
          </w:tcPr>
          <w:p w14:paraId="790B6AC9">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360FE7DB">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7FCEE125">
            <w:pPr>
              <w:pStyle w:val="4"/>
              <w:pageBreakBefore w:val="0"/>
              <w:numPr>
                <w:ilvl w:val="1"/>
                <w:numId w:val="0"/>
              </w:numPr>
              <w:shd w:val="clear"/>
              <w:kinsoku/>
              <w:wordWrap/>
              <w:overflowPunct/>
              <w:topLinePunct w:val="0"/>
              <w:autoSpaceDE/>
              <w:autoSpaceDN/>
              <w:bidi w:val="0"/>
              <w:adjustRightInd/>
              <w:snapToGrid/>
              <w:spacing w:before="0" w:line="360" w:lineRule="auto"/>
              <w:ind w:left="0" w:leftChars="0" w:firstLine="0" w:firstLineChars="0"/>
              <w:textAlignment w:val="auto"/>
              <w:rPr>
                <w:rFonts w:hint="eastAsia" w:ascii="宋体" w:hAnsi="宋体" w:eastAsia="宋体" w:cs="宋体"/>
                <w:sz w:val="22"/>
                <w:szCs w:val="22"/>
              </w:rPr>
            </w:pPr>
            <w:bookmarkStart w:id="37" w:name="_Toc173501810"/>
            <w:r>
              <w:rPr>
                <w:rFonts w:hint="eastAsia" w:ascii="宋体" w:hAnsi="宋体" w:eastAsia="宋体" w:cs="宋体"/>
                <w:b/>
                <w:bCs/>
                <w:kern w:val="2"/>
                <w:sz w:val="22"/>
                <w:szCs w:val="22"/>
                <w:lang w:val="en-US" w:eastAsia="zh-CN" w:bidi="ar-SA"/>
              </w:rPr>
              <w:t>（五）</w:t>
            </w:r>
            <w:r>
              <w:rPr>
                <w:rFonts w:hint="eastAsia" w:ascii="宋体" w:hAnsi="宋体" w:eastAsia="宋体" w:cs="宋体"/>
                <w:b/>
                <w:bCs w:val="0"/>
                <w:sz w:val="22"/>
                <w:szCs w:val="22"/>
              </w:rPr>
              <w:t>智能全彩枪球一体机</w:t>
            </w:r>
            <w:bookmarkEnd w:id="37"/>
          </w:p>
          <w:p w14:paraId="4C83330B">
            <w:pPr>
              <w:keepNext w:val="0"/>
              <w:keepLines w:val="0"/>
              <w:pageBreakBefore w:val="0"/>
              <w:widowControl w:val="0"/>
              <w:shd w:val="clea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根据监控方向数配置相应智能全彩枪球一体机设备，每个监控方向各配置1 套。</w:t>
            </w:r>
          </w:p>
          <w:p w14:paraId="2D7B2062">
            <w:pPr>
              <w:keepNext w:val="0"/>
              <w:keepLines w:val="0"/>
              <w:pageBreakBefore w:val="0"/>
              <w:widowControl w:val="0"/>
              <w:shd w:val="clea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智能全彩枪球一体机设备技术参数要求如下表所示：</w:t>
            </w:r>
          </w:p>
          <w:tbl>
            <w:tblPr>
              <w:tblStyle w:val="18"/>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2002"/>
              <w:gridCol w:w="6009"/>
            </w:tblGrid>
            <w:tr w14:paraId="1EECA9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PrEx>
              <w:trPr>
                <w:trHeight w:val="232" w:hRule="atLeast"/>
                <w:tblHeader/>
                <w:jc w:val="center"/>
              </w:trPr>
              <w:tc>
                <w:tcPr>
                  <w:tcW w:w="1249" w:type="pct"/>
                  <w:shd w:val="clear" w:color="auto" w:fill="auto"/>
                  <w:vAlign w:val="center"/>
                </w:tcPr>
                <w:p w14:paraId="2A91A66D">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项目</w:t>
                  </w:r>
                </w:p>
              </w:tc>
              <w:tc>
                <w:tcPr>
                  <w:tcW w:w="3750" w:type="pct"/>
                  <w:shd w:val="clear" w:color="auto" w:fill="auto"/>
                  <w:vAlign w:val="center"/>
                </w:tcPr>
                <w:p w14:paraId="48B01A22">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技术规格要求</w:t>
                  </w:r>
                </w:p>
              </w:tc>
            </w:tr>
            <w:tr w14:paraId="45091C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vAlign w:val="center"/>
                </w:tcPr>
                <w:p w14:paraId="32BCB271">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传感器类型</w:t>
                  </w:r>
                </w:p>
              </w:tc>
              <w:tc>
                <w:tcPr>
                  <w:tcW w:w="3750" w:type="pct"/>
                  <w:shd w:val="clear" w:color="auto" w:fill="auto"/>
                  <w:vAlign w:val="center"/>
                </w:tcPr>
                <w:p w14:paraId="4600C628">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【全景】性能不低于1/1.8＂CMOS传感器</w:t>
                  </w:r>
                  <w:r>
                    <w:rPr>
                      <w:rFonts w:hint="eastAsia" w:ascii="宋体" w:hAnsi="宋体" w:eastAsia="宋体" w:cs="宋体"/>
                      <w:color w:val="000000"/>
                      <w:kern w:val="0"/>
                      <w:sz w:val="22"/>
                      <w:szCs w:val="22"/>
                      <w:lang w:eastAsia="zh-CN"/>
                    </w:rPr>
                    <w:t>。</w:t>
                  </w:r>
                </w:p>
                <w:p w14:paraId="5CAEBCD4">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【细节】性能不低于1/1.8＂CMOS传感器</w:t>
                  </w:r>
                  <w:r>
                    <w:rPr>
                      <w:rFonts w:hint="eastAsia" w:ascii="宋体" w:hAnsi="宋体" w:eastAsia="宋体" w:cs="宋体"/>
                      <w:color w:val="000000"/>
                      <w:kern w:val="0"/>
                      <w:sz w:val="22"/>
                      <w:szCs w:val="22"/>
                      <w:lang w:eastAsia="zh-CN"/>
                    </w:rPr>
                    <w:t>。</w:t>
                  </w:r>
                </w:p>
              </w:tc>
            </w:tr>
            <w:tr w14:paraId="408AB0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vAlign w:val="center"/>
                </w:tcPr>
                <w:p w14:paraId="62F91B95">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最低照度</w:t>
                  </w:r>
                </w:p>
              </w:tc>
              <w:tc>
                <w:tcPr>
                  <w:tcW w:w="3750" w:type="pct"/>
                  <w:shd w:val="clear" w:color="auto" w:fill="auto"/>
                  <w:vAlign w:val="center"/>
                </w:tcPr>
                <w:p w14:paraId="2C109E75">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【全景】彩色≤0.0005 Lux @ (F1.0，AGC ON)，0 Lux with Light</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 xml:space="preserve">【细节】彩色≤0.0005 Lux @ (F1.2，AGC ON)；黑白≤0.0001Lux @(F1.2，AGC ON)；0 Lux with IR </w:t>
                  </w:r>
                  <w:r>
                    <w:rPr>
                      <w:rFonts w:hint="eastAsia" w:ascii="宋体" w:hAnsi="宋体" w:eastAsia="宋体" w:cs="宋体"/>
                      <w:color w:val="000000"/>
                      <w:kern w:val="0"/>
                      <w:sz w:val="22"/>
                      <w:szCs w:val="22"/>
                      <w:lang w:eastAsia="zh-CN"/>
                    </w:rPr>
                    <w:t>。</w:t>
                  </w:r>
                </w:p>
              </w:tc>
            </w:tr>
            <w:tr w14:paraId="3851F8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vAlign w:val="center"/>
                </w:tcPr>
                <w:p w14:paraId="1B3A4174">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快门</w:t>
                  </w:r>
                </w:p>
              </w:tc>
              <w:tc>
                <w:tcPr>
                  <w:tcW w:w="3750" w:type="pct"/>
                  <w:shd w:val="clear" w:color="auto" w:fill="auto"/>
                  <w:vAlign w:val="center"/>
                </w:tcPr>
                <w:p w14:paraId="30A59687">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1/1 s～1/30000 s</w:t>
                  </w:r>
                  <w:r>
                    <w:rPr>
                      <w:rFonts w:hint="eastAsia" w:ascii="宋体" w:hAnsi="宋体" w:eastAsia="宋体" w:cs="宋体"/>
                      <w:color w:val="000000"/>
                      <w:kern w:val="0"/>
                      <w:sz w:val="22"/>
                      <w:szCs w:val="22"/>
                      <w:lang w:eastAsia="zh-CN"/>
                    </w:rPr>
                    <w:t>。</w:t>
                  </w:r>
                </w:p>
              </w:tc>
            </w:tr>
            <w:tr w14:paraId="4FBE89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vAlign w:val="center"/>
                </w:tcPr>
                <w:p w14:paraId="2155F00E">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慢快门</w:t>
                  </w:r>
                </w:p>
              </w:tc>
              <w:tc>
                <w:tcPr>
                  <w:tcW w:w="3750" w:type="pct"/>
                  <w:shd w:val="clear" w:color="auto" w:fill="auto"/>
                  <w:vAlign w:val="center"/>
                </w:tcPr>
                <w:p w14:paraId="6AA76BC1">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w:t>
                  </w:r>
                  <w:r>
                    <w:rPr>
                      <w:rFonts w:hint="eastAsia" w:ascii="宋体" w:hAnsi="宋体" w:eastAsia="宋体" w:cs="宋体"/>
                      <w:color w:val="000000"/>
                      <w:kern w:val="0"/>
                      <w:sz w:val="22"/>
                      <w:szCs w:val="22"/>
                      <w:lang w:eastAsia="zh-CN"/>
                    </w:rPr>
                    <w:t>。</w:t>
                  </w:r>
                </w:p>
              </w:tc>
            </w:tr>
            <w:tr w14:paraId="665924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vAlign w:val="center"/>
                </w:tcPr>
                <w:p w14:paraId="20E6F5DC">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日夜转换模式</w:t>
                  </w:r>
                </w:p>
              </w:tc>
              <w:tc>
                <w:tcPr>
                  <w:tcW w:w="3750" w:type="pct"/>
                  <w:shd w:val="clear" w:color="auto" w:fill="auto"/>
                  <w:vAlign w:val="center"/>
                </w:tcPr>
                <w:p w14:paraId="35D541D2">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【全景】彩色</w:t>
                  </w:r>
                  <w:r>
                    <w:rPr>
                      <w:rFonts w:hint="eastAsia" w:ascii="宋体" w:hAnsi="宋体" w:eastAsia="宋体" w:cs="宋体"/>
                      <w:color w:val="000000"/>
                      <w:kern w:val="0"/>
                      <w:sz w:val="22"/>
                      <w:szCs w:val="22"/>
                      <w:lang w:eastAsia="zh-CN"/>
                    </w:rPr>
                    <w:t>。</w:t>
                  </w:r>
                </w:p>
                <w:p w14:paraId="1E3B7B93">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【细节】自动ICR彩转黑</w:t>
                  </w:r>
                  <w:r>
                    <w:rPr>
                      <w:rFonts w:hint="eastAsia" w:ascii="宋体" w:hAnsi="宋体" w:eastAsia="宋体" w:cs="宋体"/>
                      <w:color w:val="000000"/>
                      <w:kern w:val="0"/>
                      <w:sz w:val="22"/>
                      <w:szCs w:val="22"/>
                      <w:lang w:eastAsia="zh-CN"/>
                    </w:rPr>
                    <w:t>。</w:t>
                  </w:r>
                </w:p>
              </w:tc>
            </w:tr>
            <w:tr w14:paraId="17AE50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vAlign w:val="center"/>
                </w:tcPr>
                <w:p w14:paraId="60314F10">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强光抑制</w:t>
                  </w:r>
                </w:p>
              </w:tc>
              <w:tc>
                <w:tcPr>
                  <w:tcW w:w="3750" w:type="pct"/>
                  <w:shd w:val="clear" w:color="auto" w:fill="auto"/>
                  <w:vAlign w:val="center"/>
                </w:tcPr>
                <w:p w14:paraId="06E429F0">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w:t>
                  </w:r>
                  <w:r>
                    <w:rPr>
                      <w:rFonts w:hint="eastAsia" w:ascii="宋体" w:hAnsi="宋体" w:eastAsia="宋体" w:cs="宋体"/>
                      <w:color w:val="000000"/>
                      <w:kern w:val="0"/>
                      <w:sz w:val="22"/>
                      <w:szCs w:val="22"/>
                      <w:lang w:eastAsia="zh-CN"/>
                    </w:rPr>
                    <w:t>。</w:t>
                  </w:r>
                </w:p>
              </w:tc>
            </w:tr>
            <w:tr w14:paraId="6A167B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vAlign w:val="center"/>
                </w:tcPr>
                <w:p w14:paraId="44FDDB92">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3D降噪</w:t>
                  </w:r>
                </w:p>
              </w:tc>
              <w:tc>
                <w:tcPr>
                  <w:tcW w:w="3750" w:type="pct"/>
                  <w:shd w:val="clear" w:color="auto" w:fill="auto"/>
                  <w:vAlign w:val="center"/>
                </w:tcPr>
                <w:p w14:paraId="7D20C27D">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w:t>
                  </w:r>
                  <w:r>
                    <w:rPr>
                      <w:rFonts w:hint="eastAsia" w:ascii="宋体" w:hAnsi="宋体" w:eastAsia="宋体" w:cs="宋体"/>
                      <w:color w:val="000000"/>
                      <w:kern w:val="0"/>
                      <w:sz w:val="22"/>
                      <w:szCs w:val="22"/>
                      <w:lang w:eastAsia="zh-CN"/>
                    </w:rPr>
                    <w:t>。</w:t>
                  </w:r>
                </w:p>
              </w:tc>
            </w:tr>
            <w:tr w14:paraId="16DA95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vAlign w:val="center"/>
                </w:tcPr>
                <w:p w14:paraId="6C583994">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白平衡</w:t>
                  </w:r>
                </w:p>
              </w:tc>
              <w:tc>
                <w:tcPr>
                  <w:tcW w:w="3750" w:type="pct"/>
                  <w:shd w:val="clear" w:color="auto" w:fill="auto"/>
                  <w:vAlign w:val="center"/>
                </w:tcPr>
                <w:p w14:paraId="2DE43F55">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自动白平衡</w:t>
                  </w:r>
                  <w:r>
                    <w:rPr>
                      <w:rFonts w:hint="eastAsia" w:ascii="宋体" w:hAnsi="宋体" w:eastAsia="宋体" w:cs="宋体"/>
                      <w:color w:val="000000"/>
                      <w:kern w:val="0"/>
                      <w:sz w:val="22"/>
                      <w:szCs w:val="22"/>
                      <w:lang w:eastAsia="zh-CN"/>
                    </w:rPr>
                    <w:t>。</w:t>
                  </w:r>
                </w:p>
              </w:tc>
            </w:tr>
            <w:tr w14:paraId="38A972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vAlign w:val="center"/>
                </w:tcPr>
                <w:p w14:paraId="03CB33C5">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数字变倍</w:t>
                  </w:r>
                </w:p>
              </w:tc>
              <w:tc>
                <w:tcPr>
                  <w:tcW w:w="3750" w:type="pct"/>
                  <w:shd w:val="clear" w:color="auto" w:fill="auto"/>
                  <w:vAlign w:val="center"/>
                </w:tcPr>
                <w:p w14:paraId="6379213A">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【细节】≥16倍</w:t>
                  </w:r>
                  <w:r>
                    <w:rPr>
                      <w:rFonts w:hint="eastAsia" w:ascii="宋体" w:hAnsi="宋体" w:eastAsia="宋体" w:cs="宋体"/>
                      <w:color w:val="000000"/>
                      <w:kern w:val="0"/>
                      <w:sz w:val="22"/>
                      <w:szCs w:val="22"/>
                      <w:lang w:eastAsia="zh-CN"/>
                    </w:rPr>
                    <w:t>。</w:t>
                  </w:r>
                </w:p>
              </w:tc>
            </w:tr>
            <w:tr w14:paraId="634D9C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vAlign w:val="center"/>
                </w:tcPr>
                <w:p w14:paraId="3502FEBF">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光学变倍</w:t>
                  </w:r>
                </w:p>
              </w:tc>
              <w:tc>
                <w:tcPr>
                  <w:tcW w:w="3750" w:type="pct"/>
                  <w:shd w:val="clear" w:color="auto" w:fill="auto"/>
                  <w:vAlign w:val="center"/>
                </w:tcPr>
                <w:p w14:paraId="39B4E65B">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【细节】≥25倍</w:t>
                  </w:r>
                  <w:r>
                    <w:rPr>
                      <w:rFonts w:hint="eastAsia" w:ascii="宋体" w:hAnsi="宋体" w:eastAsia="宋体" w:cs="宋体"/>
                      <w:color w:val="000000"/>
                      <w:kern w:val="0"/>
                      <w:sz w:val="22"/>
                      <w:szCs w:val="22"/>
                      <w:lang w:eastAsia="zh-CN"/>
                    </w:rPr>
                    <w:t>。</w:t>
                  </w:r>
                </w:p>
              </w:tc>
            </w:tr>
            <w:tr w14:paraId="04C8CC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vAlign w:val="center"/>
                </w:tcPr>
                <w:p w14:paraId="77B816AE">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光学透雾</w:t>
                  </w:r>
                </w:p>
              </w:tc>
              <w:tc>
                <w:tcPr>
                  <w:tcW w:w="3750" w:type="pct"/>
                  <w:shd w:val="clear" w:color="auto" w:fill="auto"/>
                  <w:vAlign w:val="center"/>
                </w:tcPr>
                <w:p w14:paraId="658C87E5">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w:t>
                  </w:r>
                  <w:r>
                    <w:rPr>
                      <w:rFonts w:hint="eastAsia" w:ascii="宋体" w:hAnsi="宋体" w:eastAsia="宋体" w:cs="宋体"/>
                      <w:color w:val="000000"/>
                      <w:kern w:val="0"/>
                      <w:sz w:val="22"/>
                      <w:szCs w:val="22"/>
                      <w:lang w:eastAsia="zh-CN"/>
                    </w:rPr>
                    <w:t>。</w:t>
                  </w:r>
                </w:p>
              </w:tc>
            </w:tr>
            <w:tr w14:paraId="7A68C4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vAlign w:val="center"/>
                </w:tcPr>
                <w:p w14:paraId="3816E14D">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增益控制</w:t>
                  </w:r>
                </w:p>
              </w:tc>
              <w:tc>
                <w:tcPr>
                  <w:tcW w:w="3750" w:type="pct"/>
                  <w:shd w:val="clear" w:color="auto" w:fill="auto"/>
                  <w:vAlign w:val="center"/>
                </w:tcPr>
                <w:p w14:paraId="76F87402">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自动</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 xml:space="preserve">手动 </w:t>
                  </w:r>
                  <w:r>
                    <w:rPr>
                      <w:rFonts w:hint="eastAsia" w:ascii="宋体" w:hAnsi="宋体" w:eastAsia="宋体" w:cs="宋体"/>
                      <w:color w:val="000000"/>
                      <w:kern w:val="0"/>
                      <w:sz w:val="22"/>
                      <w:szCs w:val="22"/>
                      <w:lang w:eastAsia="zh-CN"/>
                    </w:rPr>
                    <w:t>。</w:t>
                  </w:r>
                </w:p>
              </w:tc>
            </w:tr>
            <w:tr w14:paraId="66671A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vAlign w:val="center"/>
                </w:tcPr>
                <w:p w14:paraId="087F6C4C">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最大分辨率</w:t>
                  </w:r>
                </w:p>
              </w:tc>
              <w:tc>
                <w:tcPr>
                  <w:tcW w:w="3750" w:type="pct"/>
                  <w:shd w:val="clear" w:color="auto" w:fill="auto"/>
                  <w:vAlign w:val="center"/>
                </w:tcPr>
                <w:p w14:paraId="71253351">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≥2560×1440</w:t>
                  </w:r>
                  <w:r>
                    <w:rPr>
                      <w:rFonts w:hint="eastAsia" w:ascii="宋体" w:hAnsi="宋体" w:eastAsia="宋体" w:cs="宋体"/>
                      <w:color w:val="000000"/>
                      <w:kern w:val="0"/>
                      <w:sz w:val="22"/>
                      <w:szCs w:val="22"/>
                      <w:lang w:eastAsia="zh-CN"/>
                    </w:rPr>
                    <w:t>。</w:t>
                  </w:r>
                </w:p>
              </w:tc>
            </w:tr>
            <w:tr w14:paraId="22877A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vAlign w:val="center"/>
                </w:tcPr>
                <w:p w14:paraId="1862F25F">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聚焦模式</w:t>
                  </w:r>
                </w:p>
              </w:tc>
              <w:tc>
                <w:tcPr>
                  <w:tcW w:w="3750" w:type="pct"/>
                  <w:shd w:val="clear" w:color="auto" w:fill="auto"/>
                  <w:vAlign w:val="center"/>
                </w:tcPr>
                <w:p w14:paraId="2E080585">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半自动</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手动</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自动</w:t>
                  </w:r>
                  <w:r>
                    <w:rPr>
                      <w:rFonts w:hint="eastAsia" w:ascii="宋体" w:hAnsi="宋体" w:eastAsia="宋体" w:cs="宋体"/>
                      <w:color w:val="000000"/>
                      <w:kern w:val="0"/>
                      <w:sz w:val="22"/>
                      <w:szCs w:val="22"/>
                      <w:lang w:eastAsia="zh-CN"/>
                    </w:rPr>
                    <w:t>。</w:t>
                  </w:r>
                </w:p>
              </w:tc>
            </w:tr>
            <w:tr w14:paraId="239218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vAlign w:val="center"/>
                </w:tcPr>
                <w:p w14:paraId="49E5F5DD">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焦距</w:t>
                  </w:r>
                </w:p>
              </w:tc>
              <w:tc>
                <w:tcPr>
                  <w:tcW w:w="3750" w:type="pct"/>
                  <w:shd w:val="clear" w:color="auto" w:fill="auto"/>
                  <w:vAlign w:val="center"/>
                </w:tcPr>
                <w:p w14:paraId="54804A95">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【全景】4 mm</w:t>
                  </w:r>
                  <w:r>
                    <w:rPr>
                      <w:rFonts w:hint="eastAsia" w:ascii="宋体" w:hAnsi="宋体" w:eastAsia="宋体" w:cs="宋体"/>
                      <w:color w:val="000000"/>
                      <w:kern w:val="0"/>
                      <w:sz w:val="22"/>
                      <w:szCs w:val="22"/>
                      <w:lang w:eastAsia="zh-CN"/>
                    </w:rPr>
                    <w:t>。</w:t>
                  </w:r>
                </w:p>
                <w:p w14:paraId="7EF37AFB">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【细节】≥6.0～135 mm</w:t>
                  </w:r>
                  <w:r>
                    <w:rPr>
                      <w:rFonts w:hint="eastAsia" w:ascii="宋体" w:hAnsi="宋体" w:eastAsia="宋体" w:cs="宋体"/>
                      <w:color w:val="000000"/>
                      <w:kern w:val="0"/>
                      <w:sz w:val="22"/>
                      <w:szCs w:val="22"/>
                      <w:lang w:eastAsia="zh-CN"/>
                    </w:rPr>
                    <w:t>。</w:t>
                  </w:r>
                </w:p>
              </w:tc>
            </w:tr>
            <w:tr w14:paraId="416757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72714945">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补光灯距离</w:t>
                  </w:r>
                </w:p>
              </w:tc>
              <w:tc>
                <w:tcPr>
                  <w:tcW w:w="3750" w:type="pct"/>
                  <w:shd w:val="clear" w:color="auto" w:fill="auto"/>
                  <w:vAlign w:val="center"/>
                </w:tcPr>
                <w:p w14:paraId="0926CCFD">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【全景】≥30米</w:t>
                  </w:r>
                  <w:r>
                    <w:rPr>
                      <w:rFonts w:hint="eastAsia" w:ascii="宋体" w:hAnsi="宋体" w:eastAsia="宋体" w:cs="宋体"/>
                      <w:color w:val="000000"/>
                      <w:kern w:val="0"/>
                      <w:sz w:val="22"/>
                      <w:szCs w:val="22"/>
                      <w:lang w:eastAsia="zh-CN"/>
                    </w:rPr>
                    <w:t>。</w:t>
                  </w:r>
                </w:p>
                <w:p w14:paraId="2E62D36E">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【细节】≥100米</w:t>
                  </w:r>
                  <w:r>
                    <w:rPr>
                      <w:rFonts w:hint="eastAsia" w:ascii="宋体" w:hAnsi="宋体" w:eastAsia="宋体" w:cs="宋体"/>
                      <w:color w:val="000000"/>
                      <w:kern w:val="0"/>
                      <w:sz w:val="22"/>
                      <w:szCs w:val="22"/>
                      <w:lang w:eastAsia="zh-CN"/>
                    </w:rPr>
                    <w:t>。</w:t>
                  </w:r>
                </w:p>
              </w:tc>
            </w:tr>
            <w:tr w14:paraId="750AE6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38800E21">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防补光过曝</w:t>
                  </w:r>
                </w:p>
              </w:tc>
              <w:tc>
                <w:tcPr>
                  <w:tcW w:w="3750" w:type="pct"/>
                  <w:shd w:val="clear" w:color="auto" w:fill="auto"/>
                  <w:vAlign w:val="center"/>
                </w:tcPr>
                <w:p w14:paraId="0751AA31">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w:t>
                  </w:r>
                  <w:r>
                    <w:rPr>
                      <w:rFonts w:hint="eastAsia" w:ascii="宋体" w:hAnsi="宋体" w:eastAsia="宋体" w:cs="宋体"/>
                      <w:color w:val="000000"/>
                      <w:kern w:val="0"/>
                      <w:sz w:val="22"/>
                      <w:szCs w:val="22"/>
                      <w:lang w:eastAsia="zh-CN"/>
                    </w:rPr>
                    <w:t>。</w:t>
                  </w:r>
                </w:p>
              </w:tc>
            </w:tr>
            <w:tr w14:paraId="54D42C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7207954D">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水平范围</w:t>
                  </w:r>
                </w:p>
              </w:tc>
              <w:tc>
                <w:tcPr>
                  <w:tcW w:w="3750" w:type="pct"/>
                  <w:shd w:val="clear" w:color="auto" w:fill="auto"/>
                  <w:vAlign w:val="center"/>
                </w:tcPr>
                <w:p w14:paraId="3870EE38">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【细节】0～360°</w:t>
                  </w:r>
                  <w:r>
                    <w:rPr>
                      <w:rFonts w:hint="eastAsia" w:ascii="宋体" w:hAnsi="宋体" w:eastAsia="宋体" w:cs="宋体"/>
                      <w:color w:val="000000"/>
                      <w:kern w:val="0"/>
                      <w:sz w:val="22"/>
                      <w:szCs w:val="22"/>
                      <w:lang w:eastAsia="zh-CN"/>
                    </w:rPr>
                    <w:t>。</w:t>
                  </w:r>
                </w:p>
              </w:tc>
            </w:tr>
            <w:tr w14:paraId="3A0020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1842006A">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垂直范围</w:t>
                  </w:r>
                </w:p>
              </w:tc>
              <w:tc>
                <w:tcPr>
                  <w:tcW w:w="3750" w:type="pct"/>
                  <w:shd w:val="clear" w:color="auto" w:fill="auto"/>
                  <w:vAlign w:val="center"/>
                </w:tcPr>
                <w:p w14:paraId="6AD61572">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【全景】7～17°</w:t>
                  </w:r>
                  <w:r>
                    <w:rPr>
                      <w:rFonts w:hint="eastAsia" w:ascii="宋体" w:hAnsi="宋体" w:eastAsia="宋体" w:cs="宋体"/>
                      <w:color w:val="000000"/>
                      <w:kern w:val="0"/>
                      <w:sz w:val="22"/>
                      <w:szCs w:val="22"/>
                      <w:lang w:eastAsia="zh-CN"/>
                    </w:rPr>
                    <w:t>。</w:t>
                  </w:r>
                </w:p>
                <w:p w14:paraId="1DE6EC87">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【细节】-20～90°</w:t>
                  </w:r>
                  <w:r>
                    <w:rPr>
                      <w:rFonts w:hint="eastAsia" w:ascii="宋体" w:hAnsi="宋体" w:eastAsia="宋体" w:cs="宋体"/>
                      <w:color w:val="000000"/>
                      <w:kern w:val="0"/>
                      <w:sz w:val="22"/>
                      <w:szCs w:val="22"/>
                      <w:lang w:eastAsia="zh-CN"/>
                    </w:rPr>
                    <w:t>。</w:t>
                  </w:r>
                </w:p>
              </w:tc>
            </w:tr>
            <w:tr w14:paraId="51430C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1495987B">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水平速度</w:t>
                  </w:r>
                </w:p>
              </w:tc>
              <w:tc>
                <w:tcPr>
                  <w:tcW w:w="3750" w:type="pct"/>
                  <w:shd w:val="clear" w:color="auto" w:fill="auto"/>
                  <w:vAlign w:val="center"/>
                </w:tcPr>
                <w:p w14:paraId="3EEBDF65">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 xml:space="preserve">【细节】水平键控速度：0.1°～160°/s，速度可设；水平预置点速度：240°/s </w:t>
                  </w:r>
                  <w:r>
                    <w:rPr>
                      <w:rFonts w:hint="eastAsia" w:ascii="宋体" w:hAnsi="宋体" w:eastAsia="宋体" w:cs="宋体"/>
                      <w:color w:val="000000"/>
                      <w:kern w:val="0"/>
                      <w:sz w:val="22"/>
                      <w:szCs w:val="22"/>
                      <w:lang w:eastAsia="zh-CN"/>
                    </w:rPr>
                    <w:t>。</w:t>
                  </w:r>
                </w:p>
              </w:tc>
            </w:tr>
            <w:tr w14:paraId="549DFC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6EB57405">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垂直速度</w:t>
                  </w:r>
                </w:p>
              </w:tc>
              <w:tc>
                <w:tcPr>
                  <w:tcW w:w="3750" w:type="pct"/>
                  <w:shd w:val="clear" w:color="auto" w:fill="auto"/>
                  <w:vAlign w:val="center"/>
                </w:tcPr>
                <w:p w14:paraId="1DE659AC">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【全景】垂直键控速度可设</w:t>
                  </w:r>
                  <w:r>
                    <w:rPr>
                      <w:rFonts w:hint="eastAsia" w:ascii="宋体" w:hAnsi="宋体" w:eastAsia="宋体" w:cs="宋体"/>
                      <w:color w:val="000000"/>
                      <w:kern w:val="0"/>
                      <w:sz w:val="22"/>
                      <w:szCs w:val="22"/>
                      <w:lang w:eastAsia="zh-CN"/>
                    </w:rPr>
                    <w:t>。</w:t>
                  </w:r>
                </w:p>
                <w:p w14:paraId="7506FB54">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【细节】垂直键控速度：0.1°～120°/s，速度可设；垂直预置点速度：200°/s</w:t>
                  </w:r>
                  <w:r>
                    <w:rPr>
                      <w:rFonts w:hint="eastAsia" w:ascii="宋体" w:hAnsi="宋体" w:eastAsia="宋体" w:cs="宋体"/>
                      <w:color w:val="000000"/>
                      <w:kern w:val="0"/>
                      <w:sz w:val="22"/>
                      <w:szCs w:val="22"/>
                      <w:lang w:eastAsia="zh-CN"/>
                    </w:rPr>
                    <w:t>。</w:t>
                  </w:r>
                </w:p>
              </w:tc>
            </w:tr>
            <w:tr w14:paraId="3B070E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7E786536">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比例变倍</w:t>
                  </w:r>
                </w:p>
              </w:tc>
              <w:tc>
                <w:tcPr>
                  <w:tcW w:w="3750" w:type="pct"/>
                  <w:shd w:val="clear" w:color="auto" w:fill="auto"/>
                  <w:vAlign w:val="center"/>
                </w:tcPr>
                <w:p w14:paraId="5728F484">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【细节】支持</w:t>
                  </w:r>
                  <w:r>
                    <w:rPr>
                      <w:rFonts w:hint="eastAsia" w:ascii="宋体" w:hAnsi="宋体" w:eastAsia="宋体" w:cs="宋体"/>
                      <w:color w:val="000000"/>
                      <w:kern w:val="0"/>
                      <w:sz w:val="22"/>
                      <w:szCs w:val="22"/>
                      <w:lang w:eastAsia="zh-CN"/>
                    </w:rPr>
                    <w:t>。</w:t>
                  </w:r>
                </w:p>
              </w:tc>
            </w:tr>
            <w:tr w14:paraId="45D4D8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1D169CA5">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预置点个数</w:t>
                  </w:r>
                </w:p>
              </w:tc>
              <w:tc>
                <w:tcPr>
                  <w:tcW w:w="3750" w:type="pct"/>
                  <w:shd w:val="clear" w:color="auto" w:fill="auto"/>
                  <w:vAlign w:val="center"/>
                </w:tcPr>
                <w:p w14:paraId="4C9FF5C0">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≥300个</w:t>
                  </w:r>
                  <w:r>
                    <w:rPr>
                      <w:rFonts w:hint="eastAsia" w:ascii="宋体" w:hAnsi="宋体" w:eastAsia="宋体" w:cs="宋体"/>
                      <w:color w:val="000000"/>
                      <w:kern w:val="0"/>
                      <w:sz w:val="22"/>
                      <w:szCs w:val="22"/>
                      <w:lang w:eastAsia="zh-CN"/>
                    </w:rPr>
                    <w:t>。</w:t>
                  </w:r>
                </w:p>
              </w:tc>
            </w:tr>
            <w:tr w14:paraId="077C97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0CEAEADE">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巡航扫描</w:t>
                  </w:r>
                </w:p>
              </w:tc>
              <w:tc>
                <w:tcPr>
                  <w:tcW w:w="3750" w:type="pct"/>
                  <w:shd w:val="clear" w:color="auto" w:fill="auto"/>
                  <w:vAlign w:val="center"/>
                </w:tcPr>
                <w:p w14:paraId="4FDF2525">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≥8条</w:t>
                  </w:r>
                  <w:r>
                    <w:rPr>
                      <w:rFonts w:hint="eastAsia" w:ascii="宋体" w:hAnsi="宋体" w:eastAsia="宋体" w:cs="宋体"/>
                      <w:color w:val="000000"/>
                      <w:kern w:val="0"/>
                      <w:sz w:val="22"/>
                      <w:szCs w:val="22"/>
                      <w:lang w:eastAsia="zh-CN"/>
                    </w:rPr>
                    <w:t>。</w:t>
                  </w:r>
                </w:p>
              </w:tc>
            </w:tr>
            <w:tr w14:paraId="09AC42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6FCD0D04">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花样扫描</w:t>
                  </w:r>
                </w:p>
              </w:tc>
              <w:tc>
                <w:tcPr>
                  <w:tcW w:w="3750" w:type="pct"/>
                  <w:shd w:val="clear" w:color="auto" w:fill="auto"/>
                  <w:vAlign w:val="center"/>
                </w:tcPr>
                <w:p w14:paraId="1C7ED37E">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≥4条</w:t>
                  </w:r>
                  <w:r>
                    <w:rPr>
                      <w:rFonts w:hint="eastAsia" w:ascii="宋体" w:hAnsi="宋体" w:eastAsia="宋体" w:cs="宋体"/>
                      <w:color w:val="000000"/>
                      <w:kern w:val="0"/>
                      <w:sz w:val="22"/>
                      <w:szCs w:val="22"/>
                      <w:lang w:eastAsia="zh-CN"/>
                    </w:rPr>
                    <w:t>。</w:t>
                  </w:r>
                </w:p>
              </w:tc>
            </w:tr>
            <w:tr w14:paraId="3C8EC5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002D2558">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断电记忆</w:t>
                  </w:r>
                </w:p>
              </w:tc>
              <w:tc>
                <w:tcPr>
                  <w:tcW w:w="3750" w:type="pct"/>
                  <w:shd w:val="clear" w:color="auto" w:fill="auto"/>
                  <w:vAlign w:val="center"/>
                </w:tcPr>
                <w:p w14:paraId="3A9E7384">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w:t>
                  </w:r>
                  <w:r>
                    <w:rPr>
                      <w:rFonts w:hint="eastAsia" w:ascii="宋体" w:hAnsi="宋体" w:eastAsia="宋体" w:cs="宋体"/>
                      <w:color w:val="000000"/>
                      <w:kern w:val="0"/>
                      <w:sz w:val="22"/>
                      <w:szCs w:val="22"/>
                      <w:lang w:eastAsia="zh-CN"/>
                    </w:rPr>
                    <w:t>。</w:t>
                  </w:r>
                </w:p>
              </w:tc>
            </w:tr>
            <w:tr w14:paraId="46BF6A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1109FD3D">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守望功能</w:t>
                  </w:r>
                </w:p>
              </w:tc>
              <w:tc>
                <w:tcPr>
                  <w:tcW w:w="3750" w:type="pct"/>
                  <w:shd w:val="clear" w:color="auto" w:fill="auto"/>
                  <w:vAlign w:val="center"/>
                </w:tcPr>
                <w:p w14:paraId="24B74672">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预置点</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花样扫描</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垂直扫描</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随机扫描</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帧扫描</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全景扫描</w:t>
                  </w:r>
                  <w:r>
                    <w:rPr>
                      <w:rFonts w:hint="eastAsia" w:ascii="宋体" w:hAnsi="宋体" w:eastAsia="宋体" w:cs="宋体"/>
                      <w:color w:val="000000"/>
                      <w:kern w:val="0"/>
                      <w:sz w:val="22"/>
                      <w:szCs w:val="22"/>
                      <w:lang w:eastAsia="zh-CN"/>
                    </w:rPr>
                    <w:t>。</w:t>
                  </w:r>
                </w:p>
              </w:tc>
            </w:tr>
            <w:tr w14:paraId="24B1B1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4E989A89">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定时任务</w:t>
                  </w:r>
                </w:p>
              </w:tc>
              <w:tc>
                <w:tcPr>
                  <w:tcW w:w="3750" w:type="pct"/>
                  <w:shd w:val="clear" w:color="auto" w:fill="auto"/>
                  <w:vAlign w:val="center"/>
                </w:tcPr>
                <w:p w14:paraId="69DA743D">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预置点</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花样扫描</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垂直扫描</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随机扫描</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帧扫描</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全景扫描</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球机重启</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球机校验</w:t>
                  </w:r>
                  <w:r>
                    <w:rPr>
                      <w:rFonts w:hint="eastAsia" w:ascii="宋体" w:hAnsi="宋体" w:eastAsia="宋体" w:cs="宋体"/>
                      <w:color w:val="000000"/>
                      <w:kern w:val="0"/>
                      <w:sz w:val="22"/>
                      <w:szCs w:val="22"/>
                      <w:lang w:eastAsia="zh-CN"/>
                    </w:rPr>
                    <w:t>。</w:t>
                  </w:r>
                </w:p>
              </w:tc>
            </w:tr>
            <w:tr w14:paraId="2D8F52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269893B8">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设备检测异常</w:t>
                  </w:r>
                </w:p>
              </w:tc>
              <w:tc>
                <w:tcPr>
                  <w:tcW w:w="3750" w:type="pct"/>
                  <w:shd w:val="clear" w:color="auto" w:fill="auto"/>
                  <w:vAlign w:val="center"/>
                </w:tcPr>
                <w:p w14:paraId="0D9428BA">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硬盘满</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硬盘错误</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网络断开</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IP地址冲突</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非法访问</w:t>
                  </w:r>
                  <w:r>
                    <w:rPr>
                      <w:rFonts w:hint="eastAsia" w:ascii="宋体" w:hAnsi="宋体" w:eastAsia="宋体" w:cs="宋体"/>
                      <w:color w:val="000000"/>
                      <w:kern w:val="0"/>
                      <w:sz w:val="22"/>
                      <w:szCs w:val="22"/>
                      <w:lang w:eastAsia="zh-CN"/>
                    </w:rPr>
                    <w:t>。</w:t>
                  </w:r>
                </w:p>
              </w:tc>
            </w:tr>
            <w:tr w14:paraId="191660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1D885F12">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码流类型</w:t>
                  </w:r>
                </w:p>
              </w:tc>
              <w:tc>
                <w:tcPr>
                  <w:tcW w:w="3750" w:type="pct"/>
                  <w:shd w:val="clear" w:color="auto" w:fill="auto"/>
                  <w:vAlign w:val="center"/>
                </w:tcPr>
                <w:p w14:paraId="372B0AB8">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主码流、子码流、第三码流</w:t>
                  </w:r>
                  <w:r>
                    <w:rPr>
                      <w:rFonts w:hint="eastAsia" w:ascii="宋体" w:hAnsi="宋体" w:eastAsia="宋体" w:cs="宋体"/>
                      <w:color w:val="000000"/>
                      <w:kern w:val="0"/>
                      <w:sz w:val="22"/>
                      <w:szCs w:val="22"/>
                      <w:lang w:eastAsia="zh-CN"/>
                    </w:rPr>
                    <w:t>。</w:t>
                  </w:r>
                </w:p>
              </w:tc>
            </w:tr>
            <w:tr w14:paraId="058356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0718566C">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主码流帧率分辨率</w:t>
                  </w:r>
                </w:p>
              </w:tc>
              <w:tc>
                <w:tcPr>
                  <w:tcW w:w="3750" w:type="pct"/>
                  <w:shd w:val="clear" w:color="auto" w:fill="auto"/>
                  <w:vAlign w:val="center"/>
                </w:tcPr>
                <w:p w14:paraId="59F27490">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50Hz：25fps（2560×1440，1920×1080，1280×960，1280×720）</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60Hz：30fps（2560×1440，1920×1080，1280×960，1280×720）</w:t>
                  </w:r>
                  <w:r>
                    <w:rPr>
                      <w:rFonts w:hint="eastAsia" w:ascii="宋体" w:hAnsi="宋体" w:eastAsia="宋体" w:cs="宋体"/>
                      <w:color w:val="000000"/>
                      <w:kern w:val="0"/>
                      <w:sz w:val="22"/>
                      <w:szCs w:val="22"/>
                      <w:lang w:eastAsia="zh-CN"/>
                    </w:rPr>
                    <w:t>。</w:t>
                  </w:r>
                </w:p>
              </w:tc>
            </w:tr>
            <w:tr w14:paraId="66B319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6303C14B">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视频压缩标准</w:t>
                  </w:r>
                </w:p>
              </w:tc>
              <w:tc>
                <w:tcPr>
                  <w:tcW w:w="3750" w:type="pct"/>
                  <w:shd w:val="clear" w:color="auto" w:fill="auto"/>
                  <w:vAlign w:val="center"/>
                </w:tcPr>
                <w:p w14:paraId="30DF2B39">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H.265，H.264，MJPEG</w:t>
                  </w:r>
                  <w:r>
                    <w:rPr>
                      <w:rFonts w:hint="eastAsia" w:ascii="宋体" w:hAnsi="宋体" w:eastAsia="宋体" w:cs="宋体"/>
                      <w:color w:val="000000"/>
                      <w:kern w:val="0"/>
                      <w:sz w:val="22"/>
                      <w:szCs w:val="22"/>
                      <w:lang w:eastAsia="zh-CN"/>
                    </w:rPr>
                    <w:t>。</w:t>
                  </w:r>
                </w:p>
              </w:tc>
            </w:tr>
            <w:tr w14:paraId="4A4D54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6AD840EC">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全结构化功能</w:t>
                  </w:r>
                </w:p>
              </w:tc>
              <w:tc>
                <w:tcPr>
                  <w:tcW w:w="3750" w:type="pct"/>
                  <w:shd w:val="clear" w:color="auto" w:fill="auto"/>
                  <w:vAlign w:val="center"/>
                </w:tcPr>
                <w:p w14:paraId="0E175D0A">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人脸结构化信息提取</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人体结构化信息提取</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车辆结构化信息提取</w:t>
                  </w:r>
                  <w:r>
                    <w:rPr>
                      <w:rFonts w:hint="eastAsia" w:ascii="宋体" w:hAnsi="宋体" w:eastAsia="宋体" w:cs="宋体"/>
                      <w:color w:val="000000"/>
                      <w:kern w:val="0"/>
                      <w:sz w:val="22"/>
                      <w:szCs w:val="22"/>
                      <w:lang w:eastAsia="zh-CN"/>
                    </w:rPr>
                    <w:t>。</w:t>
                  </w:r>
                </w:p>
              </w:tc>
            </w:tr>
            <w:tr w14:paraId="7E6CE5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0195FE02">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Smart录像</w:t>
                  </w:r>
                </w:p>
              </w:tc>
              <w:tc>
                <w:tcPr>
                  <w:tcW w:w="3750" w:type="pct"/>
                  <w:shd w:val="clear" w:color="auto" w:fill="auto"/>
                  <w:vAlign w:val="center"/>
                </w:tcPr>
                <w:p w14:paraId="638B203B">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智能后检索</w:t>
                  </w:r>
                  <w:r>
                    <w:rPr>
                      <w:rFonts w:hint="eastAsia" w:ascii="宋体" w:hAnsi="宋体" w:eastAsia="宋体" w:cs="宋体"/>
                      <w:color w:val="000000"/>
                      <w:kern w:val="0"/>
                      <w:sz w:val="22"/>
                      <w:szCs w:val="22"/>
                      <w:lang w:eastAsia="zh-CN"/>
                    </w:rPr>
                    <w:t>。</w:t>
                  </w:r>
                </w:p>
              </w:tc>
            </w:tr>
            <w:tr w14:paraId="2FEA29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5C17F584">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警戒功能</w:t>
                  </w:r>
                </w:p>
              </w:tc>
              <w:tc>
                <w:tcPr>
                  <w:tcW w:w="3750" w:type="pct"/>
                  <w:shd w:val="clear" w:color="auto" w:fill="auto"/>
                  <w:vAlign w:val="center"/>
                </w:tcPr>
                <w:p w14:paraId="09497BC3">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声光警戒</w:t>
                  </w:r>
                  <w:r>
                    <w:rPr>
                      <w:rFonts w:hint="eastAsia" w:ascii="宋体" w:hAnsi="宋体" w:eastAsia="宋体" w:cs="宋体"/>
                      <w:color w:val="000000"/>
                      <w:kern w:val="0"/>
                      <w:sz w:val="22"/>
                      <w:szCs w:val="22"/>
                      <w:lang w:eastAsia="zh-CN"/>
                    </w:rPr>
                    <w:t>。</w:t>
                  </w:r>
                </w:p>
              </w:tc>
            </w:tr>
            <w:tr w14:paraId="75B1F3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2A927603">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接口协议</w:t>
                  </w:r>
                </w:p>
              </w:tc>
              <w:tc>
                <w:tcPr>
                  <w:tcW w:w="3750" w:type="pct"/>
                  <w:shd w:val="clear" w:color="auto" w:fill="auto"/>
                  <w:vAlign w:val="center"/>
                </w:tcPr>
                <w:p w14:paraId="6860947E">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软件集成的开放式API，ISAPI，SDK，开放型网络视频接口，GB/T 28181协议，视图库</w:t>
                  </w:r>
                  <w:r>
                    <w:rPr>
                      <w:rFonts w:hint="eastAsia" w:ascii="宋体" w:hAnsi="宋体" w:eastAsia="宋体" w:cs="宋体"/>
                      <w:color w:val="000000"/>
                      <w:kern w:val="0"/>
                      <w:sz w:val="22"/>
                      <w:szCs w:val="22"/>
                      <w:lang w:eastAsia="zh-CN"/>
                    </w:rPr>
                    <w:t>。</w:t>
                  </w:r>
                </w:p>
              </w:tc>
            </w:tr>
            <w:tr w14:paraId="235051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2358944D">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最大取流路数</w:t>
                  </w:r>
                </w:p>
              </w:tc>
              <w:tc>
                <w:tcPr>
                  <w:tcW w:w="3750" w:type="pct"/>
                  <w:shd w:val="clear" w:color="auto" w:fill="auto"/>
                  <w:vAlign w:val="center"/>
                </w:tcPr>
                <w:p w14:paraId="414C0C87">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≥20路</w:t>
                  </w:r>
                  <w:r>
                    <w:rPr>
                      <w:rFonts w:hint="eastAsia" w:ascii="宋体" w:hAnsi="宋体" w:eastAsia="宋体" w:cs="宋体"/>
                      <w:color w:val="000000"/>
                      <w:kern w:val="0"/>
                      <w:sz w:val="22"/>
                      <w:szCs w:val="22"/>
                      <w:lang w:eastAsia="zh-CN"/>
                    </w:rPr>
                    <w:t>。</w:t>
                  </w:r>
                </w:p>
              </w:tc>
            </w:tr>
            <w:tr w14:paraId="46193B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5C77C43C">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用户管理</w:t>
                  </w:r>
                </w:p>
              </w:tc>
              <w:tc>
                <w:tcPr>
                  <w:tcW w:w="3750" w:type="pct"/>
                  <w:shd w:val="clear" w:color="auto" w:fill="auto"/>
                  <w:vAlign w:val="center"/>
                </w:tcPr>
                <w:p w14:paraId="2D6C1077">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≥32个</w:t>
                  </w:r>
                  <w:r>
                    <w:rPr>
                      <w:rFonts w:hint="eastAsia" w:ascii="宋体" w:hAnsi="宋体" w:eastAsia="宋体" w:cs="宋体"/>
                      <w:color w:val="000000"/>
                      <w:kern w:val="0"/>
                      <w:sz w:val="22"/>
                      <w:szCs w:val="22"/>
                      <w:lang w:eastAsia="zh-CN"/>
                    </w:rPr>
                    <w:t>。</w:t>
                  </w:r>
                </w:p>
              </w:tc>
            </w:tr>
            <w:tr w14:paraId="763364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75CD39C6">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安全管理</w:t>
                  </w:r>
                </w:p>
              </w:tc>
              <w:tc>
                <w:tcPr>
                  <w:tcW w:w="3750" w:type="pct"/>
                  <w:shd w:val="clear" w:color="auto" w:fill="auto"/>
                  <w:vAlign w:val="center"/>
                </w:tcPr>
                <w:p w14:paraId="423782B5">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授权的用户名和密码，以及MAC地址绑定，HTTPS加密，IEEE 802.1x网络访问控制，IP地址过滤</w:t>
                  </w:r>
                  <w:r>
                    <w:rPr>
                      <w:rFonts w:hint="eastAsia" w:ascii="宋体" w:hAnsi="宋体" w:eastAsia="宋体" w:cs="宋体"/>
                      <w:color w:val="000000"/>
                      <w:kern w:val="0"/>
                      <w:sz w:val="22"/>
                      <w:szCs w:val="22"/>
                      <w:lang w:eastAsia="zh-CN"/>
                    </w:rPr>
                    <w:t>。</w:t>
                  </w:r>
                </w:p>
              </w:tc>
            </w:tr>
            <w:tr w14:paraId="4E511B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588E7693">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日夜转换方式</w:t>
                  </w:r>
                </w:p>
              </w:tc>
              <w:tc>
                <w:tcPr>
                  <w:tcW w:w="3750" w:type="pct"/>
                  <w:shd w:val="clear" w:color="auto" w:fill="auto"/>
                  <w:vAlign w:val="center"/>
                </w:tcPr>
                <w:p w14:paraId="770B2E31">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白天</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夜晚</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自动</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定时</w:t>
                  </w:r>
                  <w:r>
                    <w:rPr>
                      <w:rFonts w:hint="eastAsia" w:ascii="宋体" w:hAnsi="宋体" w:eastAsia="宋体" w:cs="宋体"/>
                      <w:color w:val="000000"/>
                      <w:kern w:val="0"/>
                      <w:sz w:val="22"/>
                      <w:szCs w:val="22"/>
                      <w:lang w:eastAsia="zh-CN"/>
                    </w:rPr>
                    <w:t>。</w:t>
                  </w:r>
                </w:p>
              </w:tc>
            </w:tr>
            <w:tr w14:paraId="18801A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0E54D461">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图像增强</w:t>
                  </w:r>
                </w:p>
              </w:tc>
              <w:tc>
                <w:tcPr>
                  <w:tcW w:w="3750" w:type="pct"/>
                  <w:shd w:val="clear" w:color="auto" w:fill="auto"/>
                  <w:vAlign w:val="center"/>
                </w:tcPr>
                <w:p w14:paraId="0A78BF5B">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w:t>
                  </w:r>
                  <w:r>
                    <w:rPr>
                      <w:rFonts w:hint="eastAsia" w:ascii="宋体" w:hAnsi="宋体" w:eastAsia="宋体" w:cs="宋体"/>
                      <w:color w:val="000000"/>
                      <w:kern w:val="0"/>
                      <w:sz w:val="22"/>
                      <w:szCs w:val="22"/>
                      <w:lang w:eastAsia="zh-CN"/>
                    </w:rPr>
                    <w:t>。</w:t>
                  </w:r>
                </w:p>
              </w:tc>
            </w:tr>
            <w:tr w14:paraId="401105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173C8595">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宽动态</w:t>
                  </w:r>
                </w:p>
              </w:tc>
              <w:tc>
                <w:tcPr>
                  <w:tcW w:w="3750" w:type="pct"/>
                  <w:shd w:val="clear" w:color="auto" w:fill="auto"/>
                  <w:vAlign w:val="center"/>
                </w:tcPr>
                <w:p w14:paraId="7E6F36EA">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支持≥120dB超宽动态</w:t>
                  </w:r>
                  <w:r>
                    <w:rPr>
                      <w:rFonts w:hint="eastAsia" w:ascii="宋体" w:hAnsi="宋体" w:eastAsia="宋体" w:cs="宋体"/>
                      <w:color w:val="000000"/>
                      <w:kern w:val="0"/>
                      <w:sz w:val="22"/>
                      <w:szCs w:val="22"/>
                      <w:lang w:eastAsia="zh-CN"/>
                    </w:rPr>
                    <w:t>。</w:t>
                  </w:r>
                </w:p>
              </w:tc>
            </w:tr>
            <w:tr w14:paraId="2927C5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52F8C750">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透雾</w:t>
                  </w:r>
                </w:p>
              </w:tc>
              <w:tc>
                <w:tcPr>
                  <w:tcW w:w="3750" w:type="pct"/>
                  <w:shd w:val="clear" w:color="auto" w:fill="auto"/>
                  <w:vAlign w:val="center"/>
                </w:tcPr>
                <w:p w14:paraId="647D13F9">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w:t>
                  </w:r>
                  <w:r>
                    <w:rPr>
                      <w:rFonts w:hint="eastAsia" w:ascii="宋体" w:hAnsi="宋体" w:eastAsia="宋体" w:cs="宋体"/>
                      <w:color w:val="000000"/>
                      <w:kern w:val="0"/>
                      <w:sz w:val="22"/>
                      <w:szCs w:val="22"/>
                      <w:lang w:eastAsia="zh-CN"/>
                    </w:rPr>
                    <w:t>。</w:t>
                  </w:r>
                </w:p>
              </w:tc>
            </w:tr>
            <w:tr w14:paraId="5F7116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5C5E1490">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图像防抖</w:t>
                  </w:r>
                </w:p>
              </w:tc>
              <w:tc>
                <w:tcPr>
                  <w:tcW w:w="3750" w:type="pct"/>
                  <w:shd w:val="clear" w:color="auto" w:fill="auto"/>
                  <w:vAlign w:val="center"/>
                </w:tcPr>
                <w:p w14:paraId="16D6847F">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w:t>
                  </w:r>
                  <w:r>
                    <w:rPr>
                      <w:rFonts w:hint="eastAsia" w:ascii="宋体" w:hAnsi="宋体" w:eastAsia="宋体" w:cs="宋体"/>
                      <w:color w:val="000000"/>
                      <w:kern w:val="0"/>
                      <w:sz w:val="22"/>
                      <w:szCs w:val="22"/>
                      <w:lang w:eastAsia="zh-CN"/>
                    </w:rPr>
                    <w:t>。</w:t>
                  </w:r>
                </w:p>
              </w:tc>
            </w:tr>
            <w:tr w14:paraId="7C9F5A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215004F6">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区域曝光</w:t>
                  </w:r>
                </w:p>
              </w:tc>
              <w:tc>
                <w:tcPr>
                  <w:tcW w:w="3750" w:type="pct"/>
                  <w:shd w:val="clear" w:color="auto" w:fill="auto"/>
                  <w:vAlign w:val="center"/>
                </w:tcPr>
                <w:p w14:paraId="3DF00721">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w:t>
                  </w:r>
                  <w:r>
                    <w:rPr>
                      <w:rFonts w:hint="eastAsia" w:ascii="宋体" w:hAnsi="宋体" w:eastAsia="宋体" w:cs="宋体"/>
                      <w:color w:val="000000"/>
                      <w:kern w:val="0"/>
                      <w:sz w:val="22"/>
                      <w:szCs w:val="22"/>
                      <w:lang w:eastAsia="zh-CN"/>
                    </w:rPr>
                    <w:t>。</w:t>
                  </w:r>
                </w:p>
              </w:tc>
            </w:tr>
            <w:tr w14:paraId="47083C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7740E83A">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区域聚焦</w:t>
                  </w:r>
                </w:p>
              </w:tc>
              <w:tc>
                <w:tcPr>
                  <w:tcW w:w="3750" w:type="pct"/>
                  <w:shd w:val="clear" w:color="auto" w:fill="auto"/>
                  <w:vAlign w:val="center"/>
                </w:tcPr>
                <w:p w14:paraId="50AF808D">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【细节】支持</w:t>
                  </w:r>
                  <w:r>
                    <w:rPr>
                      <w:rFonts w:hint="eastAsia" w:ascii="宋体" w:hAnsi="宋体" w:eastAsia="宋体" w:cs="宋体"/>
                      <w:color w:val="000000"/>
                      <w:kern w:val="0"/>
                      <w:sz w:val="22"/>
                      <w:szCs w:val="22"/>
                      <w:lang w:eastAsia="zh-CN"/>
                    </w:rPr>
                    <w:t>。</w:t>
                  </w:r>
                </w:p>
              </w:tc>
            </w:tr>
            <w:tr w14:paraId="16A1E0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632AB305">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图像设置</w:t>
                  </w:r>
                </w:p>
              </w:tc>
              <w:tc>
                <w:tcPr>
                  <w:tcW w:w="3750" w:type="pct"/>
                  <w:shd w:val="clear" w:color="auto" w:fill="auto"/>
                  <w:vAlign w:val="center"/>
                </w:tcPr>
                <w:p w14:paraId="204272BE">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饱和度</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亮度</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对比度</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锐度</w:t>
                  </w:r>
                  <w:r>
                    <w:rPr>
                      <w:rFonts w:hint="eastAsia" w:ascii="宋体" w:hAnsi="宋体" w:eastAsia="宋体" w:cs="宋体"/>
                      <w:color w:val="000000"/>
                      <w:kern w:val="0"/>
                      <w:sz w:val="22"/>
                      <w:szCs w:val="22"/>
                      <w:lang w:eastAsia="zh-CN"/>
                    </w:rPr>
                    <w:t>。</w:t>
                  </w:r>
                </w:p>
              </w:tc>
            </w:tr>
            <w:tr w14:paraId="7890D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43556380">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图像参数切换</w:t>
                  </w:r>
                </w:p>
              </w:tc>
              <w:tc>
                <w:tcPr>
                  <w:tcW w:w="3750" w:type="pct"/>
                  <w:shd w:val="clear" w:color="auto" w:fill="auto"/>
                  <w:vAlign w:val="center"/>
                </w:tcPr>
                <w:p w14:paraId="4D06F4FB">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支持</w:t>
                  </w:r>
                </w:p>
              </w:tc>
            </w:tr>
            <w:tr w14:paraId="679740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37D92933">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隐私遮蔽</w:t>
                  </w:r>
                </w:p>
              </w:tc>
              <w:tc>
                <w:tcPr>
                  <w:tcW w:w="3750" w:type="pct"/>
                  <w:shd w:val="clear" w:color="auto" w:fill="auto"/>
                  <w:vAlign w:val="center"/>
                </w:tcPr>
                <w:p w14:paraId="5A7D1B6D">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【细节】≥24块，支持马赛克，支持多种颜色设置，四边形区域</w:t>
                  </w:r>
                  <w:r>
                    <w:rPr>
                      <w:rFonts w:hint="eastAsia" w:ascii="宋体" w:hAnsi="宋体" w:eastAsia="宋体" w:cs="宋体"/>
                      <w:color w:val="000000"/>
                      <w:kern w:val="0"/>
                      <w:sz w:val="22"/>
                      <w:szCs w:val="22"/>
                      <w:lang w:eastAsia="zh-CN"/>
                    </w:rPr>
                    <w:t>。</w:t>
                  </w:r>
                </w:p>
              </w:tc>
            </w:tr>
            <w:tr w14:paraId="33DC43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34BE1FA9">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信噪比</w:t>
                  </w:r>
                </w:p>
              </w:tc>
              <w:tc>
                <w:tcPr>
                  <w:tcW w:w="3750" w:type="pct"/>
                  <w:shd w:val="clear" w:color="auto" w:fill="auto"/>
                  <w:vAlign w:val="center"/>
                </w:tcPr>
                <w:p w14:paraId="51FC024D">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≥52dB</w:t>
                  </w:r>
                  <w:r>
                    <w:rPr>
                      <w:rFonts w:hint="eastAsia" w:ascii="宋体" w:hAnsi="宋体" w:eastAsia="宋体" w:cs="宋体"/>
                      <w:color w:val="000000"/>
                      <w:kern w:val="0"/>
                      <w:sz w:val="22"/>
                      <w:szCs w:val="22"/>
                      <w:lang w:eastAsia="zh-CN"/>
                    </w:rPr>
                    <w:t>。</w:t>
                  </w:r>
                </w:p>
              </w:tc>
            </w:tr>
            <w:tr w14:paraId="386640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16C973C0">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陀螺仪</w:t>
                  </w:r>
                </w:p>
              </w:tc>
              <w:tc>
                <w:tcPr>
                  <w:tcW w:w="3750" w:type="pct"/>
                  <w:shd w:val="clear" w:color="auto" w:fill="auto"/>
                  <w:vAlign w:val="center"/>
                </w:tcPr>
                <w:p w14:paraId="04195DF2">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w:t>
                  </w:r>
                  <w:r>
                    <w:rPr>
                      <w:rFonts w:hint="eastAsia" w:ascii="宋体" w:hAnsi="宋体" w:eastAsia="宋体" w:cs="宋体"/>
                      <w:color w:val="000000"/>
                      <w:kern w:val="0"/>
                      <w:sz w:val="22"/>
                      <w:szCs w:val="22"/>
                      <w:lang w:eastAsia="zh-CN"/>
                    </w:rPr>
                    <w:t>。</w:t>
                  </w:r>
                </w:p>
              </w:tc>
            </w:tr>
            <w:tr w14:paraId="4D32DA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10D01F3B">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网络接口</w:t>
                  </w:r>
                </w:p>
              </w:tc>
              <w:tc>
                <w:tcPr>
                  <w:tcW w:w="3750" w:type="pct"/>
                  <w:shd w:val="clear" w:color="auto" w:fill="auto"/>
                  <w:vAlign w:val="center"/>
                </w:tcPr>
                <w:p w14:paraId="3497175A">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支持100M网络数据，RJ45网口，自适应网络数据</w:t>
                  </w:r>
                  <w:r>
                    <w:rPr>
                      <w:rFonts w:hint="eastAsia" w:ascii="宋体" w:hAnsi="宋体" w:eastAsia="宋体" w:cs="宋体"/>
                      <w:color w:val="000000"/>
                      <w:kern w:val="0"/>
                      <w:sz w:val="22"/>
                      <w:szCs w:val="22"/>
                      <w:lang w:eastAsia="zh-CN"/>
                    </w:rPr>
                    <w:t>。</w:t>
                  </w:r>
                </w:p>
              </w:tc>
            </w:tr>
            <w:tr w14:paraId="68BA34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5959B2B0">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SD卡扩展</w:t>
                  </w:r>
                </w:p>
              </w:tc>
              <w:tc>
                <w:tcPr>
                  <w:tcW w:w="3750" w:type="pct"/>
                  <w:shd w:val="clear" w:color="auto" w:fill="auto"/>
                  <w:vAlign w:val="center"/>
                </w:tcPr>
                <w:p w14:paraId="497B1379">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内置Micro SD卡插槽，支持Micro SD/Micro SDHC/Micro SDXC卡，最大支持256G</w:t>
                  </w:r>
                  <w:r>
                    <w:rPr>
                      <w:rFonts w:hint="eastAsia" w:ascii="宋体" w:hAnsi="宋体" w:eastAsia="宋体" w:cs="宋体"/>
                      <w:color w:val="000000"/>
                      <w:kern w:val="0"/>
                      <w:sz w:val="22"/>
                      <w:szCs w:val="22"/>
                      <w:lang w:eastAsia="zh-CN"/>
                    </w:rPr>
                    <w:t>。</w:t>
                  </w:r>
                </w:p>
              </w:tc>
            </w:tr>
            <w:tr w14:paraId="443401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56D69D88">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普通事件</w:t>
                  </w:r>
                </w:p>
              </w:tc>
              <w:tc>
                <w:tcPr>
                  <w:tcW w:w="3750" w:type="pct"/>
                  <w:shd w:val="clear" w:color="auto" w:fill="auto"/>
                  <w:vAlign w:val="center"/>
                </w:tcPr>
                <w:p w14:paraId="30857E7C">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音频异常侦测</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视频遮挡侦测</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报警输入</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报警输出</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异常</w:t>
                  </w:r>
                  <w:r>
                    <w:rPr>
                      <w:rFonts w:hint="eastAsia" w:ascii="宋体" w:hAnsi="宋体" w:eastAsia="宋体" w:cs="宋体"/>
                      <w:color w:val="000000"/>
                      <w:kern w:val="0"/>
                      <w:sz w:val="22"/>
                      <w:szCs w:val="22"/>
                      <w:lang w:eastAsia="zh-CN"/>
                    </w:rPr>
                    <w:t>。</w:t>
                  </w:r>
                </w:p>
              </w:tc>
            </w:tr>
            <w:tr w14:paraId="34C3F8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069E0E50">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Smart事件</w:t>
                  </w:r>
                </w:p>
              </w:tc>
              <w:tc>
                <w:tcPr>
                  <w:tcW w:w="3750" w:type="pct"/>
                  <w:shd w:val="clear" w:color="auto" w:fill="auto"/>
                  <w:vAlign w:val="center"/>
                </w:tcPr>
                <w:p w14:paraId="3F53DEE1">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越界侦测</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进入区域侦测</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区域入侵侦测</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离开区域侦测</w:t>
                  </w:r>
                  <w:r>
                    <w:rPr>
                      <w:rFonts w:hint="eastAsia" w:ascii="宋体" w:hAnsi="宋体" w:eastAsia="宋体" w:cs="宋体"/>
                      <w:color w:val="000000"/>
                      <w:kern w:val="0"/>
                      <w:sz w:val="22"/>
                      <w:szCs w:val="22"/>
                      <w:lang w:eastAsia="zh-CN"/>
                    </w:rPr>
                    <w:t>。</w:t>
                  </w:r>
                </w:p>
              </w:tc>
            </w:tr>
            <w:tr w14:paraId="2F6B7E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767751FA">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Smart跟踪</w:t>
                  </w:r>
                </w:p>
              </w:tc>
              <w:tc>
                <w:tcPr>
                  <w:tcW w:w="3750" w:type="pct"/>
                  <w:shd w:val="clear" w:color="auto" w:fill="auto"/>
                  <w:vAlign w:val="center"/>
                </w:tcPr>
                <w:p w14:paraId="6AE2D518">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手动跟踪</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全景跟踪</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事件跟踪</w:t>
                  </w:r>
                  <w:r>
                    <w:rPr>
                      <w:rFonts w:hint="eastAsia" w:ascii="宋体" w:hAnsi="宋体" w:eastAsia="宋体" w:cs="宋体"/>
                      <w:color w:val="000000"/>
                      <w:kern w:val="0"/>
                      <w:sz w:val="22"/>
                      <w:szCs w:val="22"/>
                      <w:lang w:eastAsia="zh-CN"/>
                    </w:rPr>
                    <w:t>。</w:t>
                  </w:r>
                </w:p>
              </w:tc>
            </w:tr>
            <w:tr w14:paraId="4A52CE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63988ACD">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报警联动</w:t>
                  </w:r>
                </w:p>
              </w:tc>
              <w:tc>
                <w:tcPr>
                  <w:tcW w:w="3750" w:type="pct"/>
                  <w:shd w:val="clear" w:color="auto" w:fill="auto"/>
                  <w:vAlign w:val="center"/>
                </w:tcPr>
                <w:p w14:paraId="56D39A08">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预置点</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巡航扫描</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花样扫描</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报警输出</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邮件</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上传中心</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上传FTP</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 xml:space="preserve"> SD卡录像</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NAS</w:t>
                  </w:r>
                  <w:r>
                    <w:rPr>
                      <w:rFonts w:hint="eastAsia" w:ascii="宋体" w:hAnsi="宋体" w:eastAsia="宋体" w:cs="宋体"/>
                      <w:color w:val="000000"/>
                      <w:kern w:val="0"/>
                      <w:sz w:val="22"/>
                      <w:szCs w:val="22"/>
                      <w:lang w:eastAsia="zh-CN"/>
                    </w:rPr>
                    <w:t>。</w:t>
                  </w:r>
                </w:p>
              </w:tc>
            </w:tr>
            <w:tr w14:paraId="330C10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3F4FB430">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混合目标检测</w:t>
                  </w:r>
                </w:p>
              </w:tc>
              <w:tc>
                <w:tcPr>
                  <w:tcW w:w="3750" w:type="pct"/>
                  <w:shd w:val="clear" w:color="auto" w:fill="auto"/>
                  <w:vAlign w:val="center"/>
                </w:tcPr>
                <w:p w14:paraId="010ED31F">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【细节】支持混合目标检测及抓拍，可对人体、人脸、车辆进行检测</w:t>
                  </w:r>
                  <w:r>
                    <w:rPr>
                      <w:rFonts w:hint="eastAsia" w:ascii="宋体" w:hAnsi="宋体" w:eastAsia="宋体" w:cs="宋体"/>
                      <w:color w:val="000000"/>
                      <w:kern w:val="0"/>
                      <w:sz w:val="22"/>
                      <w:szCs w:val="22"/>
                      <w:lang w:eastAsia="zh-CN"/>
                    </w:rPr>
                    <w:t>。</w:t>
                  </w:r>
                </w:p>
              </w:tc>
            </w:tr>
            <w:tr w14:paraId="28C159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02BB7133">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违章取证</w:t>
                  </w:r>
                </w:p>
              </w:tc>
              <w:tc>
                <w:tcPr>
                  <w:tcW w:w="3750" w:type="pct"/>
                  <w:shd w:val="clear" w:color="auto" w:fill="auto"/>
                  <w:vAlign w:val="center"/>
                </w:tcPr>
                <w:p w14:paraId="42719CA6">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【细节】违停、逆行、压线、变道、机占非、掉头</w:t>
                  </w:r>
                  <w:r>
                    <w:rPr>
                      <w:rFonts w:hint="eastAsia" w:ascii="宋体" w:hAnsi="宋体" w:eastAsia="宋体" w:cs="宋体"/>
                      <w:color w:val="000000"/>
                      <w:kern w:val="0"/>
                      <w:sz w:val="22"/>
                      <w:szCs w:val="22"/>
                      <w:lang w:eastAsia="zh-CN"/>
                    </w:rPr>
                    <w:t>。</w:t>
                  </w:r>
                </w:p>
              </w:tc>
            </w:tr>
            <w:tr w14:paraId="355B49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33260155">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电源</w:t>
                  </w:r>
                </w:p>
              </w:tc>
              <w:tc>
                <w:tcPr>
                  <w:tcW w:w="3750" w:type="pct"/>
                  <w:shd w:val="clear" w:color="auto" w:fill="auto"/>
                  <w:vAlign w:val="center"/>
                </w:tcPr>
                <w:p w14:paraId="319D03C5">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DC36V/2.5A</w:t>
                  </w:r>
                  <w:r>
                    <w:rPr>
                      <w:rFonts w:hint="eastAsia" w:ascii="宋体" w:hAnsi="宋体" w:eastAsia="宋体" w:cs="宋体"/>
                      <w:color w:val="000000"/>
                      <w:kern w:val="0"/>
                      <w:sz w:val="22"/>
                      <w:szCs w:val="22"/>
                      <w:lang w:eastAsia="zh-CN"/>
                    </w:rPr>
                    <w:t>。</w:t>
                  </w:r>
                </w:p>
              </w:tc>
            </w:tr>
            <w:tr w14:paraId="39B33C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2DC4ED05">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电源接口类型</w:t>
                  </w:r>
                </w:p>
              </w:tc>
              <w:tc>
                <w:tcPr>
                  <w:tcW w:w="3750" w:type="pct"/>
                  <w:shd w:val="clear" w:color="auto" w:fill="auto"/>
                  <w:vAlign w:val="center"/>
                </w:tcPr>
                <w:p w14:paraId="7974F06A">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直流供电</w:t>
                  </w:r>
                  <w:r>
                    <w:rPr>
                      <w:rFonts w:hint="eastAsia" w:ascii="宋体" w:hAnsi="宋体" w:eastAsia="宋体" w:cs="宋体"/>
                      <w:color w:val="000000"/>
                      <w:kern w:val="0"/>
                      <w:sz w:val="22"/>
                      <w:szCs w:val="22"/>
                      <w:lang w:eastAsia="zh-CN"/>
                    </w:rPr>
                    <w:t>。</w:t>
                  </w:r>
                </w:p>
              </w:tc>
            </w:tr>
            <w:tr w14:paraId="7E04EB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55A3FFC7">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工作温湿度</w:t>
                  </w:r>
                </w:p>
              </w:tc>
              <w:tc>
                <w:tcPr>
                  <w:tcW w:w="3750" w:type="pct"/>
                  <w:shd w:val="clear" w:color="auto" w:fill="auto"/>
                  <w:vAlign w:val="center"/>
                </w:tcPr>
                <w:p w14:paraId="3E220B9F">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-40 ℃～70 ℃；湿度小于95%</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 xml:space="preserve">喇叭温度-30 ℃～55 ℃ </w:t>
                  </w:r>
                  <w:r>
                    <w:rPr>
                      <w:rFonts w:hint="eastAsia" w:ascii="宋体" w:hAnsi="宋体" w:eastAsia="宋体" w:cs="宋体"/>
                      <w:color w:val="000000"/>
                      <w:kern w:val="0"/>
                      <w:sz w:val="22"/>
                      <w:szCs w:val="22"/>
                      <w:lang w:eastAsia="zh-CN"/>
                    </w:rPr>
                    <w:t>。</w:t>
                  </w:r>
                </w:p>
              </w:tc>
            </w:tr>
            <w:tr w14:paraId="229798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14218599">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功耗</w:t>
                  </w:r>
                </w:p>
              </w:tc>
              <w:tc>
                <w:tcPr>
                  <w:tcW w:w="3750" w:type="pct"/>
                  <w:shd w:val="clear" w:color="auto" w:fill="auto"/>
                  <w:vAlign w:val="center"/>
                </w:tcPr>
                <w:p w14:paraId="6B89F03C">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≤60W</w:t>
                  </w:r>
                  <w:r>
                    <w:rPr>
                      <w:rFonts w:hint="eastAsia" w:ascii="宋体" w:hAnsi="宋体" w:eastAsia="宋体" w:cs="宋体"/>
                      <w:color w:val="000000"/>
                      <w:kern w:val="0"/>
                      <w:sz w:val="22"/>
                      <w:szCs w:val="22"/>
                      <w:lang w:eastAsia="zh-CN"/>
                    </w:rPr>
                    <w:t>。</w:t>
                  </w:r>
                </w:p>
              </w:tc>
            </w:tr>
            <w:tr w14:paraId="2275CA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562EC022">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防护</w:t>
                  </w:r>
                </w:p>
              </w:tc>
              <w:tc>
                <w:tcPr>
                  <w:tcW w:w="3750" w:type="pct"/>
                  <w:shd w:val="clear" w:color="auto" w:fill="auto"/>
                  <w:vAlign w:val="center"/>
                </w:tcPr>
                <w:p w14:paraId="1FF53BA4">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≥IP66； 6000V 防雷、防浪涌、防突波，符合GB/T17626.2/3/4/5/6四级标准</w:t>
                  </w:r>
                  <w:r>
                    <w:rPr>
                      <w:rFonts w:hint="eastAsia" w:ascii="宋体" w:hAnsi="宋体" w:eastAsia="宋体" w:cs="宋体"/>
                      <w:color w:val="000000"/>
                      <w:kern w:val="0"/>
                      <w:sz w:val="22"/>
                      <w:szCs w:val="22"/>
                      <w:lang w:eastAsia="zh-CN"/>
                    </w:rPr>
                    <w:t>。</w:t>
                  </w:r>
                </w:p>
              </w:tc>
            </w:tr>
            <w:tr w14:paraId="09FA77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2" w:hRule="atLeast"/>
                <w:jc w:val="center"/>
              </w:trPr>
              <w:tc>
                <w:tcPr>
                  <w:tcW w:w="1249" w:type="pct"/>
                  <w:shd w:val="clear" w:color="auto" w:fill="auto"/>
                  <w:noWrap/>
                  <w:vAlign w:val="center"/>
                </w:tcPr>
                <w:p w14:paraId="47EB5CF9">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安全要求</w:t>
                  </w:r>
                </w:p>
              </w:tc>
              <w:tc>
                <w:tcPr>
                  <w:tcW w:w="3750" w:type="pct"/>
                  <w:shd w:val="clear" w:color="auto" w:fill="auto"/>
                  <w:vAlign w:val="center"/>
                </w:tcPr>
                <w:p w14:paraId="538CAAE7">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至少</w:t>
                  </w:r>
                  <w:r>
                    <w:rPr>
                      <w:rFonts w:hint="eastAsia" w:ascii="宋体" w:hAnsi="宋体" w:eastAsia="宋体" w:cs="宋体"/>
                      <w:color w:val="000000"/>
                      <w:kern w:val="0"/>
                      <w:sz w:val="22"/>
                      <w:szCs w:val="22"/>
                      <w:lang w:val="en-US" w:eastAsia="zh-CN"/>
                    </w:rPr>
                    <w:t>同时</w:t>
                  </w:r>
                  <w:r>
                    <w:rPr>
                      <w:rFonts w:hint="eastAsia" w:ascii="宋体" w:hAnsi="宋体" w:eastAsia="宋体" w:cs="宋体"/>
                      <w:color w:val="000000"/>
                      <w:kern w:val="0"/>
                      <w:sz w:val="22"/>
                      <w:szCs w:val="22"/>
                    </w:rPr>
                    <w:t>符合GB 35114的A级规定</w:t>
                  </w:r>
                  <w:r>
                    <w:rPr>
                      <w:rFonts w:hint="eastAsia" w:ascii="宋体" w:hAnsi="宋体" w:eastAsia="宋体" w:cs="宋体"/>
                      <w:color w:val="000000"/>
                      <w:kern w:val="0"/>
                      <w:sz w:val="22"/>
                      <w:szCs w:val="22"/>
                      <w:lang w:val="en-US" w:eastAsia="zh-CN"/>
                    </w:rPr>
                    <w:t>和</w:t>
                  </w:r>
                  <w:r>
                    <w:rPr>
                      <w:rFonts w:hint="eastAsia" w:ascii="宋体" w:hAnsi="宋体" w:eastAsia="宋体" w:cs="宋体"/>
                      <w:color w:val="000000"/>
                      <w:kern w:val="0"/>
                      <w:sz w:val="22"/>
                      <w:szCs w:val="22"/>
                    </w:rPr>
                    <w:t>GA/T 17882的增强型I级规定</w:t>
                  </w:r>
                  <w:r>
                    <w:rPr>
                      <w:rFonts w:hint="eastAsia" w:ascii="宋体" w:hAnsi="宋体" w:eastAsia="宋体" w:cs="宋体"/>
                      <w:color w:val="000000"/>
                      <w:kern w:val="0"/>
                      <w:sz w:val="22"/>
                      <w:szCs w:val="22"/>
                      <w:lang w:eastAsia="zh-CN"/>
                    </w:rPr>
                    <w:t>。</w:t>
                  </w:r>
                </w:p>
              </w:tc>
            </w:tr>
          </w:tbl>
          <w:p w14:paraId="61A5FE6E">
            <w:pPr>
              <w:pageBreakBefore w:val="0"/>
              <w:numPr>
                <w:ilvl w:val="0"/>
                <w:numId w:val="0"/>
              </w:numPr>
              <w:kinsoku/>
              <w:wordWrap/>
              <w:overflowPunct/>
              <w:autoSpaceDE/>
              <w:autoSpaceDN/>
              <w:bidi w:val="0"/>
              <w:snapToGrid/>
              <w:spacing w:beforeAutospacing="0" w:afterAutospacing="0" w:line="360" w:lineRule="auto"/>
              <w:ind w:left="0" w:leftChars="0" w:firstLine="440" w:firstLineChars="200"/>
              <w:rPr>
                <w:rFonts w:hint="eastAsia" w:ascii="宋体" w:hAnsi="宋体" w:eastAsia="宋体" w:cs="宋体"/>
                <w:color w:val="auto"/>
                <w:sz w:val="22"/>
                <w:szCs w:val="22"/>
                <w:highlight w:val="none"/>
                <w:lang w:eastAsia="zh-CN"/>
              </w:rPr>
            </w:pPr>
          </w:p>
        </w:tc>
        <w:tc>
          <w:tcPr>
            <w:tcW w:w="1208" w:type="dxa"/>
          </w:tcPr>
          <w:p w14:paraId="54ECC3ED">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71C21075">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67D843ED">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2CAC7792">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7A261BF2">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161F1D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9" w:hRule="atLeast"/>
        </w:trPr>
        <w:tc>
          <w:tcPr>
            <w:tcW w:w="530" w:type="dxa"/>
            <w:vAlign w:val="center"/>
          </w:tcPr>
          <w:p w14:paraId="642F7F51">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w:t>
            </w:r>
          </w:p>
        </w:tc>
        <w:tc>
          <w:tcPr>
            <w:tcW w:w="660" w:type="dxa"/>
          </w:tcPr>
          <w:p w14:paraId="1786E8C1">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16E8CF5C">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11180421">
            <w:pPr>
              <w:pStyle w:val="4"/>
              <w:pageBreakBefore w:val="0"/>
              <w:numPr>
                <w:ilvl w:val="1"/>
                <w:numId w:val="0"/>
              </w:numPr>
              <w:shd w:val="clear"/>
              <w:kinsoku/>
              <w:wordWrap/>
              <w:overflowPunct/>
              <w:topLinePunct w:val="0"/>
              <w:autoSpaceDE/>
              <w:autoSpaceDN/>
              <w:bidi w:val="0"/>
              <w:adjustRightInd/>
              <w:snapToGrid/>
              <w:spacing w:before="0" w:line="360" w:lineRule="auto"/>
              <w:ind w:left="0" w:leftChars="0" w:firstLine="0" w:firstLineChars="0"/>
              <w:textAlignment w:val="auto"/>
              <w:rPr>
                <w:rFonts w:hint="eastAsia" w:ascii="宋体" w:hAnsi="宋体" w:eastAsia="宋体" w:cs="宋体"/>
                <w:sz w:val="22"/>
                <w:szCs w:val="22"/>
              </w:rPr>
            </w:pPr>
            <w:bookmarkStart w:id="38" w:name="_Toc173501811"/>
            <w:r>
              <w:rPr>
                <w:rFonts w:hint="eastAsia" w:ascii="宋体" w:hAnsi="宋体" w:eastAsia="宋体" w:cs="宋体"/>
                <w:b/>
                <w:bCs/>
                <w:kern w:val="2"/>
                <w:sz w:val="22"/>
                <w:szCs w:val="22"/>
                <w:lang w:val="en-US" w:eastAsia="zh-CN" w:bidi="ar-SA"/>
              </w:rPr>
              <w:t>（六）</w:t>
            </w:r>
            <w:r>
              <w:rPr>
                <w:rFonts w:hint="eastAsia" w:ascii="宋体" w:hAnsi="宋体" w:eastAsia="宋体" w:cs="宋体"/>
                <w:b/>
                <w:bCs w:val="0"/>
                <w:sz w:val="22"/>
                <w:szCs w:val="22"/>
              </w:rPr>
              <w:t>交通灯信号检测器</w:t>
            </w:r>
            <w:bookmarkEnd w:id="38"/>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984"/>
              <w:gridCol w:w="6026"/>
            </w:tblGrid>
            <w:tr w14:paraId="794E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39" w:type="pct"/>
                  <w:shd w:val="clear" w:color="auto" w:fill="auto"/>
                  <w:vAlign w:val="center"/>
                </w:tcPr>
                <w:p w14:paraId="1431612B">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项目</w:t>
                  </w:r>
                </w:p>
              </w:tc>
              <w:tc>
                <w:tcPr>
                  <w:tcW w:w="3760" w:type="pct"/>
                  <w:shd w:val="clear" w:color="auto" w:fill="auto"/>
                  <w:vAlign w:val="center"/>
                </w:tcPr>
                <w:p w14:paraId="04BAE387">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参数描述</w:t>
                  </w:r>
                </w:p>
              </w:tc>
            </w:tr>
            <w:tr w14:paraId="496E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239" w:type="pct"/>
                  <w:shd w:val="clear" w:color="auto" w:fill="auto"/>
                  <w:vAlign w:val="center"/>
                </w:tcPr>
                <w:p w14:paraId="75EFF3F8">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信号灯交流信号输入接口</w:t>
                  </w:r>
                </w:p>
              </w:tc>
              <w:tc>
                <w:tcPr>
                  <w:tcW w:w="3760" w:type="pct"/>
                  <w:shd w:val="clear" w:color="auto" w:fill="auto"/>
                  <w:vAlign w:val="center"/>
                </w:tcPr>
                <w:p w14:paraId="3ABA6A38">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≥16路</w:t>
                  </w:r>
                  <w:r>
                    <w:rPr>
                      <w:rFonts w:hint="eastAsia" w:ascii="宋体" w:hAnsi="宋体" w:eastAsia="宋体" w:cs="宋体"/>
                      <w:color w:val="000000"/>
                      <w:kern w:val="0"/>
                      <w:sz w:val="22"/>
                      <w:szCs w:val="22"/>
                      <w:lang w:eastAsia="zh-CN"/>
                    </w:rPr>
                    <w:t>。</w:t>
                  </w:r>
                </w:p>
              </w:tc>
            </w:tr>
            <w:tr w14:paraId="1B46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239" w:type="pct"/>
                  <w:shd w:val="clear" w:color="auto" w:fill="auto"/>
                  <w:vAlign w:val="center"/>
                </w:tcPr>
                <w:p w14:paraId="325B63D5">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RS485输出接口</w:t>
                  </w:r>
                </w:p>
              </w:tc>
              <w:tc>
                <w:tcPr>
                  <w:tcW w:w="3760" w:type="pct"/>
                  <w:shd w:val="clear" w:color="auto" w:fill="auto"/>
                  <w:vAlign w:val="center"/>
                </w:tcPr>
                <w:p w14:paraId="25FB5653">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≥6个</w:t>
                  </w:r>
                  <w:r>
                    <w:rPr>
                      <w:rFonts w:hint="eastAsia" w:ascii="宋体" w:hAnsi="宋体" w:eastAsia="宋体" w:cs="宋体"/>
                      <w:color w:val="000000"/>
                      <w:kern w:val="0"/>
                      <w:sz w:val="22"/>
                      <w:szCs w:val="22"/>
                      <w:lang w:eastAsia="zh-CN"/>
                    </w:rPr>
                    <w:t>。</w:t>
                  </w:r>
                </w:p>
              </w:tc>
            </w:tr>
            <w:tr w14:paraId="0C06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239" w:type="pct"/>
                  <w:shd w:val="clear" w:color="auto" w:fill="auto"/>
                  <w:vAlign w:val="center"/>
                </w:tcPr>
                <w:p w14:paraId="0683E85B">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DC输出接口</w:t>
                  </w:r>
                </w:p>
              </w:tc>
              <w:tc>
                <w:tcPr>
                  <w:tcW w:w="3760" w:type="pct"/>
                  <w:shd w:val="clear" w:color="auto" w:fill="auto"/>
                  <w:vAlign w:val="center"/>
                </w:tcPr>
                <w:p w14:paraId="481562AA">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≥1个5V DC输出接口</w:t>
                  </w:r>
                  <w:r>
                    <w:rPr>
                      <w:rFonts w:hint="eastAsia" w:ascii="宋体" w:hAnsi="宋体" w:eastAsia="宋体" w:cs="宋体"/>
                      <w:color w:val="000000"/>
                      <w:kern w:val="0"/>
                      <w:sz w:val="22"/>
                      <w:szCs w:val="22"/>
                      <w:lang w:eastAsia="zh-CN"/>
                    </w:rPr>
                    <w:t>。</w:t>
                  </w:r>
                </w:p>
              </w:tc>
            </w:tr>
            <w:tr w14:paraId="3A9DB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239" w:type="pct"/>
                  <w:shd w:val="clear" w:color="auto" w:fill="auto"/>
                  <w:vAlign w:val="center"/>
                </w:tcPr>
                <w:p w14:paraId="0E5E87D9">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拨码开关</w:t>
                  </w:r>
                </w:p>
              </w:tc>
              <w:tc>
                <w:tcPr>
                  <w:tcW w:w="3760" w:type="pct"/>
                  <w:shd w:val="clear" w:color="auto" w:fill="auto"/>
                  <w:vAlign w:val="center"/>
                </w:tcPr>
                <w:p w14:paraId="6AF8321F">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≥5路，用来设置波特率、地址和上传模式</w:t>
                  </w:r>
                  <w:r>
                    <w:rPr>
                      <w:rFonts w:hint="eastAsia" w:ascii="宋体" w:hAnsi="宋体" w:eastAsia="宋体" w:cs="宋体"/>
                      <w:color w:val="000000"/>
                      <w:kern w:val="0"/>
                      <w:sz w:val="22"/>
                      <w:szCs w:val="22"/>
                      <w:lang w:eastAsia="zh-CN"/>
                    </w:rPr>
                    <w:t>。</w:t>
                  </w:r>
                </w:p>
              </w:tc>
            </w:tr>
            <w:tr w14:paraId="6CC7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239" w:type="pct"/>
                  <w:shd w:val="clear" w:color="auto" w:fill="auto"/>
                  <w:vAlign w:val="center"/>
                </w:tcPr>
                <w:p w14:paraId="3DB19565">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交通灯状态指示灯</w:t>
                  </w:r>
                </w:p>
              </w:tc>
              <w:tc>
                <w:tcPr>
                  <w:tcW w:w="3760" w:type="pct"/>
                  <w:shd w:val="clear" w:color="auto" w:fill="auto"/>
                  <w:vAlign w:val="center"/>
                </w:tcPr>
                <w:p w14:paraId="524B1589">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≥16路</w:t>
                  </w:r>
                  <w:r>
                    <w:rPr>
                      <w:rFonts w:hint="eastAsia" w:ascii="宋体" w:hAnsi="宋体" w:eastAsia="宋体" w:cs="宋体"/>
                      <w:color w:val="000000"/>
                      <w:kern w:val="0"/>
                      <w:sz w:val="22"/>
                      <w:szCs w:val="22"/>
                      <w:lang w:eastAsia="zh-CN"/>
                    </w:rPr>
                    <w:t>。</w:t>
                  </w:r>
                </w:p>
              </w:tc>
            </w:tr>
            <w:tr w14:paraId="6DF2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239" w:type="pct"/>
                  <w:shd w:val="clear" w:color="auto" w:fill="auto"/>
                  <w:vAlign w:val="center"/>
                </w:tcPr>
                <w:p w14:paraId="0D5DD133">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检测电压范围</w:t>
                  </w:r>
                </w:p>
              </w:tc>
              <w:tc>
                <w:tcPr>
                  <w:tcW w:w="3760" w:type="pct"/>
                  <w:shd w:val="clear" w:color="auto" w:fill="auto"/>
                  <w:vAlign w:val="center"/>
                </w:tcPr>
                <w:p w14:paraId="5FFE0E5C">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140VAC～270VAC，50Hz/60Hz</w:t>
                  </w:r>
                  <w:r>
                    <w:rPr>
                      <w:rFonts w:hint="eastAsia" w:ascii="宋体" w:hAnsi="宋体" w:eastAsia="宋体" w:cs="宋体"/>
                      <w:color w:val="000000"/>
                      <w:kern w:val="0"/>
                      <w:sz w:val="22"/>
                      <w:szCs w:val="22"/>
                      <w:lang w:eastAsia="zh-CN"/>
                    </w:rPr>
                    <w:t>。</w:t>
                  </w:r>
                </w:p>
              </w:tc>
            </w:tr>
            <w:tr w14:paraId="60C79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239" w:type="pct"/>
                  <w:shd w:val="clear" w:color="auto" w:fill="auto"/>
                  <w:vAlign w:val="center"/>
                </w:tcPr>
                <w:p w14:paraId="19C97521">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工作电压</w:t>
                  </w:r>
                </w:p>
              </w:tc>
              <w:tc>
                <w:tcPr>
                  <w:tcW w:w="3760" w:type="pct"/>
                  <w:shd w:val="clear" w:color="auto" w:fill="auto"/>
                  <w:vAlign w:val="center"/>
                </w:tcPr>
                <w:p w14:paraId="0549AC83">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220VAC@50Hz/60Hz，100VAC～240VAC能够正常工作</w:t>
                  </w:r>
                  <w:r>
                    <w:rPr>
                      <w:rFonts w:hint="eastAsia" w:ascii="宋体" w:hAnsi="宋体" w:eastAsia="宋体" w:cs="宋体"/>
                      <w:color w:val="000000"/>
                      <w:kern w:val="0"/>
                      <w:sz w:val="22"/>
                      <w:szCs w:val="22"/>
                      <w:lang w:eastAsia="zh-CN"/>
                    </w:rPr>
                    <w:t>。</w:t>
                  </w:r>
                </w:p>
              </w:tc>
            </w:tr>
            <w:tr w14:paraId="6F972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239" w:type="pct"/>
                  <w:shd w:val="clear" w:color="auto" w:fill="auto"/>
                  <w:vAlign w:val="center"/>
                </w:tcPr>
                <w:p w14:paraId="47D134D8">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功耗</w:t>
                  </w:r>
                </w:p>
              </w:tc>
              <w:tc>
                <w:tcPr>
                  <w:tcW w:w="3760" w:type="pct"/>
                  <w:shd w:val="clear" w:color="auto" w:fill="auto"/>
                  <w:vAlign w:val="center"/>
                </w:tcPr>
                <w:p w14:paraId="20071AAB">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≤5W</w:t>
                  </w:r>
                  <w:r>
                    <w:rPr>
                      <w:rFonts w:hint="eastAsia" w:ascii="宋体" w:hAnsi="宋体" w:eastAsia="宋体" w:cs="宋体"/>
                      <w:color w:val="000000"/>
                      <w:kern w:val="0"/>
                      <w:sz w:val="22"/>
                      <w:szCs w:val="22"/>
                      <w:lang w:eastAsia="zh-CN"/>
                    </w:rPr>
                    <w:t>。</w:t>
                  </w:r>
                </w:p>
              </w:tc>
            </w:tr>
            <w:tr w14:paraId="212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239" w:type="pct"/>
                  <w:shd w:val="clear" w:color="auto" w:fill="auto"/>
                  <w:vAlign w:val="center"/>
                </w:tcPr>
                <w:p w14:paraId="5F37FD62">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工作环境温度</w:t>
                  </w:r>
                </w:p>
              </w:tc>
              <w:tc>
                <w:tcPr>
                  <w:tcW w:w="3760" w:type="pct"/>
                  <w:shd w:val="clear" w:color="auto" w:fill="auto"/>
                  <w:vAlign w:val="center"/>
                </w:tcPr>
                <w:p w14:paraId="51B1D816">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-30℃～+70℃</w:t>
                  </w:r>
                  <w:r>
                    <w:rPr>
                      <w:rFonts w:hint="eastAsia" w:ascii="宋体" w:hAnsi="宋体" w:eastAsia="宋体" w:cs="宋体"/>
                      <w:color w:val="000000"/>
                      <w:kern w:val="0"/>
                      <w:sz w:val="22"/>
                      <w:szCs w:val="22"/>
                      <w:lang w:eastAsia="zh-CN"/>
                    </w:rPr>
                    <w:t>。</w:t>
                  </w:r>
                </w:p>
              </w:tc>
            </w:tr>
            <w:tr w14:paraId="6E6BD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239" w:type="pct"/>
                  <w:shd w:val="clear" w:color="auto" w:fill="auto"/>
                  <w:vAlign w:val="center"/>
                </w:tcPr>
                <w:p w14:paraId="3808C747">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工作环境湿度</w:t>
                  </w:r>
                </w:p>
              </w:tc>
              <w:tc>
                <w:tcPr>
                  <w:tcW w:w="3760" w:type="pct"/>
                  <w:shd w:val="clear" w:color="auto" w:fill="auto"/>
                  <w:vAlign w:val="center"/>
                </w:tcPr>
                <w:p w14:paraId="667A135A">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5%～95%@40℃，无凝结</w:t>
                  </w:r>
                  <w:r>
                    <w:rPr>
                      <w:rFonts w:hint="eastAsia" w:ascii="宋体" w:hAnsi="宋体" w:eastAsia="宋体" w:cs="宋体"/>
                      <w:color w:val="000000"/>
                      <w:kern w:val="0"/>
                      <w:sz w:val="22"/>
                      <w:szCs w:val="22"/>
                      <w:lang w:eastAsia="zh-CN"/>
                    </w:rPr>
                    <w:t>。</w:t>
                  </w:r>
                </w:p>
              </w:tc>
            </w:tr>
          </w:tbl>
          <w:p w14:paraId="51123EED">
            <w:pPr>
              <w:keepNext w:val="0"/>
              <w:keepLines w:val="0"/>
              <w:pageBreakBefore w:val="0"/>
              <w:widowControl w:val="0"/>
              <w:numPr>
                <w:ilvl w:val="0"/>
                <w:numId w:val="0"/>
              </w:numPr>
              <w:kinsoku/>
              <w:wordWrap/>
              <w:overflowPunct/>
              <w:topLinePunct w:val="0"/>
              <w:autoSpaceDE/>
              <w:autoSpaceDN/>
              <w:bidi w:val="0"/>
              <w:adjustRightInd w:val="0"/>
              <w:snapToGrid/>
              <w:spacing w:beforeAutospacing="0" w:afterAutospacing="0" w:line="360" w:lineRule="auto"/>
              <w:ind w:leftChars="0" w:firstLine="442" w:firstLineChars="200"/>
              <w:textAlignment w:val="baseline"/>
              <w:rPr>
                <w:rFonts w:hint="eastAsia" w:ascii="宋体" w:hAnsi="宋体" w:eastAsia="宋体" w:cs="宋体"/>
                <w:b/>
                <w:bCs/>
                <w:color w:val="auto"/>
                <w:sz w:val="22"/>
                <w:szCs w:val="22"/>
                <w:highlight w:val="none"/>
                <w:shd w:val="clear" w:color="FFFFFF" w:fill="D9D9D9"/>
                <w:lang w:bidi="ar"/>
              </w:rPr>
            </w:pPr>
          </w:p>
        </w:tc>
        <w:tc>
          <w:tcPr>
            <w:tcW w:w="1208" w:type="dxa"/>
          </w:tcPr>
          <w:p w14:paraId="3D2AAFB0">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44F675F0">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731D0E20">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1615FE0B">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427DC687">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7F0902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0" w:type="dxa"/>
            <w:vAlign w:val="center"/>
          </w:tcPr>
          <w:p w14:paraId="4AEA421E">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21</w:t>
            </w:r>
          </w:p>
        </w:tc>
        <w:tc>
          <w:tcPr>
            <w:tcW w:w="660" w:type="dxa"/>
          </w:tcPr>
          <w:p w14:paraId="69FBF1C5">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03CB647A">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781E8447">
            <w:pPr>
              <w:pStyle w:val="4"/>
              <w:pageBreakBefore w:val="0"/>
              <w:numPr>
                <w:ilvl w:val="1"/>
                <w:numId w:val="0"/>
              </w:numPr>
              <w:shd w:val="clear"/>
              <w:kinsoku/>
              <w:wordWrap/>
              <w:overflowPunct/>
              <w:topLinePunct w:val="0"/>
              <w:autoSpaceDE/>
              <w:autoSpaceDN/>
              <w:bidi w:val="0"/>
              <w:adjustRightInd/>
              <w:snapToGrid/>
              <w:spacing w:before="0" w:line="360" w:lineRule="auto"/>
              <w:ind w:left="0" w:leftChars="0" w:firstLine="0" w:firstLineChars="0"/>
              <w:textAlignment w:val="auto"/>
              <w:rPr>
                <w:rFonts w:hint="eastAsia" w:ascii="宋体" w:hAnsi="宋体" w:eastAsia="宋体" w:cs="宋体"/>
                <w:sz w:val="22"/>
                <w:szCs w:val="22"/>
              </w:rPr>
            </w:pPr>
            <w:bookmarkStart w:id="39" w:name="_Toc173501812"/>
            <w:bookmarkStart w:id="40" w:name="_Toc132982750"/>
            <w:r>
              <w:rPr>
                <w:rFonts w:hint="eastAsia" w:ascii="宋体" w:hAnsi="宋体" w:eastAsia="宋体" w:cs="宋体"/>
                <w:b/>
                <w:bCs/>
                <w:kern w:val="2"/>
                <w:sz w:val="22"/>
                <w:szCs w:val="22"/>
                <w:lang w:val="en-US" w:eastAsia="zh-CN" w:bidi="ar-SA"/>
              </w:rPr>
              <w:t>（七）</w:t>
            </w:r>
            <w:r>
              <w:rPr>
                <w:rFonts w:hint="eastAsia" w:ascii="宋体" w:hAnsi="宋体" w:eastAsia="宋体" w:cs="宋体"/>
                <w:b/>
                <w:bCs w:val="0"/>
                <w:sz w:val="22"/>
                <w:szCs w:val="22"/>
              </w:rPr>
              <w:t>终端管理单元</w:t>
            </w:r>
            <w:bookmarkEnd w:id="39"/>
          </w:p>
          <w:p w14:paraId="748FB458">
            <w:pPr>
              <w:keepNext w:val="0"/>
              <w:keepLines w:val="0"/>
              <w:pageBreakBefore w:val="0"/>
              <w:widowControl w:val="0"/>
              <w:shd w:val="clea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部署于监控点的前端设备机柜中，自带检测软件，实现对行驶通过监测区域内的车辆进行车辆视频检测、车辆号牌识别、违法行为抓拍、交通流检测，自动记录车辆通行信息、交通违法行为信息、交通视频信息、交通流信息等数据并进行存储，存储时间至少为7天。</w:t>
            </w:r>
          </w:p>
          <w:p w14:paraId="3CB4A7BA">
            <w:pPr>
              <w:keepNext w:val="0"/>
              <w:keepLines w:val="0"/>
              <w:pageBreakBefore w:val="0"/>
              <w:widowControl w:val="0"/>
              <w:shd w:val="clea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设备能够通过网络传输系统将车辆通行信息、交通违法信息、交通视频信息、交通流信息、设备运行状况信息等自动传输至指定的系统管理平台进行集中处理及存储设备应符合相关的国家标准和行业标准。</w:t>
            </w:r>
          </w:p>
          <w:p w14:paraId="3D6C1F2D">
            <w:pPr>
              <w:keepNext w:val="0"/>
              <w:keepLines w:val="0"/>
              <w:pageBreakBefore w:val="0"/>
              <w:widowControl w:val="0"/>
              <w:shd w:val="clea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终端管理单元设备技术参数要求如下表所示：</w:t>
            </w:r>
          </w:p>
          <w:tbl>
            <w:tblPr>
              <w:tblStyle w:val="18"/>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2002"/>
              <w:gridCol w:w="6004"/>
            </w:tblGrid>
            <w:tr w14:paraId="5DDB5E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14" w:hRule="atLeast"/>
                <w:tblHeader/>
                <w:jc w:val="center"/>
              </w:trPr>
              <w:tc>
                <w:tcPr>
                  <w:tcW w:w="1250" w:type="pct"/>
                  <w:shd w:val="clear" w:color="auto" w:fill="auto"/>
                  <w:vAlign w:val="center"/>
                </w:tcPr>
                <w:p w14:paraId="38499678">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项目</w:t>
                  </w:r>
                </w:p>
              </w:tc>
              <w:tc>
                <w:tcPr>
                  <w:tcW w:w="3749" w:type="pct"/>
                  <w:shd w:val="clear" w:color="auto" w:fill="auto"/>
                  <w:vAlign w:val="center"/>
                </w:tcPr>
                <w:p w14:paraId="235DA886">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参数描述</w:t>
                  </w:r>
                </w:p>
              </w:tc>
            </w:tr>
            <w:tr w14:paraId="0A6ED1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4" w:hRule="atLeast"/>
                <w:jc w:val="center"/>
              </w:trPr>
              <w:tc>
                <w:tcPr>
                  <w:tcW w:w="1250" w:type="pct"/>
                  <w:shd w:val="clear" w:color="auto" w:fill="auto"/>
                  <w:vAlign w:val="center"/>
                </w:tcPr>
                <w:p w14:paraId="2F463D97">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处理器</w:t>
                  </w:r>
                </w:p>
              </w:tc>
              <w:tc>
                <w:tcPr>
                  <w:tcW w:w="3749" w:type="pct"/>
                  <w:shd w:val="clear" w:color="auto" w:fill="auto"/>
                  <w:vAlign w:val="center"/>
                </w:tcPr>
                <w:p w14:paraId="099DFF50">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性能不低于ARM四核数字媒体处理器</w:t>
                  </w:r>
                  <w:r>
                    <w:rPr>
                      <w:rFonts w:hint="eastAsia" w:ascii="宋体" w:hAnsi="宋体" w:eastAsia="宋体" w:cs="宋体"/>
                      <w:color w:val="000000"/>
                      <w:kern w:val="0"/>
                      <w:sz w:val="22"/>
                      <w:szCs w:val="22"/>
                      <w:lang w:eastAsia="zh-CN"/>
                    </w:rPr>
                    <w:t>。</w:t>
                  </w:r>
                </w:p>
              </w:tc>
            </w:tr>
            <w:tr w14:paraId="751B3D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4" w:hRule="atLeast"/>
                <w:jc w:val="center"/>
              </w:trPr>
              <w:tc>
                <w:tcPr>
                  <w:tcW w:w="1250" w:type="pct"/>
                  <w:shd w:val="clear" w:color="auto" w:fill="auto"/>
                  <w:vAlign w:val="center"/>
                </w:tcPr>
                <w:p w14:paraId="41E993AE">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接入路数</w:t>
                  </w:r>
                </w:p>
              </w:tc>
              <w:tc>
                <w:tcPr>
                  <w:tcW w:w="3749" w:type="pct"/>
                  <w:shd w:val="clear" w:color="auto" w:fill="auto"/>
                  <w:vAlign w:val="center"/>
                </w:tcPr>
                <w:p w14:paraId="60E43CEE">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支持不少于16路H.265、H.264编码混合自适应接入；支持SDK、RTSP、ONVIF和GB/T 28181添加相机通道</w:t>
                  </w:r>
                  <w:r>
                    <w:rPr>
                      <w:rFonts w:hint="eastAsia" w:ascii="宋体" w:hAnsi="宋体" w:eastAsia="宋体" w:cs="宋体"/>
                      <w:color w:val="000000"/>
                      <w:kern w:val="0"/>
                      <w:sz w:val="22"/>
                      <w:szCs w:val="22"/>
                      <w:lang w:eastAsia="zh-CN"/>
                    </w:rPr>
                    <w:t>。</w:t>
                  </w:r>
                </w:p>
              </w:tc>
            </w:tr>
            <w:tr w14:paraId="22BA5F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4" w:hRule="atLeast"/>
                <w:jc w:val="center"/>
              </w:trPr>
              <w:tc>
                <w:tcPr>
                  <w:tcW w:w="1250" w:type="pct"/>
                  <w:shd w:val="clear" w:color="auto" w:fill="auto"/>
                  <w:vAlign w:val="center"/>
                </w:tcPr>
                <w:p w14:paraId="14B5C79A">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数据展示</w:t>
                  </w:r>
                </w:p>
              </w:tc>
              <w:tc>
                <w:tcPr>
                  <w:tcW w:w="3749" w:type="pct"/>
                  <w:shd w:val="clear" w:color="auto" w:fill="auto"/>
                  <w:vAlign w:val="center"/>
                </w:tcPr>
                <w:p w14:paraId="774BFB47">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支持图片存储展示，包括车辆卡口、违法、人脸、人体以及其他事件结构化图片数据</w:t>
                  </w:r>
                  <w:r>
                    <w:rPr>
                      <w:rFonts w:hint="eastAsia" w:ascii="宋体" w:hAnsi="宋体" w:eastAsia="宋体" w:cs="宋体"/>
                      <w:color w:val="000000"/>
                      <w:kern w:val="0"/>
                      <w:sz w:val="22"/>
                      <w:szCs w:val="22"/>
                      <w:lang w:eastAsia="zh-CN"/>
                    </w:rPr>
                    <w:t>。</w:t>
                  </w:r>
                </w:p>
              </w:tc>
            </w:tr>
            <w:tr w14:paraId="3C43DA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14" w:hRule="atLeast"/>
                <w:jc w:val="center"/>
              </w:trPr>
              <w:tc>
                <w:tcPr>
                  <w:tcW w:w="1250" w:type="pct"/>
                  <w:shd w:val="clear" w:color="auto" w:fill="auto"/>
                  <w:vAlign w:val="center"/>
                </w:tcPr>
                <w:p w14:paraId="26969739">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操作系统</w:t>
                  </w:r>
                </w:p>
              </w:tc>
              <w:tc>
                <w:tcPr>
                  <w:tcW w:w="3749" w:type="pct"/>
                  <w:shd w:val="clear" w:color="auto" w:fill="auto"/>
                  <w:vAlign w:val="center"/>
                </w:tcPr>
                <w:p w14:paraId="2624C5E2">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嵌入式Linux操作系统</w:t>
                  </w:r>
                  <w:r>
                    <w:rPr>
                      <w:rFonts w:hint="eastAsia" w:ascii="宋体" w:hAnsi="宋体" w:eastAsia="宋体" w:cs="宋体"/>
                      <w:color w:val="000000"/>
                      <w:kern w:val="0"/>
                      <w:sz w:val="22"/>
                      <w:szCs w:val="22"/>
                      <w:lang w:eastAsia="zh-CN"/>
                    </w:rPr>
                    <w:t>。</w:t>
                  </w:r>
                </w:p>
              </w:tc>
            </w:tr>
            <w:tr w14:paraId="21626E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4" w:hRule="atLeast"/>
                <w:jc w:val="center"/>
              </w:trPr>
              <w:tc>
                <w:tcPr>
                  <w:tcW w:w="1250" w:type="pct"/>
                  <w:shd w:val="clear" w:color="auto" w:fill="auto"/>
                  <w:vAlign w:val="center"/>
                </w:tcPr>
                <w:p w14:paraId="10B89A45">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操作界面</w:t>
                  </w:r>
                </w:p>
              </w:tc>
              <w:tc>
                <w:tcPr>
                  <w:tcW w:w="3749" w:type="pct"/>
                  <w:shd w:val="clear" w:color="auto" w:fill="auto"/>
                  <w:vAlign w:val="center"/>
                </w:tcPr>
                <w:p w14:paraId="39429FAB">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WEB</w:t>
                  </w:r>
                  <w:r>
                    <w:rPr>
                      <w:rFonts w:hint="eastAsia" w:ascii="宋体" w:hAnsi="宋体" w:eastAsia="宋体" w:cs="宋体"/>
                      <w:color w:val="000000"/>
                      <w:kern w:val="0"/>
                      <w:sz w:val="22"/>
                      <w:szCs w:val="22"/>
                      <w:lang w:eastAsia="zh-CN"/>
                    </w:rPr>
                    <w:t>。</w:t>
                  </w:r>
                </w:p>
              </w:tc>
            </w:tr>
            <w:tr w14:paraId="379196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4" w:hRule="atLeast"/>
                <w:jc w:val="center"/>
              </w:trPr>
              <w:tc>
                <w:tcPr>
                  <w:tcW w:w="1250" w:type="pct"/>
                  <w:shd w:val="clear" w:color="auto" w:fill="auto"/>
                  <w:vAlign w:val="center"/>
                </w:tcPr>
                <w:p w14:paraId="385D457B">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内存</w:t>
                  </w:r>
                </w:p>
              </w:tc>
              <w:tc>
                <w:tcPr>
                  <w:tcW w:w="3749" w:type="pct"/>
                  <w:shd w:val="clear" w:color="auto" w:fill="auto"/>
                  <w:vAlign w:val="center"/>
                </w:tcPr>
                <w:p w14:paraId="4F9BBDD1">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≥2GB</w:t>
                  </w:r>
                  <w:r>
                    <w:rPr>
                      <w:rFonts w:hint="eastAsia" w:ascii="宋体" w:hAnsi="宋体" w:eastAsia="宋体" w:cs="宋体"/>
                      <w:color w:val="000000"/>
                      <w:kern w:val="0"/>
                      <w:sz w:val="22"/>
                      <w:szCs w:val="22"/>
                      <w:lang w:eastAsia="zh-CN"/>
                    </w:rPr>
                    <w:t>。</w:t>
                  </w:r>
                </w:p>
              </w:tc>
            </w:tr>
            <w:tr w14:paraId="00B11C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14" w:hRule="atLeast"/>
                <w:jc w:val="center"/>
              </w:trPr>
              <w:tc>
                <w:tcPr>
                  <w:tcW w:w="1250" w:type="pct"/>
                  <w:shd w:val="clear" w:color="auto" w:fill="auto"/>
                  <w:vAlign w:val="center"/>
                </w:tcPr>
                <w:p w14:paraId="4DC1713E">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硬盘存储</w:t>
                  </w:r>
                </w:p>
              </w:tc>
              <w:tc>
                <w:tcPr>
                  <w:tcW w:w="3749" w:type="pct"/>
                  <w:shd w:val="clear" w:color="auto" w:fill="auto"/>
                  <w:vAlign w:val="center"/>
                </w:tcPr>
                <w:p w14:paraId="78CB414F">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≥4个SATA接口，单SATA接口可支持最大6TB容量硬盘，标配不少于2个4T硬盘</w:t>
                  </w:r>
                  <w:r>
                    <w:rPr>
                      <w:rFonts w:hint="eastAsia" w:ascii="宋体" w:hAnsi="宋体" w:eastAsia="宋体" w:cs="宋体"/>
                      <w:color w:val="000000"/>
                      <w:kern w:val="0"/>
                      <w:sz w:val="22"/>
                      <w:szCs w:val="22"/>
                      <w:lang w:eastAsia="zh-CN"/>
                    </w:rPr>
                    <w:t>。</w:t>
                  </w:r>
                </w:p>
              </w:tc>
            </w:tr>
            <w:tr w14:paraId="75AE3D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63" w:hRule="atLeast"/>
                <w:jc w:val="center"/>
              </w:trPr>
              <w:tc>
                <w:tcPr>
                  <w:tcW w:w="1250" w:type="pct"/>
                  <w:shd w:val="clear" w:color="auto" w:fill="auto"/>
                  <w:vAlign w:val="center"/>
                </w:tcPr>
                <w:p w14:paraId="6D35F954">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RESET按钮</w:t>
                  </w:r>
                </w:p>
              </w:tc>
              <w:tc>
                <w:tcPr>
                  <w:tcW w:w="3749" w:type="pct"/>
                  <w:shd w:val="clear" w:color="auto" w:fill="auto"/>
                  <w:vAlign w:val="center"/>
                </w:tcPr>
                <w:p w14:paraId="47C1CAB9">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1个重置复位按键</w:t>
                  </w:r>
                  <w:r>
                    <w:rPr>
                      <w:rFonts w:hint="eastAsia" w:ascii="宋体" w:hAnsi="宋体" w:eastAsia="宋体" w:cs="宋体"/>
                      <w:color w:val="000000"/>
                      <w:kern w:val="0"/>
                      <w:sz w:val="22"/>
                      <w:szCs w:val="22"/>
                      <w:lang w:eastAsia="zh-CN"/>
                    </w:rPr>
                    <w:t>。</w:t>
                  </w:r>
                </w:p>
              </w:tc>
            </w:tr>
            <w:tr w14:paraId="48A1E0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4" w:hRule="atLeast"/>
                <w:jc w:val="center"/>
              </w:trPr>
              <w:tc>
                <w:tcPr>
                  <w:tcW w:w="1250" w:type="pct"/>
                  <w:shd w:val="clear" w:color="auto" w:fill="auto"/>
                  <w:vAlign w:val="center"/>
                </w:tcPr>
                <w:p w14:paraId="34357776">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指示灯</w:t>
                  </w:r>
                </w:p>
              </w:tc>
              <w:tc>
                <w:tcPr>
                  <w:tcW w:w="3749" w:type="pct"/>
                  <w:shd w:val="clear" w:color="auto" w:fill="auto"/>
                  <w:vAlign w:val="center"/>
                </w:tcPr>
                <w:p w14:paraId="2E0095F8">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共4个状态指示灯</w:t>
                  </w:r>
                  <w:r>
                    <w:rPr>
                      <w:rFonts w:hint="eastAsia" w:ascii="宋体" w:hAnsi="宋体" w:eastAsia="宋体" w:cs="宋体"/>
                      <w:color w:val="000000"/>
                      <w:kern w:val="0"/>
                      <w:sz w:val="22"/>
                      <w:szCs w:val="22"/>
                      <w:lang w:eastAsia="zh-CN"/>
                    </w:rPr>
                    <w:t>。</w:t>
                  </w:r>
                </w:p>
              </w:tc>
            </w:tr>
            <w:tr w14:paraId="7B0A36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4" w:hRule="atLeast"/>
                <w:jc w:val="center"/>
              </w:trPr>
              <w:tc>
                <w:tcPr>
                  <w:tcW w:w="1250" w:type="pct"/>
                  <w:shd w:val="clear" w:color="auto" w:fill="auto"/>
                  <w:vAlign w:val="center"/>
                </w:tcPr>
                <w:p w14:paraId="02C8CE00">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网络接口</w:t>
                  </w:r>
                </w:p>
              </w:tc>
              <w:tc>
                <w:tcPr>
                  <w:tcW w:w="3749" w:type="pct"/>
                  <w:shd w:val="clear" w:color="auto" w:fill="auto"/>
                  <w:vAlign w:val="center"/>
                </w:tcPr>
                <w:p w14:paraId="7595CFF4">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不少于2个10/100/1000M自适应以太网接口，双网卡，物理隔离；具备不少于16个1000M以太网接口；具备不少于2个光口（SFP）</w:t>
                  </w:r>
                  <w:r>
                    <w:rPr>
                      <w:rFonts w:hint="eastAsia" w:ascii="宋体" w:hAnsi="宋体" w:eastAsia="宋体" w:cs="宋体"/>
                      <w:color w:val="000000"/>
                      <w:kern w:val="0"/>
                      <w:sz w:val="22"/>
                      <w:szCs w:val="22"/>
                      <w:lang w:eastAsia="zh-CN"/>
                    </w:rPr>
                    <w:t>。</w:t>
                  </w:r>
                </w:p>
              </w:tc>
            </w:tr>
            <w:tr w14:paraId="30D98D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4" w:hRule="atLeast"/>
                <w:jc w:val="center"/>
              </w:trPr>
              <w:tc>
                <w:tcPr>
                  <w:tcW w:w="1250" w:type="pct"/>
                  <w:shd w:val="clear" w:color="auto" w:fill="auto"/>
                  <w:vAlign w:val="center"/>
                </w:tcPr>
                <w:p w14:paraId="7830645B">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RS232接口</w:t>
                  </w:r>
                </w:p>
              </w:tc>
              <w:tc>
                <w:tcPr>
                  <w:tcW w:w="3749" w:type="pct"/>
                  <w:shd w:val="clear" w:color="auto" w:fill="auto"/>
                  <w:vAlign w:val="center"/>
                </w:tcPr>
                <w:p w14:paraId="7CF04F75">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≥2个</w:t>
                  </w:r>
                  <w:r>
                    <w:rPr>
                      <w:rFonts w:hint="eastAsia" w:ascii="宋体" w:hAnsi="宋体" w:eastAsia="宋体" w:cs="宋体"/>
                      <w:color w:val="000000"/>
                      <w:kern w:val="0"/>
                      <w:sz w:val="22"/>
                      <w:szCs w:val="22"/>
                      <w:lang w:eastAsia="zh-CN"/>
                    </w:rPr>
                    <w:t>。</w:t>
                  </w:r>
                </w:p>
              </w:tc>
            </w:tr>
            <w:tr w14:paraId="7F199D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4" w:hRule="atLeast"/>
                <w:jc w:val="center"/>
              </w:trPr>
              <w:tc>
                <w:tcPr>
                  <w:tcW w:w="1250" w:type="pct"/>
                  <w:shd w:val="clear" w:color="auto" w:fill="auto"/>
                  <w:vAlign w:val="center"/>
                </w:tcPr>
                <w:p w14:paraId="681E38E7">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RS485接口</w:t>
                  </w:r>
                </w:p>
              </w:tc>
              <w:tc>
                <w:tcPr>
                  <w:tcW w:w="3749" w:type="pct"/>
                  <w:shd w:val="clear" w:color="auto" w:fill="auto"/>
                  <w:vAlign w:val="center"/>
                </w:tcPr>
                <w:p w14:paraId="3CB5168C">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≥2个</w:t>
                  </w:r>
                  <w:r>
                    <w:rPr>
                      <w:rFonts w:hint="eastAsia" w:ascii="宋体" w:hAnsi="宋体" w:eastAsia="宋体" w:cs="宋体"/>
                      <w:color w:val="000000"/>
                      <w:kern w:val="0"/>
                      <w:sz w:val="22"/>
                      <w:szCs w:val="22"/>
                      <w:lang w:eastAsia="zh-CN"/>
                    </w:rPr>
                    <w:t>。</w:t>
                  </w:r>
                </w:p>
              </w:tc>
            </w:tr>
            <w:tr w14:paraId="6D2FB7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4" w:hRule="atLeast"/>
                <w:jc w:val="center"/>
              </w:trPr>
              <w:tc>
                <w:tcPr>
                  <w:tcW w:w="1250" w:type="pct"/>
                  <w:shd w:val="clear" w:color="auto" w:fill="auto"/>
                  <w:vAlign w:val="center"/>
                </w:tcPr>
                <w:p w14:paraId="43D32588">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USB接口</w:t>
                  </w:r>
                </w:p>
              </w:tc>
              <w:tc>
                <w:tcPr>
                  <w:tcW w:w="3749" w:type="pct"/>
                  <w:shd w:val="clear" w:color="auto" w:fill="auto"/>
                  <w:vAlign w:val="center"/>
                </w:tcPr>
                <w:p w14:paraId="147DDA4B">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≥1个</w:t>
                  </w:r>
                  <w:r>
                    <w:rPr>
                      <w:rFonts w:hint="eastAsia" w:ascii="宋体" w:hAnsi="宋体" w:eastAsia="宋体" w:cs="宋体"/>
                      <w:color w:val="000000"/>
                      <w:kern w:val="0"/>
                      <w:sz w:val="22"/>
                      <w:szCs w:val="22"/>
                      <w:lang w:eastAsia="zh-CN"/>
                    </w:rPr>
                    <w:t>。</w:t>
                  </w:r>
                </w:p>
              </w:tc>
            </w:tr>
            <w:tr w14:paraId="1B48F4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5" w:hRule="atLeast"/>
                <w:jc w:val="center"/>
              </w:trPr>
              <w:tc>
                <w:tcPr>
                  <w:tcW w:w="1250" w:type="pct"/>
                  <w:shd w:val="clear" w:color="auto" w:fill="auto"/>
                  <w:vAlign w:val="center"/>
                </w:tcPr>
                <w:p w14:paraId="669EE540">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数据存储</w:t>
                  </w:r>
                </w:p>
              </w:tc>
              <w:tc>
                <w:tcPr>
                  <w:tcW w:w="3749" w:type="pct"/>
                  <w:shd w:val="clear" w:color="auto" w:fill="auto"/>
                  <w:vAlign w:val="center"/>
                </w:tcPr>
                <w:p w14:paraId="7ACB0A64">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支持对通行车辆的信息（记录和图片）存储</w:t>
                  </w:r>
                  <w:r>
                    <w:rPr>
                      <w:rFonts w:hint="eastAsia" w:ascii="宋体" w:hAnsi="宋体" w:eastAsia="宋体" w:cs="宋体"/>
                      <w:color w:val="000000"/>
                      <w:kern w:val="0"/>
                      <w:sz w:val="22"/>
                      <w:szCs w:val="22"/>
                      <w:lang w:eastAsia="zh-CN"/>
                    </w:rPr>
                    <w:t>。</w:t>
                  </w:r>
                </w:p>
              </w:tc>
            </w:tr>
            <w:tr w14:paraId="2316DB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5" w:hRule="atLeast"/>
                <w:jc w:val="center"/>
              </w:trPr>
              <w:tc>
                <w:tcPr>
                  <w:tcW w:w="1250" w:type="pct"/>
                  <w:shd w:val="clear" w:color="auto" w:fill="auto"/>
                  <w:vAlign w:val="center"/>
                </w:tcPr>
                <w:p w14:paraId="7BB353FF">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视频预览</w:t>
                  </w:r>
                </w:p>
              </w:tc>
              <w:tc>
                <w:tcPr>
                  <w:tcW w:w="3749" w:type="pct"/>
                  <w:shd w:val="clear" w:color="auto" w:fill="auto"/>
                  <w:vAlign w:val="center"/>
                </w:tcPr>
                <w:p w14:paraId="1AE3D22A">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支持视频预览、录像和回放，可配置录像计划，录像和图片存储空间可配置</w:t>
                  </w:r>
                  <w:r>
                    <w:rPr>
                      <w:rFonts w:hint="eastAsia" w:ascii="宋体" w:hAnsi="宋体" w:eastAsia="宋体" w:cs="宋体"/>
                      <w:color w:val="000000"/>
                      <w:kern w:val="0"/>
                      <w:sz w:val="22"/>
                      <w:szCs w:val="22"/>
                      <w:lang w:eastAsia="zh-CN"/>
                    </w:rPr>
                    <w:t>。</w:t>
                  </w:r>
                </w:p>
              </w:tc>
            </w:tr>
            <w:tr w14:paraId="183C20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5" w:hRule="atLeast"/>
                <w:jc w:val="center"/>
              </w:trPr>
              <w:tc>
                <w:tcPr>
                  <w:tcW w:w="1250" w:type="pct"/>
                  <w:shd w:val="clear" w:color="auto" w:fill="auto"/>
                  <w:vAlign w:val="center"/>
                </w:tcPr>
                <w:p w14:paraId="696BCBBB">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数据安全</w:t>
                  </w:r>
                </w:p>
              </w:tc>
              <w:tc>
                <w:tcPr>
                  <w:tcW w:w="3749" w:type="pct"/>
                  <w:shd w:val="clear" w:color="auto" w:fill="auto"/>
                  <w:vAlign w:val="center"/>
                </w:tcPr>
                <w:p w14:paraId="1057ED83">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支持IP地址过滤、SSH开关自定义、ARP防攻击、视频水印等安全防护功能，具备强密码管理功能。支持WEB回话Session ID、数据传输加密、固件完整性等安全检验</w:t>
                  </w:r>
                  <w:r>
                    <w:rPr>
                      <w:rFonts w:hint="eastAsia" w:ascii="宋体" w:hAnsi="宋体" w:eastAsia="宋体" w:cs="宋体"/>
                      <w:color w:val="000000"/>
                      <w:kern w:val="0"/>
                      <w:sz w:val="22"/>
                      <w:szCs w:val="22"/>
                      <w:lang w:eastAsia="zh-CN"/>
                    </w:rPr>
                    <w:t>。</w:t>
                  </w:r>
                </w:p>
              </w:tc>
            </w:tr>
            <w:tr w14:paraId="208A0C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5" w:hRule="atLeast"/>
                <w:jc w:val="center"/>
              </w:trPr>
              <w:tc>
                <w:tcPr>
                  <w:tcW w:w="1250" w:type="pct"/>
                  <w:shd w:val="clear" w:color="auto" w:fill="auto"/>
                  <w:vAlign w:val="center"/>
                </w:tcPr>
                <w:p w14:paraId="07D30942">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字符叠加</w:t>
                  </w:r>
                </w:p>
              </w:tc>
              <w:tc>
                <w:tcPr>
                  <w:tcW w:w="3749" w:type="pct"/>
                  <w:shd w:val="clear" w:color="auto" w:fill="auto"/>
                  <w:vAlign w:val="center"/>
                </w:tcPr>
                <w:p w14:paraId="5B4C2EF3">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支持多种字符叠加、图片合成模式</w:t>
                  </w:r>
                  <w:r>
                    <w:rPr>
                      <w:rFonts w:hint="eastAsia" w:ascii="宋体" w:hAnsi="宋体" w:eastAsia="宋体" w:cs="宋体"/>
                      <w:color w:val="000000"/>
                      <w:kern w:val="0"/>
                      <w:sz w:val="22"/>
                      <w:szCs w:val="22"/>
                      <w:lang w:eastAsia="zh-CN"/>
                    </w:rPr>
                    <w:t>。</w:t>
                  </w:r>
                </w:p>
              </w:tc>
            </w:tr>
            <w:tr w14:paraId="43692E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4" w:hRule="atLeast"/>
                <w:jc w:val="center"/>
              </w:trPr>
              <w:tc>
                <w:tcPr>
                  <w:tcW w:w="1250" w:type="pct"/>
                  <w:shd w:val="clear" w:color="auto" w:fill="auto"/>
                  <w:vAlign w:val="center"/>
                </w:tcPr>
                <w:p w14:paraId="619B9C30">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功耗</w:t>
                  </w:r>
                </w:p>
              </w:tc>
              <w:tc>
                <w:tcPr>
                  <w:tcW w:w="3749" w:type="pct"/>
                  <w:shd w:val="clear" w:color="auto" w:fill="auto"/>
                  <w:vAlign w:val="center"/>
                </w:tcPr>
                <w:p w14:paraId="6B341A61">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≤50W</w:t>
                  </w:r>
                  <w:r>
                    <w:rPr>
                      <w:rFonts w:hint="eastAsia" w:ascii="宋体" w:hAnsi="宋体" w:eastAsia="宋体" w:cs="宋体"/>
                      <w:color w:val="000000"/>
                      <w:kern w:val="0"/>
                      <w:sz w:val="22"/>
                      <w:szCs w:val="22"/>
                      <w:lang w:eastAsia="zh-CN"/>
                    </w:rPr>
                    <w:t>。</w:t>
                  </w:r>
                </w:p>
              </w:tc>
            </w:tr>
            <w:tr w14:paraId="292BC3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1250" w:type="pct"/>
                  <w:shd w:val="clear" w:color="auto" w:fill="auto"/>
                  <w:vAlign w:val="center"/>
                </w:tcPr>
                <w:p w14:paraId="5065235A">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工作环境</w:t>
                  </w:r>
                </w:p>
              </w:tc>
              <w:tc>
                <w:tcPr>
                  <w:tcW w:w="3749" w:type="pct"/>
                  <w:shd w:val="clear" w:color="auto" w:fill="auto"/>
                  <w:vAlign w:val="center"/>
                </w:tcPr>
                <w:p w14:paraId="264515A2">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工作温度至少-40℃～70℃</w:t>
                  </w:r>
                  <w:r>
                    <w:rPr>
                      <w:rFonts w:hint="eastAsia" w:ascii="宋体" w:hAnsi="宋体" w:eastAsia="宋体" w:cs="宋体"/>
                      <w:color w:val="000000"/>
                      <w:kern w:val="0"/>
                      <w:sz w:val="22"/>
                      <w:szCs w:val="22"/>
                      <w:lang w:eastAsia="zh-CN"/>
                    </w:rPr>
                    <w:t>。</w:t>
                  </w:r>
                </w:p>
                <w:p w14:paraId="45F30301">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工作湿度至少10%～90%</w:t>
                  </w:r>
                  <w:r>
                    <w:rPr>
                      <w:rFonts w:hint="eastAsia" w:ascii="宋体" w:hAnsi="宋体" w:eastAsia="宋体" w:cs="宋体"/>
                      <w:color w:val="000000"/>
                      <w:kern w:val="0"/>
                      <w:sz w:val="22"/>
                      <w:szCs w:val="22"/>
                      <w:lang w:eastAsia="zh-CN"/>
                    </w:rPr>
                    <w:t>。</w:t>
                  </w:r>
                </w:p>
              </w:tc>
            </w:tr>
            <w:tr w14:paraId="6238A8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1250" w:type="pct"/>
                  <w:shd w:val="clear" w:color="auto" w:fill="auto"/>
                  <w:vAlign w:val="center"/>
                </w:tcPr>
                <w:p w14:paraId="048835FB">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安全要求</w:t>
                  </w:r>
                </w:p>
              </w:tc>
              <w:tc>
                <w:tcPr>
                  <w:tcW w:w="3749" w:type="pct"/>
                  <w:shd w:val="clear" w:color="auto" w:fill="auto"/>
                  <w:vAlign w:val="center"/>
                </w:tcPr>
                <w:p w14:paraId="1BFA1C1C">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至少</w:t>
                  </w:r>
                  <w:r>
                    <w:rPr>
                      <w:rFonts w:hint="eastAsia" w:ascii="宋体" w:hAnsi="宋体" w:eastAsia="宋体" w:cs="宋体"/>
                      <w:color w:val="000000"/>
                      <w:kern w:val="0"/>
                      <w:sz w:val="22"/>
                      <w:szCs w:val="22"/>
                      <w:lang w:val="en-US" w:eastAsia="zh-CN"/>
                    </w:rPr>
                    <w:t>同时</w:t>
                  </w:r>
                  <w:r>
                    <w:rPr>
                      <w:rFonts w:hint="eastAsia" w:ascii="宋体" w:hAnsi="宋体" w:eastAsia="宋体" w:cs="宋体"/>
                      <w:color w:val="000000"/>
                      <w:kern w:val="0"/>
                      <w:sz w:val="22"/>
                      <w:szCs w:val="22"/>
                    </w:rPr>
                    <w:t>符合GB 35114的A级规定</w:t>
                  </w:r>
                  <w:r>
                    <w:rPr>
                      <w:rFonts w:hint="eastAsia" w:ascii="宋体" w:hAnsi="宋体" w:eastAsia="宋体" w:cs="宋体"/>
                      <w:color w:val="000000"/>
                      <w:kern w:val="0"/>
                      <w:sz w:val="22"/>
                      <w:szCs w:val="22"/>
                      <w:lang w:val="en-US" w:eastAsia="zh-CN"/>
                    </w:rPr>
                    <w:t>和</w:t>
                  </w:r>
                  <w:r>
                    <w:rPr>
                      <w:rFonts w:hint="eastAsia" w:ascii="宋体" w:hAnsi="宋体" w:eastAsia="宋体" w:cs="宋体"/>
                      <w:color w:val="000000"/>
                      <w:kern w:val="0"/>
                      <w:sz w:val="22"/>
                      <w:szCs w:val="22"/>
                    </w:rPr>
                    <w:t>GA/T 17882的增强型I级规定</w:t>
                  </w:r>
                </w:p>
              </w:tc>
            </w:tr>
            <w:bookmarkEnd w:id="40"/>
          </w:tbl>
          <w:p w14:paraId="5F714B72">
            <w:pPr>
              <w:keepNext w:val="0"/>
              <w:keepLines w:val="0"/>
              <w:pageBreakBefore w:val="0"/>
              <w:widowControl w:val="0"/>
              <w:numPr>
                <w:ilvl w:val="0"/>
                <w:numId w:val="0"/>
              </w:numPr>
              <w:kinsoku/>
              <w:wordWrap/>
              <w:overflowPunct/>
              <w:topLinePunct w:val="0"/>
              <w:autoSpaceDE/>
              <w:autoSpaceDN/>
              <w:bidi w:val="0"/>
              <w:adjustRightInd w:val="0"/>
              <w:snapToGrid/>
              <w:spacing w:beforeAutospacing="0" w:afterAutospacing="0" w:line="360" w:lineRule="auto"/>
              <w:textAlignment w:val="baseline"/>
              <w:rPr>
                <w:rFonts w:hint="eastAsia" w:ascii="宋体" w:hAnsi="宋体" w:eastAsia="宋体" w:cs="宋体"/>
                <w:b/>
                <w:bCs/>
                <w:color w:val="auto"/>
                <w:sz w:val="22"/>
                <w:szCs w:val="22"/>
                <w:highlight w:val="none"/>
                <w:shd w:val="clear" w:color="FFFFFF" w:fill="D9D9D9"/>
                <w:lang w:bidi="ar"/>
              </w:rPr>
            </w:pPr>
          </w:p>
        </w:tc>
        <w:tc>
          <w:tcPr>
            <w:tcW w:w="1208" w:type="dxa"/>
          </w:tcPr>
          <w:p w14:paraId="3B4809EC">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6C1CE3DF">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6A209163">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4D2EE1FA">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09686570">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6BDF2A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0" w:type="dxa"/>
            <w:vAlign w:val="center"/>
          </w:tcPr>
          <w:p w14:paraId="58ADAB79">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22</w:t>
            </w:r>
          </w:p>
        </w:tc>
        <w:tc>
          <w:tcPr>
            <w:tcW w:w="660" w:type="dxa"/>
          </w:tcPr>
          <w:p w14:paraId="7DEDE375">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0A678946">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7E89955A">
            <w:pPr>
              <w:pStyle w:val="4"/>
              <w:pageBreakBefore w:val="0"/>
              <w:numPr>
                <w:ilvl w:val="1"/>
                <w:numId w:val="0"/>
              </w:numPr>
              <w:shd w:val="clear"/>
              <w:kinsoku/>
              <w:wordWrap/>
              <w:overflowPunct/>
              <w:topLinePunct w:val="0"/>
              <w:autoSpaceDE/>
              <w:autoSpaceDN/>
              <w:bidi w:val="0"/>
              <w:adjustRightInd/>
              <w:snapToGrid/>
              <w:spacing w:before="0" w:line="360" w:lineRule="auto"/>
              <w:ind w:left="0" w:leftChars="0" w:firstLine="0" w:firstLineChars="0"/>
              <w:textAlignment w:val="auto"/>
              <w:rPr>
                <w:rFonts w:hint="eastAsia" w:ascii="宋体" w:hAnsi="宋体" w:eastAsia="宋体" w:cs="宋体"/>
                <w:sz w:val="22"/>
                <w:szCs w:val="22"/>
              </w:rPr>
            </w:pPr>
            <w:r>
              <w:rPr>
                <w:rFonts w:hint="eastAsia" w:ascii="宋体" w:hAnsi="宋体" w:eastAsia="宋体" w:cs="宋体"/>
                <w:b/>
                <w:bCs/>
                <w:kern w:val="2"/>
                <w:sz w:val="22"/>
                <w:szCs w:val="22"/>
                <w:lang w:val="en-US" w:eastAsia="zh-CN" w:bidi="ar-SA"/>
              </w:rPr>
              <w:t>（八）</w:t>
            </w:r>
            <w:r>
              <w:rPr>
                <w:rFonts w:hint="eastAsia" w:ascii="宋体" w:hAnsi="宋体" w:eastAsia="宋体" w:cs="宋体"/>
                <w:b/>
                <w:bCs w:val="0"/>
                <w:sz w:val="22"/>
                <w:szCs w:val="22"/>
              </w:rPr>
              <w:t>一体化智能监控设备箱（挂杆机箱）</w:t>
            </w:r>
          </w:p>
          <w:p w14:paraId="334C6F72">
            <w:pPr>
              <w:keepNext w:val="0"/>
              <w:keepLines w:val="0"/>
              <w:pageBreakBefore w:val="0"/>
              <w:widowControl w:val="0"/>
              <w:shd w:val="clear"/>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lang w:val="zh-CN"/>
              </w:rPr>
            </w:pPr>
            <w:r>
              <w:rPr>
                <w:rFonts w:hint="eastAsia" w:ascii="宋体" w:hAnsi="宋体" w:eastAsia="宋体" w:cs="宋体"/>
                <w:b/>
                <w:bCs/>
                <w:sz w:val="22"/>
                <w:szCs w:val="22"/>
                <w:lang w:val="en-US" w:eastAsia="zh-CN"/>
              </w:rPr>
              <w:t>1.</w:t>
            </w:r>
            <w:r>
              <w:rPr>
                <w:rFonts w:hint="eastAsia" w:ascii="宋体" w:hAnsi="宋体" w:eastAsia="宋体" w:cs="宋体"/>
                <w:b/>
                <w:bCs/>
                <w:sz w:val="22"/>
                <w:szCs w:val="22"/>
                <w:lang w:val="zh-CN"/>
              </w:rPr>
              <w:t>结构要求</w:t>
            </w:r>
          </w:p>
          <w:tbl>
            <w:tblPr>
              <w:tblStyle w:val="41"/>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6"/>
              <w:gridCol w:w="6298"/>
            </w:tblGrid>
            <w:tr w14:paraId="088CF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066" w:type="pct"/>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vAlign w:val="center"/>
                </w:tcPr>
                <w:p w14:paraId="4AE3A3CC">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bCs w:val="0"/>
                      <w:i w:val="0"/>
                      <w:iCs w:val="0"/>
                      <w:color w:val="000000"/>
                      <w:kern w:val="0"/>
                      <w:sz w:val="22"/>
                      <w:szCs w:val="22"/>
                    </w:rPr>
                  </w:pPr>
                  <w:r>
                    <w:rPr>
                      <w:rFonts w:hint="eastAsia" w:ascii="宋体" w:hAnsi="宋体" w:eastAsia="宋体" w:cs="宋体"/>
                      <w:b w:val="0"/>
                      <w:bCs w:val="0"/>
                      <w:i w:val="0"/>
                      <w:iCs w:val="0"/>
                      <w:color w:val="000000"/>
                      <w:kern w:val="0"/>
                      <w:sz w:val="22"/>
                      <w:szCs w:val="22"/>
                    </w:rPr>
                    <w:t>项目</w:t>
                  </w:r>
                </w:p>
              </w:tc>
              <w:tc>
                <w:tcPr>
                  <w:tcW w:w="3934" w:type="pct"/>
                  <w:tcBorders>
                    <w:top w:val="single" w:color="auto" w:sz="6" w:space="0"/>
                    <w:bottom w:val="single" w:color="auto" w:sz="6" w:space="0"/>
                    <w:right w:val="single" w:color="auto" w:sz="6" w:space="0"/>
                    <w:insideH w:val="single" w:sz="6" w:space="0"/>
                    <w:insideV w:val="single" w:sz="6" w:space="0"/>
                    <w:tl2br w:val="nil"/>
                    <w:tr2bl w:val="nil"/>
                  </w:tcBorders>
                  <w:shd w:val="clear" w:color="auto" w:fill="D9D9D9"/>
                  <w:vAlign w:val="center"/>
                </w:tcPr>
                <w:p w14:paraId="5F31E269">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bCs w:val="0"/>
                      <w:i w:val="0"/>
                      <w:iCs w:val="0"/>
                      <w:color w:val="000000"/>
                      <w:kern w:val="0"/>
                      <w:sz w:val="22"/>
                      <w:szCs w:val="22"/>
                    </w:rPr>
                  </w:pPr>
                  <w:r>
                    <w:rPr>
                      <w:rFonts w:hint="eastAsia" w:ascii="宋体" w:hAnsi="宋体" w:eastAsia="宋体" w:cs="宋体"/>
                      <w:b w:val="0"/>
                      <w:bCs w:val="0"/>
                      <w:i w:val="0"/>
                      <w:iCs w:val="0"/>
                      <w:color w:val="000000"/>
                      <w:kern w:val="0"/>
                      <w:sz w:val="22"/>
                      <w:szCs w:val="22"/>
                    </w:rPr>
                    <w:t>参数描述</w:t>
                  </w:r>
                </w:p>
              </w:tc>
            </w:tr>
            <w:tr w14:paraId="34C86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66" w:type="pct"/>
                  <w:vMerge w:val="restart"/>
                  <w:shd w:val="clear" w:color="auto" w:fill="auto"/>
                </w:tcPr>
                <w:p w14:paraId="71777DA6">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材料要求</w:t>
                  </w:r>
                </w:p>
              </w:tc>
              <w:tc>
                <w:tcPr>
                  <w:tcW w:w="3934" w:type="pct"/>
                  <w:shd w:val="clear" w:color="auto" w:fill="auto"/>
                </w:tcPr>
                <w:p w14:paraId="399CCB52">
                  <w:pPr>
                    <w:pageBreakBefore w:val="0"/>
                    <w:widowControl/>
                    <w:shd w:val="clea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监控箱所有结构件采用高强度镀锌板，箱体及门板材料厚度≥1.5mm，抱箍（或壁挂套件）材料厚度≥2.0mm，</w:t>
                  </w:r>
                  <w:r>
                    <w:rPr>
                      <w:rFonts w:hint="eastAsia" w:ascii="宋体" w:hAnsi="宋体" w:eastAsia="宋体" w:cs="宋体"/>
                      <w:color w:val="000000"/>
                      <w:kern w:val="0"/>
                      <w:sz w:val="22"/>
                      <w:szCs w:val="22"/>
                      <w:lang w:eastAsia="zh-CN"/>
                    </w:rPr>
                    <w:t>其他</w:t>
                  </w:r>
                  <w:r>
                    <w:rPr>
                      <w:rFonts w:hint="eastAsia" w:ascii="宋体" w:hAnsi="宋体" w:eastAsia="宋体" w:cs="宋体"/>
                      <w:color w:val="000000"/>
                      <w:kern w:val="0"/>
                      <w:sz w:val="22"/>
                      <w:szCs w:val="22"/>
                    </w:rPr>
                    <w:t>材料厚度不少于1.2mm。</w:t>
                  </w:r>
                </w:p>
              </w:tc>
            </w:tr>
            <w:tr w14:paraId="5C1DC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66" w:type="pct"/>
                  <w:vMerge w:val="continue"/>
                  <w:shd w:val="clear" w:color="auto" w:fill="auto"/>
                </w:tcPr>
                <w:p w14:paraId="15163E1B">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p>
              </w:tc>
              <w:tc>
                <w:tcPr>
                  <w:tcW w:w="3934" w:type="pct"/>
                  <w:shd w:val="clear" w:color="auto" w:fill="auto"/>
                </w:tcPr>
                <w:p w14:paraId="01AAE1E8">
                  <w:pPr>
                    <w:pageBreakBefore w:val="0"/>
                    <w:widowControl/>
                    <w:shd w:val="clea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独立末级接地系统采用纯紫铜材料制作，截面积不少于50mm</w:t>
                  </w:r>
                  <w:r>
                    <w:rPr>
                      <w:rFonts w:hint="eastAsia" w:ascii="宋体" w:hAnsi="宋体" w:eastAsia="宋体" w:cs="宋体"/>
                      <w:color w:val="000000"/>
                      <w:kern w:val="0"/>
                      <w:sz w:val="22"/>
                      <w:szCs w:val="22"/>
                      <w:vertAlign w:val="superscript"/>
                    </w:rPr>
                    <w:t>2</w:t>
                  </w:r>
                  <w:r>
                    <w:rPr>
                      <w:rFonts w:hint="eastAsia" w:ascii="宋体" w:hAnsi="宋体" w:eastAsia="宋体" w:cs="宋体"/>
                      <w:color w:val="000000"/>
                      <w:kern w:val="0"/>
                      <w:sz w:val="22"/>
                      <w:szCs w:val="22"/>
                    </w:rPr>
                    <w:t xml:space="preserve"> 。</w:t>
                  </w:r>
                </w:p>
              </w:tc>
            </w:tr>
            <w:tr w14:paraId="07227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66" w:type="pct"/>
                  <w:vMerge w:val="continue"/>
                  <w:shd w:val="clear" w:color="auto" w:fill="auto"/>
                </w:tcPr>
                <w:p w14:paraId="0C99E3A4">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p>
              </w:tc>
              <w:tc>
                <w:tcPr>
                  <w:tcW w:w="3934" w:type="pct"/>
                  <w:shd w:val="clear" w:color="auto" w:fill="auto"/>
                </w:tcPr>
                <w:p w14:paraId="0151D258">
                  <w:pPr>
                    <w:pageBreakBefore w:val="0"/>
                    <w:widowControl/>
                    <w:shd w:val="clea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监控箱及其附属部件、涂覆层、标志、饰物等均应采用难燃或不燃材料。</w:t>
                  </w:r>
                </w:p>
              </w:tc>
            </w:tr>
            <w:tr w14:paraId="056B9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66" w:type="pct"/>
                  <w:vMerge w:val="restart"/>
                  <w:shd w:val="clear" w:color="auto" w:fill="auto"/>
                </w:tcPr>
                <w:p w14:paraId="4F5B4C0B">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表面处理</w:t>
                  </w:r>
                </w:p>
                <w:p w14:paraId="0FC66A94">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要求</w:t>
                  </w:r>
                </w:p>
              </w:tc>
              <w:tc>
                <w:tcPr>
                  <w:tcW w:w="3934" w:type="pct"/>
                  <w:shd w:val="clear" w:color="auto" w:fill="auto"/>
                </w:tcPr>
                <w:p w14:paraId="16CCBE76">
                  <w:pPr>
                    <w:pageBreakBefore w:val="0"/>
                    <w:widowControl/>
                    <w:shd w:val="clea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金属件前处理均采用热磷化处理，表面采用环保型防静电涂层，涂料应满足户外使用环境要求。</w:t>
                  </w:r>
                </w:p>
              </w:tc>
            </w:tr>
            <w:tr w14:paraId="60D61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66" w:type="pct"/>
                  <w:vMerge w:val="continue"/>
                  <w:shd w:val="clear" w:color="auto" w:fill="auto"/>
                </w:tcPr>
                <w:p w14:paraId="3F1A59E9">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p>
              </w:tc>
              <w:tc>
                <w:tcPr>
                  <w:tcW w:w="3934" w:type="pct"/>
                  <w:shd w:val="clear" w:color="auto" w:fill="auto"/>
                </w:tcPr>
                <w:p w14:paraId="4C6A0E9E">
                  <w:pPr>
                    <w:pageBreakBefore w:val="0"/>
                    <w:widowControl/>
                    <w:shd w:val="clea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表面喷塑厚度达到65～90µm，表面喷塑硬度应大于2H。</w:t>
                  </w:r>
                </w:p>
              </w:tc>
            </w:tr>
            <w:tr w14:paraId="36A9F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66" w:type="pct"/>
                  <w:vMerge w:val="restart"/>
                  <w:shd w:val="clear" w:color="auto" w:fill="auto"/>
                </w:tcPr>
                <w:p w14:paraId="0DA0544A">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结构要求</w:t>
                  </w:r>
                </w:p>
              </w:tc>
              <w:tc>
                <w:tcPr>
                  <w:tcW w:w="3934" w:type="pct"/>
                  <w:shd w:val="clear" w:color="auto" w:fill="auto"/>
                </w:tcPr>
                <w:p w14:paraId="69A0D727">
                  <w:pPr>
                    <w:pageBreakBefore w:val="0"/>
                    <w:widowControl/>
                    <w:shd w:val="clea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 xml:space="preserve">箱内尺寸（不含防雨帽）：≥宽450mm </w:t>
                  </w:r>
                  <w:r>
                    <w:rPr>
                      <w:rFonts w:hint="eastAsia" w:ascii="宋体" w:hAnsi="宋体" w:eastAsia="宋体" w:cs="宋体"/>
                      <w:color w:val="000000"/>
                      <w:kern w:val="0"/>
                      <w:sz w:val="22"/>
                      <w:szCs w:val="22"/>
                      <w:lang w:val="en-US" w:eastAsia="zh-CN"/>
                    </w:rPr>
                    <w:t>×</w:t>
                  </w:r>
                  <w:r>
                    <w:rPr>
                      <w:rFonts w:hint="eastAsia" w:ascii="宋体" w:hAnsi="宋体" w:eastAsia="宋体" w:cs="宋体"/>
                      <w:color w:val="000000"/>
                      <w:kern w:val="0"/>
                      <w:sz w:val="22"/>
                      <w:szCs w:val="22"/>
                    </w:rPr>
                    <w:t xml:space="preserve">高600mm </w:t>
                  </w:r>
                  <w:r>
                    <w:rPr>
                      <w:rFonts w:hint="eastAsia" w:ascii="宋体" w:hAnsi="宋体" w:eastAsia="宋体" w:cs="宋体"/>
                      <w:color w:val="000000"/>
                      <w:kern w:val="0"/>
                      <w:sz w:val="22"/>
                      <w:szCs w:val="22"/>
                      <w:lang w:val="en-US" w:eastAsia="zh-CN"/>
                    </w:rPr>
                    <w:t>×</w:t>
                  </w:r>
                  <w:r>
                    <w:rPr>
                      <w:rFonts w:hint="eastAsia" w:ascii="宋体" w:hAnsi="宋体" w:eastAsia="宋体" w:cs="宋体"/>
                      <w:color w:val="000000"/>
                      <w:kern w:val="0"/>
                      <w:sz w:val="22"/>
                      <w:szCs w:val="22"/>
                    </w:rPr>
                    <w:t xml:space="preserve">深350mm </w:t>
                  </w:r>
                  <w:r>
                    <w:rPr>
                      <w:rFonts w:hint="eastAsia" w:ascii="宋体" w:hAnsi="宋体" w:eastAsia="宋体" w:cs="宋体"/>
                      <w:color w:val="000000"/>
                      <w:kern w:val="0"/>
                      <w:sz w:val="22"/>
                      <w:szCs w:val="22"/>
                      <w:lang w:eastAsia="zh-CN"/>
                    </w:rPr>
                    <w:t>。</w:t>
                  </w:r>
                </w:p>
              </w:tc>
            </w:tr>
            <w:tr w14:paraId="2A75C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82" w:hRule="atLeast"/>
                <w:jc w:val="center"/>
              </w:trPr>
              <w:tc>
                <w:tcPr>
                  <w:tcW w:w="1066" w:type="pct"/>
                  <w:vMerge w:val="continue"/>
                  <w:shd w:val="clear" w:color="auto" w:fill="auto"/>
                </w:tcPr>
                <w:p w14:paraId="6EFACB70">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p>
              </w:tc>
              <w:tc>
                <w:tcPr>
                  <w:tcW w:w="3934" w:type="pct"/>
                  <w:shd w:val="clear" w:color="auto" w:fill="auto"/>
                </w:tcPr>
                <w:p w14:paraId="05655EE4">
                  <w:pPr>
                    <w:pageBreakBefore w:val="0"/>
                    <w:widowControl/>
                    <w:shd w:val="clea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隔板承载负荷应大于15公斤。</w:t>
                  </w:r>
                </w:p>
                <w:p w14:paraId="36E38C14">
                  <w:pPr>
                    <w:pageBreakBefore w:val="0"/>
                    <w:widowControl/>
                    <w:shd w:val="clea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监控箱总负荷应大于50公斤。</w:t>
                  </w:r>
                </w:p>
              </w:tc>
            </w:tr>
            <w:tr w14:paraId="0C540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66" w:type="pct"/>
                  <w:vMerge w:val="continue"/>
                  <w:shd w:val="clear" w:color="auto" w:fill="auto"/>
                </w:tcPr>
                <w:p w14:paraId="2D9DB92D">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p>
              </w:tc>
              <w:tc>
                <w:tcPr>
                  <w:tcW w:w="3934" w:type="pct"/>
                  <w:shd w:val="clear" w:color="auto" w:fill="auto"/>
                </w:tcPr>
                <w:p w14:paraId="2905A20D">
                  <w:pPr>
                    <w:pageBreakBefore w:val="0"/>
                    <w:widowControl/>
                    <w:shd w:val="clea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监控箱配置≥1块隔板分双层设计，隔板应可根据设备安装的需求灵活上、下调节，</w:t>
                  </w:r>
                  <w:r>
                    <w:rPr>
                      <w:rFonts w:hint="eastAsia" w:ascii="宋体" w:hAnsi="宋体" w:eastAsia="宋体" w:cs="宋体"/>
                      <w:color w:val="000000"/>
                      <w:kern w:val="0"/>
                      <w:sz w:val="22"/>
                      <w:szCs w:val="22"/>
                      <w:lang w:val="en-US" w:eastAsia="zh-CN"/>
                    </w:rPr>
                    <w:t>采用</w:t>
                  </w:r>
                  <w:r>
                    <w:rPr>
                      <w:rFonts w:hint="eastAsia" w:ascii="宋体" w:hAnsi="宋体" w:eastAsia="宋体" w:cs="宋体"/>
                      <w:color w:val="000000"/>
                      <w:kern w:val="0"/>
                      <w:sz w:val="22"/>
                      <w:szCs w:val="22"/>
                    </w:rPr>
                    <w:t>散热孔设计。</w:t>
                  </w:r>
                </w:p>
              </w:tc>
            </w:tr>
            <w:tr w14:paraId="62660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66" w:type="pct"/>
                  <w:vMerge w:val="continue"/>
                  <w:shd w:val="clear" w:color="auto" w:fill="auto"/>
                </w:tcPr>
                <w:p w14:paraId="122D769E">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p>
              </w:tc>
              <w:tc>
                <w:tcPr>
                  <w:tcW w:w="3934" w:type="pct"/>
                  <w:shd w:val="clear" w:color="auto" w:fill="auto"/>
                </w:tcPr>
                <w:p w14:paraId="615972A9">
                  <w:pPr>
                    <w:pageBreakBefore w:val="0"/>
                    <w:widowControl/>
                    <w:shd w:val="clea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监控箱下进线方式，应匹配立杆合理设计走线孔，孔径应满足走线需求。监控箱两侧合理设计理线环，</w:t>
                  </w:r>
                </w:p>
              </w:tc>
            </w:tr>
            <w:tr w14:paraId="6C64F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66" w:type="pct"/>
                  <w:vMerge w:val="continue"/>
                  <w:shd w:val="clear" w:color="auto" w:fill="auto"/>
                </w:tcPr>
                <w:p w14:paraId="3148D95F">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p>
              </w:tc>
              <w:tc>
                <w:tcPr>
                  <w:tcW w:w="3934" w:type="pct"/>
                  <w:shd w:val="clear" w:color="auto" w:fill="auto"/>
                </w:tcPr>
                <w:p w14:paraId="6D63CEBD">
                  <w:pPr>
                    <w:pageBreakBefore w:val="0"/>
                    <w:widowControl/>
                    <w:shd w:val="clea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前门单扇门开启，内侧设计密封橡胶条，令前门与箱体无缝配合，应</w:t>
                  </w:r>
                  <w:r>
                    <w:rPr>
                      <w:rFonts w:hint="eastAsia" w:ascii="宋体" w:hAnsi="宋体" w:eastAsia="宋体" w:cs="宋体"/>
                      <w:color w:val="000000"/>
                      <w:kern w:val="0"/>
                      <w:sz w:val="22"/>
                      <w:szCs w:val="22"/>
                      <w:lang w:val="en-US" w:eastAsia="zh-CN"/>
                    </w:rPr>
                    <w:t>符合</w:t>
                  </w:r>
                  <w:r>
                    <w:rPr>
                      <w:rFonts w:hint="eastAsia" w:ascii="宋体" w:hAnsi="宋体" w:eastAsia="宋体" w:cs="宋体"/>
                      <w:color w:val="000000"/>
                      <w:kern w:val="0"/>
                      <w:sz w:val="22"/>
                      <w:szCs w:val="22"/>
                    </w:rPr>
                    <w:t>≥IP55防护标准。</w:t>
                  </w:r>
                </w:p>
              </w:tc>
            </w:tr>
            <w:tr w14:paraId="29D4E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66" w:type="pct"/>
                  <w:vMerge w:val="continue"/>
                  <w:shd w:val="clear" w:color="auto" w:fill="auto"/>
                </w:tcPr>
                <w:p w14:paraId="3F08295E">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p>
              </w:tc>
              <w:tc>
                <w:tcPr>
                  <w:tcW w:w="3934" w:type="pct"/>
                  <w:shd w:val="clear" w:color="auto" w:fill="auto"/>
                </w:tcPr>
                <w:p w14:paraId="1C061FEA">
                  <w:pPr>
                    <w:pageBreakBefore w:val="0"/>
                    <w:widowControl/>
                    <w:shd w:val="clea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门锁要求：锁具的抗破坏性能应符合GA/T 73-1994中的B级要求。</w:t>
                  </w:r>
                </w:p>
              </w:tc>
            </w:tr>
            <w:tr w14:paraId="45B36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66" w:type="pct"/>
                  <w:vMerge w:val="restart"/>
                  <w:shd w:val="clear" w:color="auto" w:fill="auto"/>
                </w:tcPr>
                <w:p w14:paraId="75C5BE9A">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散热要求</w:t>
                  </w:r>
                </w:p>
              </w:tc>
              <w:tc>
                <w:tcPr>
                  <w:tcW w:w="3934" w:type="pct"/>
                  <w:shd w:val="clear" w:color="auto" w:fill="auto"/>
                </w:tcPr>
                <w:p w14:paraId="40B2E888">
                  <w:pPr>
                    <w:pageBreakBefore w:val="0"/>
                    <w:widowControl/>
                    <w:shd w:val="clea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采用自然散热方式，箱体两侧设置散热页窗，内侧</w:t>
                  </w:r>
                  <w:r>
                    <w:rPr>
                      <w:rFonts w:hint="eastAsia" w:ascii="宋体" w:hAnsi="宋体" w:eastAsia="宋体" w:cs="宋体"/>
                      <w:color w:val="000000"/>
                      <w:kern w:val="0"/>
                      <w:sz w:val="22"/>
                      <w:szCs w:val="22"/>
                      <w:lang w:val="en-US" w:eastAsia="zh-CN"/>
                    </w:rPr>
                    <w:t>配备</w:t>
                  </w:r>
                  <w:r>
                    <w:rPr>
                      <w:rFonts w:hint="eastAsia" w:ascii="宋体" w:hAnsi="宋体" w:eastAsia="宋体" w:cs="宋体"/>
                      <w:color w:val="000000"/>
                      <w:kern w:val="0"/>
                      <w:sz w:val="22"/>
                      <w:szCs w:val="22"/>
                    </w:rPr>
                    <w:t>免工具拆卸防尘网，要求</w:t>
                  </w:r>
                  <w:r>
                    <w:rPr>
                      <w:rFonts w:hint="eastAsia" w:ascii="宋体" w:hAnsi="宋体" w:eastAsia="宋体" w:cs="宋体"/>
                      <w:color w:val="000000"/>
                      <w:kern w:val="0"/>
                      <w:sz w:val="22"/>
                      <w:szCs w:val="22"/>
                      <w:lang w:val="en-US" w:eastAsia="zh-CN"/>
                    </w:rPr>
                    <w:t>采用</w:t>
                  </w:r>
                  <w:r>
                    <w:rPr>
                      <w:rFonts w:hint="eastAsia" w:ascii="宋体" w:hAnsi="宋体" w:eastAsia="宋体" w:cs="宋体"/>
                      <w:color w:val="000000"/>
                      <w:kern w:val="0"/>
                      <w:sz w:val="22"/>
                      <w:szCs w:val="22"/>
                    </w:rPr>
                    <w:t>可清洗</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lang w:val="en-US" w:eastAsia="zh-CN"/>
                    </w:rPr>
                    <w:t>可</w:t>
                  </w:r>
                  <w:r>
                    <w:rPr>
                      <w:rFonts w:hint="eastAsia" w:ascii="宋体" w:hAnsi="宋体" w:eastAsia="宋体" w:cs="宋体"/>
                      <w:color w:val="000000"/>
                      <w:kern w:val="0"/>
                      <w:sz w:val="22"/>
                      <w:szCs w:val="22"/>
                    </w:rPr>
                    <w:t>反复使用</w:t>
                  </w:r>
                  <w:r>
                    <w:rPr>
                      <w:rFonts w:hint="eastAsia" w:ascii="宋体" w:hAnsi="宋体" w:eastAsia="宋体" w:cs="宋体"/>
                      <w:color w:val="000000"/>
                      <w:kern w:val="0"/>
                      <w:sz w:val="22"/>
                      <w:szCs w:val="22"/>
                      <w:lang w:val="en-US" w:eastAsia="zh-CN"/>
                    </w:rPr>
                    <w:t>的</w:t>
                  </w:r>
                  <w:r>
                    <w:rPr>
                      <w:rFonts w:hint="eastAsia" w:ascii="宋体" w:hAnsi="宋体" w:eastAsia="宋体" w:cs="宋体"/>
                      <w:color w:val="000000"/>
                      <w:kern w:val="0"/>
                      <w:sz w:val="22"/>
                      <w:szCs w:val="22"/>
                    </w:rPr>
                    <w:t>环保型材料，应符合≥IP55防护标准。</w:t>
                  </w:r>
                </w:p>
              </w:tc>
            </w:tr>
            <w:tr w14:paraId="4B9FD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66" w:type="pct"/>
                  <w:vMerge w:val="continue"/>
                  <w:shd w:val="clear" w:color="auto" w:fill="auto"/>
                </w:tcPr>
                <w:p w14:paraId="6F13CD48">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p>
              </w:tc>
              <w:tc>
                <w:tcPr>
                  <w:tcW w:w="3934" w:type="pct"/>
                  <w:shd w:val="clear" w:color="auto" w:fill="auto"/>
                </w:tcPr>
                <w:p w14:paraId="5FDAEF1C">
                  <w:pPr>
                    <w:pageBreakBefore w:val="0"/>
                    <w:widowControl/>
                    <w:shd w:val="clea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预设强排散热风扇，</w:t>
                  </w:r>
                  <w:r>
                    <w:rPr>
                      <w:rFonts w:hint="eastAsia" w:ascii="宋体" w:hAnsi="宋体" w:eastAsia="宋体" w:cs="宋体"/>
                      <w:color w:val="000000"/>
                      <w:kern w:val="0"/>
                      <w:sz w:val="22"/>
                      <w:szCs w:val="22"/>
                      <w:lang w:val="en-US" w:eastAsia="zh-CN"/>
                    </w:rPr>
                    <w:t>支持</w:t>
                  </w:r>
                  <w:r>
                    <w:rPr>
                      <w:rFonts w:hint="eastAsia" w:ascii="宋体" w:hAnsi="宋体" w:eastAsia="宋体" w:cs="宋体"/>
                      <w:color w:val="000000"/>
                      <w:kern w:val="0"/>
                      <w:sz w:val="22"/>
                      <w:szCs w:val="22"/>
                    </w:rPr>
                    <w:t>AC220V或DC12V供电，智能温度感应系统控制工作模式。箱体内温度</w:t>
                  </w:r>
                  <w:r>
                    <w:rPr>
                      <w:rFonts w:hint="eastAsia" w:ascii="宋体" w:hAnsi="宋体" w:eastAsia="宋体" w:cs="宋体"/>
                      <w:color w:val="000000"/>
                      <w:kern w:val="0"/>
                      <w:sz w:val="22"/>
                      <w:szCs w:val="22"/>
                      <w:lang w:val="en-US" w:eastAsia="zh-CN"/>
                    </w:rPr>
                    <w:t>标准</w:t>
                  </w:r>
                  <w:r>
                    <w:rPr>
                      <w:rFonts w:hint="eastAsia" w:ascii="宋体" w:hAnsi="宋体" w:eastAsia="宋体" w:cs="宋体"/>
                      <w:color w:val="000000"/>
                      <w:kern w:val="0"/>
                      <w:sz w:val="22"/>
                      <w:szCs w:val="22"/>
                    </w:rPr>
                    <w:t>：夏季≤45℃，冬季≤27℃</w:t>
                  </w:r>
                  <w:r>
                    <w:rPr>
                      <w:rFonts w:hint="eastAsia" w:ascii="宋体" w:hAnsi="宋体" w:eastAsia="宋体" w:cs="宋体"/>
                      <w:color w:val="000000"/>
                      <w:kern w:val="0"/>
                      <w:sz w:val="22"/>
                      <w:szCs w:val="22"/>
                      <w:lang w:eastAsia="zh-CN"/>
                    </w:rPr>
                    <w:t>。</w:t>
                  </w:r>
                </w:p>
              </w:tc>
            </w:tr>
            <w:tr w14:paraId="41CA4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66" w:type="pct"/>
                  <w:shd w:val="clear" w:color="auto" w:fill="auto"/>
                </w:tcPr>
                <w:p w14:paraId="11FFC328">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防护等级要求</w:t>
                  </w:r>
                </w:p>
              </w:tc>
              <w:tc>
                <w:tcPr>
                  <w:tcW w:w="3934" w:type="pct"/>
                  <w:shd w:val="clear" w:color="auto" w:fill="auto"/>
                </w:tcPr>
                <w:p w14:paraId="2B9AE216">
                  <w:pPr>
                    <w:pageBreakBefore w:val="0"/>
                    <w:widowControl/>
                    <w:shd w:val="clea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防护等级要求≥IP55</w:t>
                  </w:r>
                  <w:r>
                    <w:rPr>
                      <w:rFonts w:hint="eastAsia" w:ascii="宋体" w:hAnsi="宋体" w:eastAsia="宋体" w:cs="宋体"/>
                      <w:color w:val="000000"/>
                      <w:kern w:val="0"/>
                      <w:sz w:val="22"/>
                      <w:szCs w:val="22"/>
                      <w:lang w:eastAsia="zh-CN"/>
                    </w:rPr>
                    <w:t>。</w:t>
                  </w:r>
                </w:p>
              </w:tc>
            </w:tr>
            <w:tr w14:paraId="0DD32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66" w:type="pct"/>
                  <w:shd w:val="clear" w:color="auto" w:fill="auto"/>
                </w:tcPr>
                <w:p w14:paraId="10DE2576">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附属配置</w:t>
                  </w:r>
                </w:p>
              </w:tc>
              <w:tc>
                <w:tcPr>
                  <w:tcW w:w="3934" w:type="pct"/>
                  <w:shd w:val="clear" w:color="auto" w:fill="auto"/>
                </w:tcPr>
                <w:p w14:paraId="27426FB2">
                  <w:pPr>
                    <w:pageBreakBefore w:val="0"/>
                    <w:widowControl/>
                    <w:shd w:val="clea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抱箍组件≥1套或壁挂组件≥1套</w:t>
                  </w:r>
                  <w:r>
                    <w:rPr>
                      <w:rFonts w:hint="eastAsia" w:ascii="宋体" w:hAnsi="宋体" w:eastAsia="宋体" w:cs="宋体"/>
                      <w:color w:val="000000"/>
                      <w:kern w:val="0"/>
                      <w:sz w:val="22"/>
                      <w:szCs w:val="22"/>
                      <w:lang w:eastAsia="zh-CN"/>
                    </w:rPr>
                    <w:t>。</w:t>
                  </w:r>
                </w:p>
              </w:tc>
            </w:tr>
          </w:tbl>
          <w:p w14:paraId="28BAC4D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lang w:val="zh-CN"/>
              </w:rPr>
            </w:pPr>
            <w:r>
              <w:rPr>
                <w:rFonts w:hint="eastAsia" w:ascii="宋体" w:hAnsi="宋体" w:eastAsia="宋体" w:cs="宋体"/>
                <w:b/>
                <w:bCs/>
                <w:kern w:val="2"/>
                <w:sz w:val="22"/>
                <w:szCs w:val="22"/>
                <w:lang w:val="en-US" w:eastAsia="zh-CN" w:bidi="ar-SA"/>
              </w:rPr>
              <w:t>2.</w:t>
            </w:r>
            <w:r>
              <w:rPr>
                <w:rFonts w:hint="eastAsia" w:ascii="宋体" w:hAnsi="宋体" w:eastAsia="宋体" w:cs="宋体"/>
                <w:b/>
                <w:bCs/>
                <w:sz w:val="22"/>
                <w:szCs w:val="22"/>
                <w:lang w:val="zh-CN"/>
              </w:rPr>
              <w:t>功能要求</w:t>
            </w:r>
          </w:p>
          <w:tbl>
            <w:tblPr>
              <w:tblStyle w:val="19"/>
              <w:tblW w:w="79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6584"/>
            </w:tblGrid>
            <w:tr w14:paraId="1441E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402" w:type="dxa"/>
                  <w:shd w:val="clear" w:color="auto" w:fill="CFCECE" w:themeFill="background2" w:themeFillShade="E5"/>
                </w:tcPr>
                <w:p w14:paraId="188D5CA0">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bCs/>
                      <w:i w:val="0"/>
                      <w:iCs w:val="0"/>
                      <w:color w:val="000000"/>
                      <w:kern w:val="0"/>
                      <w:sz w:val="22"/>
                      <w:szCs w:val="22"/>
                      <w:lang w:val="en-US" w:eastAsia="zh-CN"/>
                    </w:rPr>
                  </w:pPr>
                  <w:r>
                    <w:rPr>
                      <w:rFonts w:hint="eastAsia" w:ascii="宋体" w:hAnsi="宋体" w:eastAsia="宋体" w:cs="宋体"/>
                      <w:b/>
                      <w:bCs/>
                      <w:i w:val="0"/>
                      <w:iCs w:val="0"/>
                      <w:color w:val="000000"/>
                      <w:kern w:val="0"/>
                      <w:sz w:val="22"/>
                      <w:szCs w:val="22"/>
                    </w:rPr>
                    <w:t>项目</w:t>
                  </w:r>
                </w:p>
              </w:tc>
              <w:tc>
                <w:tcPr>
                  <w:tcW w:w="6584" w:type="dxa"/>
                  <w:shd w:val="clear" w:color="auto" w:fill="CFCECE" w:themeFill="background2" w:themeFillShade="E5"/>
                </w:tcPr>
                <w:p w14:paraId="6F18A219">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bCs/>
                      <w:i w:val="0"/>
                      <w:iCs w:val="0"/>
                      <w:color w:val="000000"/>
                      <w:kern w:val="0"/>
                      <w:sz w:val="22"/>
                      <w:szCs w:val="22"/>
                      <w:lang w:val="en-US" w:eastAsia="zh-CN"/>
                    </w:rPr>
                  </w:pPr>
                  <w:r>
                    <w:rPr>
                      <w:rFonts w:hint="eastAsia" w:ascii="宋体" w:hAnsi="宋体" w:eastAsia="宋体" w:cs="宋体"/>
                      <w:b/>
                      <w:bCs/>
                      <w:i w:val="0"/>
                      <w:iCs w:val="0"/>
                      <w:color w:val="000000"/>
                      <w:kern w:val="0"/>
                      <w:sz w:val="22"/>
                      <w:szCs w:val="22"/>
                    </w:rPr>
                    <w:t>参数描述</w:t>
                  </w:r>
                </w:p>
              </w:tc>
            </w:tr>
            <w:tr w14:paraId="44FE8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2" w:type="dxa"/>
                  <w:vAlign w:val="center"/>
                </w:tcPr>
                <w:p w14:paraId="49F65A1E">
                  <w:pPr>
                    <w:pStyle w:val="4"/>
                    <w:pageBreakBefore w:val="0"/>
                    <w:numPr>
                      <w:ilvl w:val="1"/>
                      <w:numId w:val="0"/>
                    </w:numPr>
                    <w:kinsoku/>
                    <w:wordWrap/>
                    <w:overflowPunct/>
                    <w:topLinePunct w:val="0"/>
                    <w:autoSpaceDE/>
                    <w:autoSpaceDN/>
                    <w:bidi w:val="0"/>
                    <w:adjustRightInd/>
                    <w:snapToGrid/>
                    <w:spacing w:before="0" w:line="360" w:lineRule="auto"/>
                    <w:jc w:val="center"/>
                    <w:textAlignment w:val="auto"/>
                    <w:rPr>
                      <w:rFonts w:hint="eastAsia" w:ascii="宋体" w:hAnsi="宋体" w:eastAsia="宋体" w:cs="宋体"/>
                      <w:b/>
                      <w:bCs/>
                      <w:kern w:val="2"/>
                      <w:sz w:val="22"/>
                      <w:szCs w:val="22"/>
                      <w:vertAlign w:val="baseline"/>
                      <w:lang w:val="en-US" w:eastAsia="zh-CN" w:bidi="ar-SA"/>
                    </w:rPr>
                  </w:pPr>
                  <w:r>
                    <w:rPr>
                      <w:rFonts w:hint="eastAsia" w:ascii="宋体" w:hAnsi="宋体" w:eastAsia="宋体" w:cs="宋体"/>
                      <w:color w:val="000000"/>
                      <w:kern w:val="0"/>
                      <w:sz w:val="22"/>
                      <w:szCs w:val="22"/>
                    </w:rPr>
                    <w:t>自动重合闸</w:t>
                  </w:r>
                </w:p>
              </w:tc>
              <w:tc>
                <w:tcPr>
                  <w:tcW w:w="6584" w:type="dxa"/>
                </w:tcPr>
                <w:p w14:paraId="46BD6CED">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val="0"/>
                      <w:bCs w:val="0"/>
                      <w:kern w:val="2"/>
                      <w:sz w:val="22"/>
                      <w:szCs w:val="22"/>
                      <w:vertAlign w:val="baseline"/>
                      <w:lang w:val="en-US" w:eastAsia="zh-CN" w:bidi="ar-SA"/>
                    </w:rPr>
                  </w:pPr>
                  <w:r>
                    <w:rPr>
                      <w:rFonts w:hint="eastAsia" w:ascii="宋体" w:hAnsi="宋体" w:eastAsia="宋体" w:cs="宋体"/>
                      <w:b w:val="0"/>
                      <w:bCs w:val="0"/>
                      <w:kern w:val="2"/>
                      <w:sz w:val="22"/>
                      <w:szCs w:val="22"/>
                      <w:vertAlign w:val="baseline"/>
                      <w:lang w:val="en-US" w:eastAsia="zh-CN" w:bidi="ar-SA"/>
                    </w:rPr>
                    <w:t>1.配备≥1个32A自动重合闸，支持自动合闸功能，具有过压、欠压、过流、短路、漏电保护功能，支持远程合闸和开闸。</w:t>
                  </w:r>
                </w:p>
                <w:p w14:paraId="2A06DD11">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bCs/>
                      <w:kern w:val="2"/>
                      <w:sz w:val="22"/>
                      <w:szCs w:val="22"/>
                      <w:vertAlign w:val="baseline"/>
                      <w:lang w:val="en-US" w:eastAsia="zh-CN" w:bidi="ar-SA"/>
                    </w:rPr>
                  </w:pPr>
                  <w:r>
                    <w:rPr>
                      <w:rFonts w:hint="eastAsia" w:ascii="宋体" w:hAnsi="宋体" w:eastAsia="宋体" w:cs="宋体"/>
                      <w:b w:val="0"/>
                      <w:bCs w:val="0"/>
                      <w:kern w:val="2"/>
                      <w:sz w:val="22"/>
                      <w:szCs w:val="22"/>
                      <w:vertAlign w:val="baseline"/>
                      <w:lang w:val="en-US" w:eastAsia="zh-CN" w:bidi="ar-SA"/>
                    </w:rPr>
                    <w:t>2.配备≥1个2P 63A空开、≥1个2P 32A空开，≥3个2P10A空开。</w:t>
                  </w:r>
                </w:p>
              </w:tc>
            </w:tr>
            <w:tr w14:paraId="2261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2" w:type="dxa"/>
                  <w:vAlign w:val="center"/>
                </w:tcPr>
                <w:p w14:paraId="1A81F0DE">
                  <w:pPr>
                    <w:pStyle w:val="4"/>
                    <w:pageBreakBefore w:val="0"/>
                    <w:numPr>
                      <w:ilvl w:val="1"/>
                      <w:numId w:val="0"/>
                    </w:numPr>
                    <w:kinsoku/>
                    <w:wordWrap/>
                    <w:overflowPunct/>
                    <w:topLinePunct w:val="0"/>
                    <w:autoSpaceDE/>
                    <w:autoSpaceDN/>
                    <w:bidi w:val="0"/>
                    <w:adjustRightInd/>
                    <w:snapToGrid/>
                    <w:spacing w:before="0" w:line="360" w:lineRule="auto"/>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机箱智能运维终端</w:t>
                  </w:r>
                </w:p>
              </w:tc>
              <w:tc>
                <w:tcPr>
                  <w:tcW w:w="6584" w:type="dxa"/>
                </w:tcPr>
                <w:p w14:paraId="4FE94E7B">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val="0"/>
                      <w:bCs w:val="0"/>
                      <w:kern w:val="2"/>
                      <w:sz w:val="22"/>
                      <w:szCs w:val="22"/>
                      <w:vertAlign w:val="baseline"/>
                      <w:lang w:val="en-US" w:eastAsia="zh-CN" w:bidi="ar-SA"/>
                    </w:rPr>
                  </w:pPr>
                  <w:r>
                    <w:rPr>
                      <w:rFonts w:hint="eastAsia" w:ascii="宋体" w:hAnsi="宋体" w:cs="宋体"/>
                      <w:b w:val="0"/>
                      <w:bCs w:val="0"/>
                      <w:kern w:val="2"/>
                      <w:sz w:val="22"/>
                      <w:szCs w:val="22"/>
                      <w:vertAlign w:val="baseline"/>
                      <w:lang w:val="en-US" w:eastAsia="zh-CN" w:bidi="ar-SA"/>
                    </w:rPr>
                    <w:t>1</w:t>
                  </w:r>
                  <w:r>
                    <w:rPr>
                      <w:rFonts w:hint="eastAsia" w:ascii="宋体" w:hAnsi="宋体" w:eastAsia="宋体" w:cs="宋体"/>
                      <w:b w:val="0"/>
                      <w:bCs w:val="0"/>
                      <w:kern w:val="2"/>
                      <w:sz w:val="22"/>
                      <w:szCs w:val="22"/>
                      <w:vertAlign w:val="baseline"/>
                      <w:lang w:val="en-US" w:eastAsia="zh-CN" w:bidi="ar-SA"/>
                    </w:rPr>
                    <w:t>.箱体内部至少包含电源防雷器、机箱智能运维终端、配电单元、光纤盘、风扇，箱内单元采用导轨式安装、接线方便，每个单元均可独立更换。</w:t>
                  </w:r>
                </w:p>
                <w:p w14:paraId="69340519">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val="0"/>
                      <w:bCs w:val="0"/>
                      <w:kern w:val="2"/>
                      <w:sz w:val="22"/>
                      <w:szCs w:val="22"/>
                      <w:vertAlign w:val="baseline"/>
                      <w:lang w:val="en-US" w:eastAsia="zh-CN" w:bidi="ar-SA"/>
                    </w:rPr>
                  </w:pPr>
                  <w:r>
                    <w:rPr>
                      <w:rFonts w:hint="eastAsia" w:ascii="宋体" w:hAnsi="宋体" w:cs="宋体"/>
                      <w:b w:val="0"/>
                      <w:bCs w:val="0"/>
                      <w:kern w:val="2"/>
                      <w:sz w:val="22"/>
                      <w:szCs w:val="22"/>
                      <w:vertAlign w:val="baseline"/>
                      <w:lang w:val="en-US" w:eastAsia="zh-CN" w:bidi="ar-SA"/>
                    </w:rPr>
                    <w:t>2</w:t>
                  </w:r>
                  <w:r>
                    <w:rPr>
                      <w:rFonts w:hint="eastAsia" w:ascii="宋体" w:hAnsi="宋体" w:eastAsia="宋体" w:cs="宋体"/>
                      <w:b w:val="0"/>
                      <w:bCs w:val="0"/>
                      <w:kern w:val="2"/>
                      <w:sz w:val="22"/>
                      <w:szCs w:val="22"/>
                      <w:vertAlign w:val="baseline"/>
                      <w:lang w:val="en-US" w:eastAsia="zh-CN" w:bidi="ar-SA"/>
                    </w:rPr>
                    <w:t>.提供≥5路交流220V远程可控输出、≥3路DC 12V远程可控输出、≥2路干节点输入、≥1路RS232通信接口、≥1路RS485通信接口、≥1路CAN协议接口，支持防雷失效检测功能。</w:t>
                  </w:r>
                </w:p>
                <w:p w14:paraId="63B46567">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val="0"/>
                      <w:bCs w:val="0"/>
                      <w:kern w:val="2"/>
                      <w:sz w:val="22"/>
                      <w:szCs w:val="22"/>
                      <w:vertAlign w:val="baseline"/>
                      <w:lang w:val="en-US" w:eastAsia="zh-CN" w:bidi="ar-SA"/>
                    </w:rPr>
                  </w:pPr>
                  <w:r>
                    <w:rPr>
                      <w:rFonts w:hint="eastAsia" w:ascii="宋体" w:hAnsi="宋体" w:cs="宋体"/>
                      <w:b w:val="0"/>
                      <w:bCs w:val="0"/>
                      <w:kern w:val="2"/>
                      <w:sz w:val="22"/>
                      <w:szCs w:val="22"/>
                      <w:vertAlign w:val="baseline"/>
                      <w:lang w:val="en-US" w:eastAsia="zh-CN" w:bidi="ar-SA"/>
                    </w:rPr>
                    <w:t>3</w:t>
                  </w:r>
                  <w:r>
                    <w:rPr>
                      <w:rFonts w:hint="eastAsia" w:ascii="宋体" w:hAnsi="宋体" w:eastAsia="宋体" w:cs="宋体"/>
                      <w:b w:val="0"/>
                      <w:bCs w:val="0"/>
                      <w:kern w:val="2"/>
                      <w:sz w:val="22"/>
                      <w:szCs w:val="22"/>
                      <w:vertAlign w:val="baseline"/>
                      <w:lang w:val="en-US" w:eastAsia="zh-CN" w:bidi="ar-SA"/>
                    </w:rPr>
                    <w:t>.支持供电电压、电流、功率检测，可通过客户端显示；当供电断开时，在客户端上提示供电异常告警。</w:t>
                  </w:r>
                </w:p>
                <w:p w14:paraId="582B99E6">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val="0"/>
                      <w:bCs w:val="0"/>
                      <w:kern w:val="2"/>
                      <w:sz w:val="22"/>
                      <w:szCs w:val="22"/>
                      <w:vertAlign w:val="baseline"/>
                      <w:lang w:val="en-US" w:eastAsia="zh-CN" w:bidi="ar-SA"/>
                    </w:rPr>
                  </w:pPr>
                  <w:r>
                    <w:rPr>
                      <w:rFonts w:hint="eastAsia" w:ascii="宋体" w:hAnsi="宋体" w:cs="宋体"/>
                      <w:b w:val="0"/>
                      <w:bCs w:val="0"/>
                      <w:kern w:val="2"/>
                      <w:sz w:val="22"/>
                      <w:szCs w:val="22"/>
                      <w:vertAlign w:val="baseline"/>
                      <w:lang w:val="en-US" w:eastAsia="zh-CN" w:bidi="ar-SA"/>
                    </w:rPr>
                    <w:t>4</w:t>
                  </w:r>
                  <w:r>
                    <w:rPr>
                      <w:rFonts w:hint="eastAsia" w:ascii="宋体" w:hAnsi="宋体" w:eastAsia="宋体" w:cs="宋体"/>
                      <w:b w:val="0"/>
                      <w:bCs w:val="0"/>
                      <w:kern w:val="2"/>
                      <w:sz w:val="22"/>
                      <w:szCs w:val="22"/>
                      <w:vertAlign w:val="baseline"/>
                      <w:lang w:val="en-US" w:eastAsia="zh-CN" w:bidi="ar-SA"/>
                    </w:rPr>
                    <w:t>.交流输出接口具有远程控制功能，可远程设定工作模式。</w:t>
                  </w:r>
                </w:p>
                <w:p w14:paraId="33F8014C">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val="0"/>
                      <w:bCs w:val="0"/>
                      <w:kern w:val="2"/>
                      <w:sz w:val="22"/>
                      <w:szCs w:val="22"/>
                      <w:vertAlign w:val="baseline"/>
                      <w:lang w:val="en-US" w:eastAsia="zh-CN" w:bidi="ar-SA"/>
                    </w:rPr>
                  </w:pPr>
                  <w:r>
                    <w:rPr>
                      <w:rFonts w:hint="eastAsia" w:ascii="宋体" w:hAnsi="宋体" w:cs="宋体"/>
                      <w:b w:val="0"/>
                      <w:bCs w:val="0"/>
                      <w:kern w:val="2"/>
                      <w:sz w:val="22"/>
                      <w:szCs w:val="22"/>
                      <w:vertAlign w:val="baseline"/>
                      <w:lang w:val="en-US" w:eastAsia="zh-CN" w:bidi="ar-SA"/>
                    </w:rPr>
                    <w:t>5</w:t>
                  </w:r>
                  <w:r>
                    <w:rPr>
                      <w:rFonts w:hint="eastAsia" w:ascii="宋体" w:hAnsi="宋体" w:eastAsia="宋体" w:cs="宋体"/>
                      <w:b w:val="0"/>
                      <w:bCs w:val="0"/>
                      <w:kern w:val="2"/>
                      <w:sz w:val="22"/>
                      <w:szCs w:val="22"/>
                      <w:vertAlign w:val="baseline"/>
                      <w:lang w:val="en-US" w:eastAsia="zh-CN" w:bidi="ar-SA"/>
                    </w:rPr>
                    <w:t>.支持供电电压、电流、功率检测，可通过客户端显示；当供电断开时，在客户端上提示供电异常告警。</w:t>
                  </w:r>
                </w:p>
                <w:p w14:paraId="418A5A7A">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val="0"/>
                      <w:bCs w:val="0"/>
                      <w:kern w:val="2"/>
                      <w:sz w:val="22"/>
                      <w:szCs w:val="22"/>
                      <w:vertAlign w:val="baseline"/>
                      <w:lang w:val="en-US" w:eastAsia="zh-CN" w:bidi="ar-SA"/>
                    </w:rPr>
                  </w:pPr>
                  <w:r>
                    <w:rPr>
                      <w:rFonts w:hint="eastAsia" w:ascii="宋体" w:hAnsi="宋体" w:cs="宋体"/>
                      <w:b w:val="0"/>
                      <w:bCs w:val="0"/>
                      <w:kern w:val="2"/>
                      <w:sz w:val="22"/>
                      <w:szCs w:val="22"/>
                      <w:vertAlign w:val="baseline"/>
                      <w:lang w:val="en-US" w:eastAsia="zh-CN" w:bidi="ar-SA"/>
                    </w:rPr>
                    <w:t>6</w:t>
                  </w:r>
                  <w:r>
                    <w:rPr>
                      <w:rFonts w:hint="eastAsia" w:ascii="宋体" w:hAnsi="宋体" w:eastAsia="宋体" w:cs="宋体"/>
                      <w:b w:val="0"/>
                      <w:bCs w:val="0"/>
                      <w:kern w:val="2"/>
                      <w:sz w:val="22"/>
                      <w:szCs w:val="22"/>
                      <w:vertAlign w:val="baseline"/>
                      <w:lang w:val="en-US" w:eastAsia="zh-CN" w:bidi="ar-SA"/>
                    </w:rPr>
                    <w:t>.可通过软件显示摄像机工作状态并设置摄像机开启，当接入的摄像机断电或网络断开时，可通过客户端软件给出报警最大可支持6路摄像机状态监测。</w:t>
                  </w:r>
                </w:p>
                <w:p w14:paraId="4C4126B7">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val="0"/>
                      <w:bCs w:val="0"/>
                      <w:kern w:val="2"/>
                      <w:sz w:val="22"/>
                      <w:szCs w:val="22"/>
                      <w:vertAlign w:val="baseline"/>
                      <w:lang w:val="en-US" w:eastAsia="zh-CN" w:bidi="ar-SA"/>
                    </w:rPr>
                  </w:pPr>
                  <w:r>
                    <w:rPr>
                      <w:rFonts w:hint="eastAsia" w:ascii="宋体" w:hAnsi="宋体" w:cs="宋体"/>
                      <w:b w:val="0"/>
                      <w:bCs w:val="0"/>
                      <w:kern w:val="2"/>
                      <w:sz w:val="22"/>
                      <w:szCs w:val="22"/>
                      <w:vertAlign w:val="baseline"/>
                      <w:lang w:val="en-US" w:eastAsia="zh-CN" w:bidi="ar-SA"/>
                    </w:rPr>
                    <w:t>7</w:t>
                  </w:r>
                  <w:r>
                    <w:rPr>
                      <w:rFonts w:hint="eastAsia" w:ascii="宋体" w:hAnsi="宋体" w:eastAsia="宋体" w:cs="宋体"/>
                      <w:b w:val="0"/>
                      <w:bCs w:val="0"/>
                      <w:kern w:val="2"/>
                      <w:sz w:val="22"/>
                      <w:szCs w:val="22"/>
                      <w:vertAlign w:val="baseline"/>
                      <w:lang w:val="en-US" w:eastAsia="zh-CN" w:bidi="ar-SA"/>
                    </w:rPr>
                    <w:t>.可通过客户端软件显示网络传输设备工作状态并设置网络传输设备重启。</w:t>
                  </w:r>
                </w:p>
                <w:p w14:paraId="19E496C6">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val="0"/>
                      <w:bCs w:val="0"/>
                      <w:kern w:val="2"/>
                      <w:sz w:val="22"/>
                      <w:szCs w:val="22"/>
                      <w:vertAlign w:val="baseline"/>
                      <w:lang w:val="en-US" w:eastAsia="zh-CN" w:bidi="ar-SA"/>
                    </w:rPr>
                  </w:pPr>
                  <w:r>
                    <w:rPr>
                      <w:rFonts w:hint="eastAsia" w:ascii="宋体" w:hAnsi="宋体" w:cs="宋体"/>
                      <w:b w:val="0"/>
                      <w:bCs w:val="0"/>
                      <w:kern w:val="2"/>
                      <w:sz w:val="22"/>
                      <w:szCs w:val="22"/>
                      <w:vertAlign w:val="baseline"/>
                      <w:lang w:val="en-US" w:eastAsia="zh-CN" w:bidi="ar-SA"/>
                    </w:rPr>
                    <w:t>8</w:t>
                  </w:r>
                  <w:r>
                    <w:rPr>
                      <w:rFonts w:hint="eastAsia" w:ascii="宋体" w:hAnsi="宋体" w:eastAsia="宋体" w:cs="宋体"/>
                      <w:b w:val="0"/>
                      <w:bCs w:val="0"/>
                      <w:kern w:val="2"/>
                      <w:sz w:val="22"/>
                      <w:szCs w:val="22"/>
                      <w:vertAlign w:val="baseline"/>
                      <w:lang w:val="en-US" w:eastAsia="zh-CN" w:bidi="ar-SA"/>
                    </w:rPr>
                    <w:t>.可通过客户端显示补光灯工作状态并设置开启。</w:t>
                  </w:r>
                </w:p>
                <w:p w14:paraId="114E1277">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val="0"/>
                      <w:bCs w:val="0"/>
                      <w:kern w:val="2"/>
                      <w:sz w:val="22"/>
                      <w:szCs w:val="22"/>
                      <w:vertAlign w:val="baseline"/>
                      <w:lang w:val="en-US" w:eastAsia="zh-CN" w:bidi="ar-SA"/>
                    </w:rPr>
                  </w:pPr>
                  <w:r>
                    <w:rPr>
                      <w:rFonts w:hint="eastAsia" w:ascii="宋体" w:hAnsi="宋体" w:eastAsia="宋体" w:cs="宋体"/>
                      <w:b w:val="0"/>
                      <w:bCs w:val="0"/>
                      <w:kern w:val="2"/>
                      <w:sz w:val="22"/>
                      <w:szCs w:val="22"/>
                      <w:vertAlign w:val="baseline"/>
                      <w:lang w:val="en-US" w:eastAsia="zh-CN" w:bidi="ar-SA"/>
                    </w:rPr>
                    <w:t>支持温湿度检测、开关控制、柜门状态检测、自动布防和临时撤防功能。</w:t>
                  </w:r>
                </w:p>
                <w:p w14:paraId="6E95C71A">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val="0"/>
                      <w:bCs w:val="0"/>
                      <w:kern w:val="2"/>
                      <w:sz w:val="22"/>
                      <w:szCs w:val="22"/>
                      <w:vertAlign w:val="baseline"/>
                      <w:lang w:val="en-US" w:eastAsia="zh-CN" w:bidi="ar-SA"/>
                    </w:rPr>
                  </w:pPr>
                  <w:r>
                    <w:rPr>
                      <w:rFonts w:hint="eastAsia" w:ascii="宋体" w:hAnsi="宋体" w:cs="宋体"/>
                      <w:b w:val="0"/>
                      <w:bCs w:val="0"/>
                      <w:kern w:val="2"/>
                      <w:sz w:val="22"/>
                      <w:szCs w:val="22"/>
                      <w:vertAlign w:val="baseline"/>
                      <w:lang w:val="en-US" w:eastAsia="zh-CN" w:bidi="ar-SA"/>
                    </w:rPr>
                    <w:t>9</w:t>
                  </w:r>
                  <w:r>
                    <w:rPr>
                      <w:rFonts w:hint="eastAsia" w:ascii="宋体" w:hAnsi="宋体" w:eastAsia="宋体" w:cs="宋体"/>
                      <w:b w:val="0"/>
                      <w:bCs w:val="0"/>
                      <w:kern w:val="2"/>
                      <w:sz w:val="22"/>
                      <w:szCs w:val="22"/>
                      <w:vertAlign w:val="baseline"/>
                      <w:lang w:val="en-US" w:eastAsia="zh-CN" w:bidi="ar-SA"/>
                    </w:rPr>
                    <w:t>.具有功率过高（非法取电）告警功能，支持设定接入功率阈值，在当前设备的功率基础上接入其他设备的功率超过阈值时，客户端提示功率过高告警。</w:t>
                  </w:r>
                </w:p>
                <w:p w14:paraId="72BF274B">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val="0"/>
                      <w:bCs w:val="0"/>
                      <w:kern w:val="2"/>
                      <w:sz w:val="22"/>
                      <w:szCs w:val="22"/>
                      <w:vertAlign w:val="baseline"/>
                      <w:lang w:val="en-US" w:eastAsia="zh-CN" w:bidi="ar-SA"/>
                    </w:rPr>
                  </w:pPr>
                  <w:r>
                    <w:rPr>
                      <w:rFonts w:hint="eastAsia" w:ascii="宋体" w:hAnsi="宋体" w:eastAsia="宋体" w:cs="宋体"/>
                      <w:b w:val="0"/>
                      <w:bCs w:val="0"/>
                      <w:kern w:val="2"/>
                      <w:sz w:val="22"/>
                      <w:szCs w:val="22"/>
                      <w:vertAlign w:val="baseline"/>
                      <w:lang w:val="en-US" w:eastAsia="zh-CN" w:bidi="ar-SA"/>
                    </w:rPr>
                    <w:t>支持设置验证用户密码。</w:t>
                  </w:r>
                </w:p>
                <w:p w14:paraId="0B9C1445">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val="0"/>
                      <w:bCs w:val="0"/>
                      <w:kern w:val="2"/>
                      <w:sz w:val="22"/>
                      <w:szCs w:val="22"/>
                      <w:vertAlign w:val="baseline"/>
                      <w:lang w:val="en-US" w:eastAsia="zh-CN" w:bidi="ar-SA"/>
                    </w:rPr>
                  </w:pPr>
                  <w:r>
                    <w:rPr>
                      <w:rFonts w:hint="eastAsia" w:ascii="宋体" w:hAnsi="宋体" w:eastAsia="宋体" w:cs="宋体"/>
                      <w:b w:val="0"/>
                      <w:bCs w:val="0"/>
                      <w:kern w:val="2"/>
                      <w:sz w:val="22"/>
                      <w:szCs w:val="22"/>
                      <w:vertAlign w:val="baseline"/>
                      <w:lang w:val="en-US" w:eastAsia="zh-CN" w:bidi="ar-SA"/>
                    </w:rPr>
                    <w:t>1</w:t>
                  </w:r>
                  <w:r>
                    <w:rPr>
                      <w:rFonts w:hint="eastAsia" w:ascii="宋体" w:hAnsi="宋体" w:cs="宋体"/>
                      <w:b w:val="0"/>
                      <w:bCs w:val="0"/>
                      <w:kern w:val="2"/>
                      <w:sz w:val="22"/>
                      <w:szCs w:val="22"/>
                      <w:vertAlign w:val="baseline"/>
                      <w:lang w:val="en-US" w:eastAsia="zh-CN" w:bidi="ar-SA"/>
                    </w:rPr>
                    <w:t>1</w:t>
                  </w:r>
                  <w:r>
                    <w:rPr>
                      <w:rFonts w:hint="eastAsia" w:ascii="宋体" w:hAnsi="宋体" w:eastAsia="宋体" w:cs="宋体"/>
                      <w:b w:val="0"/>
                      <w:bCs w:val="0"/>
                      <w:kern w:val="2"/>
                      <w:sz w:val="22"/>
                      <w:szCs w:val="22"/>
                      <w:vertAlign w:val="baseline"/>
                      <w:lang w:val="en-US" w:eastAsia="zh-CN" w:bidi="ar-SA"/>
                    </w:rPr>
                    <w:t>.支持当系统死机时，具有看门狗自动复位功能。</w:t>
                  </w:r>
                </w:p>
                <w:p w14:paraId="3494124D">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val="0"/>
                      <w:bCs w:val="0"/>
                      <w:kern w:val="2"/>
                      <w:sz w:val="22"/>
                      <w:szCs w:val="22"/>
                      <w:vertAlign w:val="baseline"/>
                      <w:lang w:val="en-US" w:eastAsia="zh-CN" w:bidi="ar-SA"/>
                    </w:rPr>
                  </w:pPr>
                  <w:r>
                    <w:rPr>
                      <w:rFonts w:hint="eastAsia" w:ascii="宋体" w:hAnsi="宋体" w:eastAsia="宋体" w:cs="宋体"/>
                      <w:b w:val="0"/>
                      <w:bCs w:val="0"/>
                      <w:kern w:val="2"/>
                      <w:sz w:val="22"/>
                      <w:szCs w:val="22"/>
                      <w:vertAlign w:val="baseline"/>
                      <w:lang w:val="en-US" w:eastAsia="zh-CN" w:bidi="ar-SA"/>
                    </w:rPr>
                    <w:t>1</w:t>
                  </w:r>
                  <w:r>
                    <w:rPr>
                      <w:rFonts w:hint="eastAsia" w:ascii="宋体" w:hAnsi="宋体" w:cs="宋体"/>
                      <w:b w:val="0"/>
                      <w:bCs w:val="0"/>
                      <w:kern w:val="2"/>
                      <w:sz w:val="22"/>
                      <w:szCs w:val="22"/>
                      <w:vertAlign w:val="baseline"/>
                      <w:lang w:val="en-US" w:eastAsia="zh-CN" w:bidi="ar-SA"/>
                    </w:rPr>
                    <w:t>2</w:t>
                  </w:r>
                  <w:r>
                    <w:rPr>
                      <w:rFonts w:hint="eastAsia" w:ascii="宋体" w:hAnsi="宋体" w:eastAsia="宋体" w:cs="宋体"/>
                      <w:b w:val="0"/>
                      <w:bCs w:val="0"/>
                      <w:kern w:val="2"/>
                      <w:sz w:val="22"/>
                      <w:szCs w:val="22"/>
                      <w:vertAlign w:val="baseline"/>
                      <w:lang w:val="en-US" w:eastAsia="zh-CN" w:bidi="ar-SA"/>
                    </w:rPr>
                    <w:t>.机箱智能运维终端具有一键复位实体按键，当按下复位键，终端可重置自身IP地址。</w:t>
                  </w:r>
                </w:p>
                <w:p w14:paraId="56207503">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val="0"/>
                      <w:bCs w:val="0"/>
                      <w:kern w:val="2"/>
                      <w:sz w:val="22"/>
                      <w:szCs w:val="22"/>
                      <w:vertAlign w:val="baseline"/>
                      <w:lang w:val="en-US" w:eastAsia="zh-CN" w:bidi="ar-SA"/>
                    </w:rPr>
                  </w:pPr>
                  <w:r>
                    <w:rPr>
                      <w:rFonts w:hint="eastAsia" w:ascii="宋体" w:hAnsi="宋体" w:eastAsia="宋体" w:cs="宋体"/>
                      <w:b w:val="0"/>
                      <w:bCs w:val="0"/>
                      <w:kern w:val="2"/>
                      <w:sz w:val="22"/>
                      <w:szCs w:val="22"/>
                      <w:vertAlign w:val="baseline"/>
                      <w:lang w:val="en-US" w:eastAsia="zh-CN" w:bidi="ar-SA"/>
                    </w:rPr>
                    <w:t>1</w:t>
                  </w:r>
                  <w:r>
                    <w:rPr>
                      <w:rFonts w:hint="eastAsia" w:ascii="宋体" w:hAnsi="宋体" w:cs="宋体"/>
                      <w:b w:val="0"/>
                      <w:bCs w:val="0"/>
                      <w:kern w:val="2"/>
                      <w:sz w:val="22"/>
                      <w:szCs w:val="22"/>
                      <w:vertAlign w:val="baseline"/>
                      <w:lang w:val="en-US" w:eastAsia="zh-CN" w:bidi="ar-SA"/>
                    </w:rPr>
                    <w:t>4</w:t>
                  </w:r>
                  <w:r>
                    <w:rPr>
                      <w:rFonts w:hint="eastAsia" w:ascii="宋体" w:hAnsi="宋体" w:eastAsia="宋体" w:cs="宋体"/>
                      <w:b w:val="0"/>
                      <w:bCs w:val="0"/>
                      <w:kern w:val="2"/>
                      <w:sz w:val="22"/>
                      <w:szCs w:val="22"/>
                      <w:vertAlign w:val="baseline"/>
                      <w:lang w:val="en-US" w:eastAsia="zh-CN" w:bidi="ar-SA"/>
                    </w:rPr>
                    <w:t>.支持客户端远程配置心跳保活周期，心跳保活消息定期上报。</w:t>
                  </w:r>
                </w:p>
                <w:p w14:paraId="3EAEBFBD">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val="0"/>
                      <w:bCs w:val="0"/>
                      <w:kern w:val="2"/>
                      <w:sz w:val="22"/>
                      <w:szCs w:val="22"/>
                      <w:vertAlign w:val="baseline"/>
                      <w:lang w:val="en-US" w:eastAsia="zh-CN" w:bidi="ar-SA"/>
                    </w:rPr>
                  </w:pPr>
                  <w:r>
                    <w:rPr>
                      <w:rFonts w:hint="eastAsia" w:ascii="宋体" w:hAnsi="宋体" w:eastAsia="宋体" w:cs="宋体"/>
                      <w:b w:val="0"/>
                      <w:bCs w:val="0"/>
                      <w:kern w:val="2"/>
                      <w:sz w:val="22"/>
                      <w:szCs w:val="22"/>
                      <w:vertAlign w:val="baseline"/>
                      <w:lang w:val="en-US" w:eastAsia="zh-CN" w:bidi="ar-SA"/>
                    </w:rPr>
                    <w:t>1</w:t>
                  </w:r>
                  <w:r>
                    <w:rPr>
                      <w:rFonts w:hint="eastAsia" w:ascii="宋体" w:hAnsi="宋体" w:cs="宋体"/>
                      <w:b w:val="0"/>
                      <w:bCs w:val="0"/>
                      <w:kern w:val="2"/>
                      <w:sz w:val="22"/>
                      <w:szCs w:val="22"/>
                      <w:vertAlign w:val="baseline"/>
                      <w:lang w:val="en-US" w:eastAsia="zh-CN" w:bidi="ar-SA"/>
                    </w:rPr>
                    <w:t>5</w:t>
                  </w:r>
                  <w:r>
                    <w:rPr>
                      <w:rFonts w:hint="eastAsia" w:ascii="宋体" w:hAnsi="宋体" w:eastAsia="宋体" w:cs="宋体"/>
                      <w:b w:val="0"/>
                      <w:bCs w:val="0"/>
                      <w:kern w:val="2"/>
                      <w:sz w:val="22"/>
                      <w:szCs w:val="22"/>
                      <w:vertAlign w:val="baseline"/>
                      <w:lang w:val="en-US" w:eastAsia="zh-CN" w:bidi="ar-SA"/>
                    </w:rPr>
                    <w:t>.智能一体化设备故障告警信息按市局接口接入市局视频智能运维管理系统或统一运维平台。</w:t>
                  </w:r>
                </w:p>
              </w:tc>
            </w:tr>
            <w:tr w14:paraId="51669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2" w:type="dxa"/>
                  <w:vAlign w:val="center"/>
                </w:tcPr>
                <w:p w14:paraId="1D290823">
                  <w:pPr>
                    <w:pStyle w:val="4"/>
                    <w:pageBreakBefore w:val="0"/>
                    <w:numPr>
                      <w:ilvl w:val="1"/>
                      <w:numId w:val="0"/>
                    </w:numPr>
                    <w:kinsoku/>
                    <w:wordWrap/>
                    <w:overflowPunct/>
                    <w:topLinePunct w:val="0"/>
                    <w:autoSpaceDE/>
                    <w:autoSpaceDN/>
                    <w:bidi w:val="0"/>
                    <w:adjustRightInd/>
                    <w:snapToGrid/>
                    <w:spacing w:before="0" w:line="360" w:lineRule="auto"/>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通信单元</w:t>
                  </w:r>
                </w:p>
              </w:tc>
              <w:tc>
                <w:tcPr>
                  <w:tcW w:w="6584" w:type="dxa"/>
                </w:tcPr>
                <w:p w14:paraId="55569C3D">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val="0"/>
                      <w:bCs w:val="0"/>
                      <w:kern w:val="2"/>
                      <w:sz w:val="22"/>
                      <w:szCs w:val="22"/>
                      <w:vertAlign w:val="baseline"/>
                      <w:lang w:val="en-US" w:eastAsia="zh-CN" w:bidi="ar-SA"/>
                    </w:rPr>
                  </w:pPr>
                  <w:r>
                    <w:rPr>
                      <w:rFonts w:hint="eastAsia" w:ascii="宋体" w:hAnsi="宋体" w:eastAsia="宋体" w:cs="宋体"/>
                      <w:b w:val="0"/>
                      <w:bCs w:val="0"/>
                      <w:kern w:val="2"/>
                      <w:sz w:val="22"/>
                      <w:szCs w:val="22"/>
                      <w:vertAlign w:val="baseline"/>
                      <w:lang w:val="en-US" w:eastAsia="zh-CN" w:bidi="ar-SA"/>
                    </w:rPr>
                    <w:t>1.数据传输模式支持无线模式、有线模式；有线和无线方式支持不同端口、不同服务IP传输。</w:t>
                  </w:r>
                </w:p>
                <w:p w14:paraId="653FCBAE">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val="0"/>
                      <w:bCs w:val="0"/>
                      <w:kern w:val="2"/>
                      <w:sz w:val="22"/>
                      <w:szCs w:val="22"/>
                      <w:vertAlign w:val="baseline"/>
                      <w:lang w:val="en-US" w:eastAsia="zh-CN" w:bidi="ar-SA"/>
                    </w:rPr>
                  </w:pPr>
                  <w:r>
                    <w:rPr>
                      <w:rFonts w:hint="eastAsia" w:ascii="宋体" w:hAnsi="宋体" w:eastAsia="宋体" w:cs="宋体"/>
                      <w:b w:val="0"/>
                      <w:bCs w:val="0"/>
                      <w:kern w:val="2"/>
                      <w:sz w:val="22"/>
                      <w:szCs w:val="22"/>
                      <w:vertAlign w:val="baseline"/>
                      <w:lang w:val="en-US" w:eastAsia="zh-CN" w:bidi="ar-SA"/>
                    </w:rPr>
                    <w:t>2.机箱智能运维终端带有RJ45接口，支持无中心平台情况下通过IP地址直接访问；支持在WEB上直接查看实时数据，配置IP地址、中心平台地址、传输模式；支持进行远程固件升级。</w:t>
                  </w:r>
                </w:p>
              </w:tc>
            </w:tr>
            <w:tr w14:paraId="3374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2" w:type="dxa"/>
                  <w:vAlign w:val="center"/>
                </w:tcPr>
                <w:p w14:paraId="0D32EDFC">
                  <w:pPr>
                    <w:pStyle w:val="4"/>
                    <w:pageBreakBefore w:val="0"/>
                    <w:numPr>
                      <w:ilvl w:val="1"/>
                      <w:numId w:val="0"/>
                    </w:numPr>
                    <w:kinsoku/>
                    <w:wordWrap/>
                    <w:overflowPunct/>
                    <w:topLinePunct w:val="0"/>
                    <w:autoSpaceDE/>
                    <w:autoSpaceDN/>
                    <w:bidi w:val="0"/>
                    <w:adjustRightInd/>
                    <w:snapToGrid/>
                    <w:spacing w:before="0" w:line="360" w:lineRule="auto"/>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告警单元</w:t>
                  </w:r>
                </w:p>
              </w:tc>
              <w:tc>
                <w:tcPr>
                  <w:tcW w:w="6584" w:type="dxa"/>
                </w:tcPr>
                <w:p w14:paraId="1D4DD440">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val="0"/>
                      <w:bCs w:val="0"/>
                      <w:kern w:val="2"/>
                      <w:sz w:val="22"/>
                      <w:szCs w:val="22"/>
                      <w:vertAlign w:val="baseline"/>
                      <w:lang w:val="en-US" w:eastAsia="zh-CN" w:bidi="ar-SA"/>
                    </w:rPr>
                  </w:pPr>
                  <w:r>
                    <w:rPr>
                      <w:rFonts w:hint="eastAsia" w:ascii="宋体" w:hAnsi="宋体" w:eastAsia="宋体" w:cs="宋体"/>
                      <w:b w:val="0"/>
                      <w:bCs w:val="0"/>
                      <w:kern w:val="2"/>
                      <w:sz w:val="22"/>
                      <w:szCs w:val="22"/>
                      <w:vertAlign w:val="baseline"/>
                      <w:lang w:val="en-US" w:eastAsia="zh-CN" w:bidi="ar-SA"/>
                    </w:rPr>
                    <w:t>1.当受到震动时，客户端提示震动告警。</w:t>
                  </w:r>
                </w:p>
                <w:p w14:paraId="1F2948E9">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val="0"/>
                      <w:bCs w:val="0"/>
                      <w:kern w:val="2"/>
                      <w:sz w:val="22"/>
                      <w:szCs w:val="22"/>
                      <w:vertAlign w:val="baseline"/>
                      <w:lang w:val="en-US" w:eastAsia="zh-CN" w:bidi="ar-SA"/>
                    </w:rPr>
                  </w:pPr>
                  <w:r>
                    <w:rPr>
                      <w:rFonts w:hint="eastAsia" w:ascii="宋体" w:hAnsi="宋体" w:eastAsia="宋体" w:cs="宋体"/>
                      <w:b w:val="0"/>
                      <w:bCs w:val="0"/>
                      <w:kern w:val="2"/>
                      <w:sz w:val="22"/>
                      <w:szCs w:val="22"/>
                      <w:vertAlign w:val="baseline"/>
                      <w:lang w:val="en-US" w:eastAsia="zh-CN" w:bidi="ar-SA"/>
                    </w:rPr>
                    <w:t>2.当受到倾斜时，客户端提示倾斜告警，并显示倾斜角度。</w:t>
                  </w:r>
                </w:p>
                <w:p w14:paraId="364B7872">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val="0"/>
                      <w:bCs w:val="0"/>
                      <w:kern w:val="2"/>
                      <w:sz w:val="22"/>
                      <w:szCs w:val="22"/>
                      <w:vertAlign w:val="baseline"/>
                      <w:lang w:val="en-US" w:eastAsia="zh-CN" w:bidi="ar-SA"/>
                    </w:rPr>
                  </w:pPr>
                  <w:r>
                    <w:rPr>
                      <w:rFonts w:hint="eastAsia" w:ascii="宋体" w:hAnsi="宋体" w:eastAsia="宋体" w:cs="宋体"/>
                      <w:b w:val="0"/>
                      <w:bCs w:val="0"/>
                      <w:kern w:val="2"/>
                      <w:sz w:val="22"/>
                      <w:szCs w:val="22"/>
                      <w:vertAlign w:val="baseline"/>
                      <w:lang w:val="en-US" w:eastAsia="zh-CN" w:bidi="ar-SA"/>
                    </w:rPr>
                    <w:t>3.支持外接箱门门磁检测传感器，能够在箱门异常开启时产生告警，防止恶意破坏箱体行为，保障箱体内资产和信息安全。</w:t>
                  </w:r>
                </w:p>
                <w:p w14:paraId="0EF46C3C">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val="0"/>
                      <w:bCs w:val="0"/>
                      <w:kern w:val="2"/>
                      <w:sz w:val="22"/>
                      <w:szCs w:val="22"/>
                      <w:vertAlign w:val="baseline"/>
                      <w:lang w:val="en-US" w:eastAsia="zh-CN" w:bidi="ar-SA"/>
                    </w:rPr>
                  </w:pPr>
                  <w:r>
                    <w:rPr>
                      <w:rFonts w:hint="eastAsia" w:ascii="宋体" w:hAnsi="宋体" w:eastAsia="宋体" w:cs="宋体"/>
                      <w:b w:val="0"/>
                      <w:bCs w:val="0"/>
                      <w:kern w:val="2"/>
                      <w:sz w:val="22"/>
                      <w:szCs w:val="22"/>
                      <w:vertAlign w:val="baseline"/>
                      <w:lang w:val="en-US" w:eastAsia="zh-CN" w:bidi="ar-SA"/>
                    </w:rPr>
                    <w:t>4.支持光感监测功能，可在平台端区分机箱内暗光、弱光、强光三种光线环境，辅助判断箱门是否开启。</w:t>
                  </w:r>
                </w:p>
              </w:tc>
            </w:tr>
            <w:tr w14:paraId="22EF6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2" w:type="dxa"/>
                </w:tcPr>
                <w:p w14:paraId="27085601">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工业级交换单元</w:t>
                  </w:r>
                </w:p>
              </w:tc>
              <w:tc>
                <w:tcPr>
                  <w:tcW w:w="6584" w:type="dxa"/>
                </w:tcPr>
                <w:p w14:paraId="183905BA">
                  <w:pPr>
                    <w:pStyle w:val="4"/>
                    <w:pageBreakBefore w:val="0"/>
                    <w:numPr>
                      <w:ilvl w:val="1"/>
                      <w:numId w:val="0"/>
                    </w:numPr>
                    <w:kinsoku/>
                    <w:wordWrap/>
                    <w:overflowPunct/>
                    <w:topLinePunct w:val="0"/>
                    <w:autoSpaceDE/>
                    <w:autoSpaceDN/>
                    <w:bidi w:val="0"/>
                    <w:adjustRightInd/>
                    <w:snapToGrid/>
                    <w:spacing w:before="0" w:line="360" w:lineRule="auto"/>
                    <w:textAlignment w:val="auto"/>
                    <w:rPr>
                      <w:rFonts w:hint="eastAsia" w:ascii="宋体" w:hAnsi="宋体" w:eastAsia="宋体" w:cs="宋体"/>
                      <w:b w:val="0"/>
                      <w:bCs w:val="0"/>
                      <w:kern w:val="2"/>
                      <w:sz w:val="22"/>
                      <w:szCs w:val="22"/>
                      <w:vertAlign w:val="baseline"/>
                      <w:lang w:val="en-US" w:eastAsia="zh-CN" w:bidi="ar-SA"/>
                    </w:rPr>
                  </w:pPr>
                  <w:r>
                    <w:rPr>
                      <w:rFonts w:hint="eastAsia" w:ascii="宋体" w:hAnsi="宋体" w:eastAsia="宋体" w:cs="宋体"/>
                      <w:b w:val="0"/>
                      <w:bCs w:val="0"/>
                      <w:kern w:val="2"/>
                      <w:sz w:val="22"/>
                      <w:szCs w:val="22"/>
                      <w:vertAlign w:val="baseline"/>
                      <w:lang w:val="en-US" w:eastAsia="zh-CN" w:bidi="ar-SA"/>
                    </w:rPr>
                    <w:t>内置工业级交换单元，支持≥8路10M/100M/1000M电口，≥2路SFP光口。</w:t>
                  </w:r>
                </w:p>
              </w:tc>
            </w:tr>
          </w:tbl>
          <w:p w14:paraId="44EA60A5">
            <w:pPr>
              <w:pStyle w:val="2"/>
              <w:rPr>
                <w:rFonts w:hint="eastAsia"/>
              </w:rPr>
            </w:pPr>
          </w:p>
        </w:tc>
        <w:tc>
          <w:tcPr>
            <w:tcW w:w="1208" w:type="dxa"/>
          </w:tcPr>
          <w:p w14:paraId="3107AC13">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4758C619">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38CFB1E3">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023D3F51">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22FF764D">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1C2EE5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0" w:type="dxa"/>
            <w:vAlign w:val="center"/>
          </w:tcPr>
          <w:p w14:paraId="7758A8FC">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23</w:t>
            </w:r>
          </w:p>
        </w:tc>
        <w:tc>
          <w:tcPr>
            <w:tcW w:w="660" w:type="dxa"/>
          </w:tcPr>
          <w:p w14:paraId="5C9B2EF4">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621CD2B8">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629C2E3B">
            <w:pPr>
              <w:pStyle w:val="4"/>
              <w:pageBreakBefore w:val="0"/>
              <w:numPr>
                <w:ilvl w:val="1"/>
                <w:numId w:val="0"/>
              </w:numPr>
              <w:shd w:val="clear"/>
              <w:kinsoku/>
              <w:wordWrap/>
              <w:overflowPunct/>
              <w:topLinePunct w:val="0"/>
              <w:autoSpaceDE/>
              <w:autoSpaceDN/>
              <w:bidi w:val="0"/>
              <w:adjustRightInd/>
              <w:snapToGrid/>
              <w:spacing w:before="0" w:line="360" w:lineRule="auto"/>
              <w:ind w:left="0" w:leftChars="0" w:firstLine="0" w:firstLineChars="0"/>
              <w:textAlignment w:val="auto"/>
              <w:rPr>
                <w:rFonts w:hint="eastAsia" w:ascii="宋体" w:hAnsi="宋体" w:eastAsia="宋体" w:cs="宋体"/>
                <w:sz w:val="22"/>
                <w:szCs w:val="22"/>
              </w:rPr>
            </w:pPr>
            <w:bookmarkStart w:id="41" w:name="_Toc173501814"/>
            <w:r>
              <w:rPr>
                <w:rFonts w:hint="eastAsia" w:ascii="宋体" w:hAnsi="宋体" w:eastAsia="宋体" w:cs="宋体"/>
                <w:b/>
                <w:bCs/>
                <w:kern w:val="2"/>
                <w:sz w:val="22"/>
                <w:szCs w:val="22"/>
                <w:lang w:val="en-US" w:eastAsia="zh-CN" w:bidi="ar-SA"/>
              </w:rPr>
              <w:t>（九）</w:t>
            </w:r>
            <w:r>
              <w:rPr>
                <w:rFonts w:hint="eastAsia" w:ascii="宋体" w:hAnsi="宋体" w:eastAsia="宋体" w:cs="宋体"/>
                <w:b/>
                <w:bCs w:val="0"/>
                <w:sz w:val="22"/>
                <w:szCs w:val="22"/>
              </w:rPr>
              <w:t>一体化智能监控设备箱（落地机箱）</w:t>
            </w:r>
            <w:bookmarkEnd w:id="41"/>
          </w:p>
          <w:p w14:paraId="4CF4CF9E">
            <w:pPr>
              <w:keepNext w:val="0"/>
              <w:keepLines w:val="0"/>
              <w:pageBreakBefore w:val="0"/>
              <w:widowControl w:val="0"/>
              <w:shd w:val="clear"/>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lang w:val="zh-CN"/>
              </w:rPr>
            </w:pPr>
            <w:r>
              <w:rPr>
                <w:rFonts w:hint="eastAsia" w:ascii="宋体" w:hAnsi="宋体" w:eastAsia="宋体" w:cs="宋体"/>
                <w:b/>
                <w:bCs/>
                <w:sz w:val="22"/>
                <w:szCs w:val="22"/>
                <w:lang w:val="en-US" w:eastAsia="zh-CN"/>
              </w:rPr>
              <w:t>1.</w:t>
            </w:r>
            <w:r>
              <w:rPr>
                <w:rFonts w:hint="eastAsia" w:ascii="宋体" w:hAnsi="宋体" w:eastAsia="宋体" w:cs="宋体"/>
                <w:b/>
                <w:bCs/>
                <w:sz w:val="22"/>
                <w:szCs w:val="22"/>
                <w:lang w:val="zh-CN"/>
              </w:rPr>
              <w:t>结构要求</w:t>
            </w:r>
          </w:p>
          <w:tbl>
            <w:tblPr>
              <w:tblStyle w:val="41"/>
              <w:tblW w:w="504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73"/>
              <w:gridCol w:w="6295"/>
            </w:tblGrid>
            <w:tr w14:paraId="73A8B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099" w:type="pct"/>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p w14:paraId="6487AC83">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bCs/>
                      <w:i w:val="0"/>
                      <w:iCs w:val="0"/>
                      <w:color w:val="000000"/>
                      <w:kern w:val="0"/>
                      <w:sz w:val="22"/>
                      <w:szCs w:val="22"/>
                    </w:rPr>
                  </w:pPr>
                  <w:r>
                    <w:rPr>
                      <w:rFonts w:hint="eastAsia" w:ascii="宋体" w:hAnsi="宋体" w:eastAsia="宋体" w:cs="宋体"/>
                      <w:b/>
                      <w:bCs/>
                      <w:i w:val="0"/>
                      <w:iCs w:val="0"/>
                      <w:color w:val="000000"/>
                      <w:kern w:val="0"/>
                      <w:sz w:val="22"/>
                      <w:szCs w:val="22"/>
                    </w:rPr>
                    <w:t>项目</w:t>
                  </w:r>
                </w:p>
              </w:tc>
              <w:tc>
                <w:tcPr>
                  <w:tcW w:w="3901" w:type="pct"/>
                  <w:tcBorders>
                    <w:top w:val="single" w:color="auto" w:sz="6" w:space="0"/>
                    <w:bottom w:val="single" w:color="auto" w:sz="6" w:space="0"/>
                    <w:right w:val="single" w:color="auto" w:sz="6" w:space="0"/>
                    <w:insideH w:val="single" w:sz="6" w:space="0"/>
                    <w:insideV w:val="single" w:sz="6" w:space="0"/>
                    <w:tl2br w:val="nil"/>
                    <w:tr2bl w:val="nil"/>
                  </w:tcBorders>
                  <w:shd w:val="clear" w:color="auto" w:fill="D9D9D9"/>
                </w:tcPr>
                <w:p w14:paraId="3DD0E49F">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bCs/>
                      <w:i w:val="0"/>
                      <w:iCs w:val="0"/>
                      <w:color w:val="000000"/>
                      <w:kern w:val="0"/>
                      <w:sz w:val="22"/>
                      <w:szCs w:val="22"/>
                    </w:rPr>
                  </w:pPr>
                  <w:r>
                    <w:rPr>
                      <w:rFonts w:hint="eastAsia" w:ascii="宋体" w:hAnsi="宋体" w:eastAsia="宋体" w:cs="宋体"/>
                      <w:b/>
                      <w:bCs/>
                      <w:i w:val="0"/>
                      <w:iCs w:val="0"/>
                      <w:color w:val="000000"/>
                      <w:kern w:val="0"/>
                      <w:sz w:val="22"/>
                      <w:szCs w:val="22"/>
                    </w:rPr>
                    <w:t>参数描述</w:t>
                  </w:r>
                </w:p>
              </w:tc>
            </w:tr>
            <w:tr w14:paraId="16AA2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99" w:type="pct"/>
                  <w:shd w:val="clear" w:color="auto" w:fill="auto"/>
                  <w:vAlign w:val="center"/>
                </w:tcPr>
                <w:p w14:paraId="59242DC0">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材料要求</w:t>
                  </w:r>
                </w:p>
              </w:tc>
              <w:tc>
                <w:tcPr>
                  <w:tcW w:w="3901" w:type="pct"/>
                  <w:shd w:val="clear" w:color="auto" w:fill="auto"/>
                </w:tcPr>
                <w:p w14:paraId="40910864">
                  <w:pPr>
                    <w:pageBreakBefore w:val="0"/>
                    <w:widowControl/>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监控箱所有结构件采用高强度镀锌板，箱体及门板材料厚度≥1.5mm，</w:t>
                  </w:r>
                  <w:r>
                    <w:rPr>
                      <w:rFonts w:hint="eastAsia" w:ascii="宋体" w:hAnsi="宋体" w:eastAsia="宋体" w:cs="宋体"/>
                      <w:color w:val="000000"/>
                      <w:kern w:val="0"/>
                      <w:sz w:val="22"/>
                      <w:szCs w:val="22"/>
                      <w:lang w:eastAsia="zh-CN"/>
                    </w:rPr>
                    <w:t>其他</w:t>
                  </w:r>
                  <w:r>
                    <w:rPr>
                      <w:rFonts w:hint="eastAsia" w:ascii="宋体" w:hAnsi="宋体" w:eastAsia="宋体" w:cs="宋体"/>
                      <w:color w:val="000000"/>
                      <w:kern w:val="0"/>
                      <w:sz w:val="22"/>
                      <w:szCs w:val="22"/>
                    </w:rPr>
                    <w:t>材料厚度</w:t>
                  </w:r>
                  <w:r>
                    <w:rPr>
                      <w:rFonts w:hint="eastAsia" w:ascii="宋体" w:hAnsi="宋体" w:eastAsia="宋体" w:cs="宋体"/>
                      <w:color w:val="000000"/>
                      <w:kern w:val="0"/>
                      <w:sz w:val="22"/>
                      <w:szCs w:val="22"/>
                      <w:lang w:eastAsia="zh-CN"/>
                    </w:rPr>
                    <w:t>不小于</w:t>
                  </w:r>
                  <w:r>
                    <w:rPr>
                      <w:rFonts w:hint="eastAsia" w:ascii="宋体" w:hAnsi="宋体" w:eastAsia="宋体" w:cs="宋体"/>
                      <w:color w:val="000000"/>
                      <w:kern w:val="0"/>
                      <w:sz w:val="22"/>
                      <w:szCs w:val="22"/>
                    </w:rPr>
                    <w:t>1.2mm。</w:t>
                  </w:r>
                </w:p>
              </w:tc>
            </w:tr>
            <w:tr w14:paraId="71BD1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99" w:type="pct"/>
                  <w:shd w:val="clear" w:color="auto" w:fill="auto"/>
                  <w:vAlign w:val="center"/>
                </w:tcPr>
                <w:p w14:paraId="33122574">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表面处理要求</w:t>
                  </w:r>
                </w:p>
              </w:tc>
              <w:tc>
                <w:tcPr>
                  <w:tcW w:w="3901" w:type="pct"/>
                  <w:shd w:val="clear" w:color="auto" w:fill="auto"/>
                </w:tcPr>
                <w:p w14:paraId="6249003D">
                  <w:pPr>
                    <w:pageBreakBefore w:val="0"/>
                    <w:widowControl/>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设备机箱表面</w:t>
                  </w:r>
                  <w:r>
                    <w:rPr>
                      <w:rFonts w:hint="eastAsia" w:ascii="宋体" w:hAnsi="宋体" w:eastAsia="宋体" w:cs="宋体"/>
                      <w:color w:val="000000"/>
                      <w:kern w:val="0"/>
                      <w:sz w:val="22"/>
                      <w:szCs w:val="22"/>
                      <w:lang w:val="en-US" w:eastAsia="zh-CN"/>
                    </w:rPr>
                    <w:t>需</w:t>
                  </w:r>
                  <w:r>
                    <w:rPr>
                      <w:rFonts w:hint="eastAsia" w:ascii="宋体" w:hAnsi="宋体" w:eastAsia="宋体" w:cs="宋体"/>
                      <w:color w:val="000000"/>
                      <w:kern w:val="0"/>
                      <w:sz w:val="22"/>
                      <w:szCs w:val="22"/>
                    </w:rPr>
                    <w:t>经过喷塑处理，具备较强的防锈蚀、防盐雾、防霉菌</w:t>
                  </w:r>
                  <w:r>
                    <w:rPr>
                      <w:rFonts w:hint="eastAsia" w:ascii="宋体" w:hAnsi="宋体" w:eastAsia="宋体" w:cs="宋体"/>
                      <w:color w:val="000000"/>
                      <w:kern w:val="0"/>
                      <w:sz w:val="22"/>
                      <w:szCs w:val="22"/>
                      <w:lang w:val="en-US" w:eastAsia="zh-CN"/>
                    </w:rPr>
                    <w:t>性能</w:t>
                  </w:r>
                  <w:r>
                    <w:rPr>
                      <w:rFonts w:hint="eastAsia" w:ascii="宋体" w:hAnsi="宋体" w:eastAsia="宋体" w:cs="宋体"/>
                      <w:color w:val="000000"/>
                      <w:kern w:val="0"/>
                      <w:sz w:val="22"/>
                      <w:szCs w:val="22"/>
                      <w:lang w:eastAsia="zh-CN"/>
                    </w:rPr>
                    <w:t>。</w:t>
                  </w:r>
                </w:p>
              </w:tc>
            </w:tr>
            <w:tr w14:paraId="1E5FB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99" w:type="pct"/>
                  <w:vMerge w:val="restart"/>
                  <w:shd w:val="clear" w:color="auto" w:fill="auto"/>
                  <w:vAlign w:val="center"/>
                </w:tcPr>
                <w:p w14:paraId="1156758D">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结构要求</w:t>
                  </w:r>
                </w:p>
              </w:tc>
              <w:tc>
                <w:tcPr>
                  <w:tcW w:w="3901" w:type="pct"/>
                  <w:shd w:val="clear" w:color="auto" w:fill="auto"/>
                </w:tcPr>
                <w:p w14:paraId="4523BFAA">
                  <w:pPr>
                    <w:pageBreakBefore w:val="0"/>
                    <w:widowControl/>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落地机柜需</w:t>
                  </w:r>
                  <w:r>
                    <w:rPr>
                      <w:rFonts w:hint="eastAsia" w:ascii="宋体" w:hAnsi="宋体" w:eastAsia="宋体" w:cs="宋体"/>
                      <w:color w:val="000000"/>
                      <w:kern w:val="0"/>
                      <w:sz w:val="22"/>
                      <w:szCs w:val="22"/>
                      <w:lang w:val="en-US" w:eastAsia="zh-CN"/>
                    </w:rPr>
                    <w:t>适用于</w:t>
                  </w:r>
                  <w:r>
                    <w:rPr>
                      <w:rFonts w:hint="eastAsia" w:ascii="宋体" w:hAnsi="宋体" w:eastAsia="宋体" w:cs="宋体"/>
                      <w:color w:val="000000"/>
                      <w:kern w:val="0"/>
                      <w:sz w:val="22"/>
                      <w:szCs w:val="22"/>
                    </w:rPr>
                    <w:t>户外环境，具备防雨、防尘、通风散热、抗紫外线（耐老化）、防盗、防锈</w:t>
                  </w:r>
                  <w:r>
                    <w:rPr>
                      <w:rFonts w:hint="eastAsia" w:ascii="宋体" w:hAnsi="宋体" w:eastAsia="宋体" w:cs="宋体"/>
                      <w:color w:val="000000"/>
                      <w:kern w:val="0"/>
                      <w:sz w:val="22"/>
                      <w:szCs w:val="22"/>
                      <w:lang w:val="en-US" w:eastAsia="zh-CN"/>
                    </w:rPr>
                    <w:t>功能</w:t>
                  </w:r>
                  <w:r>
                    <w:rPr>
                      <w:rFonts w:hint="eastAsia" w:ascii="宋体" w:hAnsi="宋体" w:eastAsia="宋体" w:cs="宋体"/>
                      <w:color w:val="000000"/>
                      <w:kern w:val="0"/>
                      <w:sz w:val="22"/>
                      <w:szCs w:val="22"/>
                    </w:rPr>
                    <w:t>；箱体具有明显标识，</w:t>
                  </w:r>
                  <w:r>
                    <w:rPr>
                      <w:rFonts w:hint="eastAsia" w:ascii="宋体" w:hAnsi="宋体" w:eastAsia="宋体" w:cs="宋体"/>
                      <w:color w:val="000000"/>
                      <w:kern w:val="0"/>
                      <w:sz w:val="22"/>
                      <w:szCs w:val="22"/>
                      <w:lang w:eastAsia="zh-CN"/>
                    </w:rPr>
                    <w:t>标明</w:t>
                  </w:r>
                  <w:r>
                    <w:rPr>
                      <w:rFonts w:hint="eastAsia" w:ascii="宋体" w:hAnsi="宋体" w:eastAsia="宋体" w:cs="宋体"/>
                      <w:color w:val="000000"/>
                      <w:kern w:val="0"/>
                      <w:sz w:val="22"/>
                      <w:szCs w:val="22"/>
                    </w:rPr>
                    <w:t>设备箱用途及箱体编号；箱体大小应根据配套设备的数量和尺寸来设计，箱体尺寸（不含底座）：≥宽600mm</w:t>
                  </w:r>
                  <w:r>
                    <w:rPr>
                      <w:rFonts w:hint="eastAsia" w:ascii="宋体" w:hAnsi="宋体" w:eastAsia="宋体" w:cs="宋体"/>
                      <w:color w:val="000000"/>
                      <w:kern w:val="0"/>
                      <w:sz w:val="22"/>
                      <w:szCs w:val="22"/>
                      <w:lang w:val="en-US" w:eastAsia="zh-CN"/>
                    </w:rPr>
                    <w:t>×</w:t>
                  </w:r>
                  <w:r>
                    <w:rPr>
                      <w:rFonts w:hint="eastAsia" w:ascii="宋体" w:hAnsi="宋体" w:eastAsia="宋体" w:cs="宋体"/>
                      <w:color w:val="000000"/>
                      <w:kern w:val="0"/>
                      <w:sz w:val="22"/>
                      <w:szCs w:val="22"/>
                    </w:rPr>
                    <w:t>高1450mm</w:t>
                  </w:r>
                  <w:r>
                    <w:rPr>
                      <w:rFonts w:hint="eastAsia" w:ascii="宋体" w:hAnsi="宋体" w:eastAsia="宋体" w:cs="宋体"/>
                      <w:color w:val="000000"/>
                      <w:kern w:val="0"/>
                      <w:sz w:val="22"/>
                      <w:szCs w:val="22"/>
                      <w:lang w:val="en-US" w:eastAsia="zh-CN"/>
                    </w:rPr>
                    <w:t>×</w:t>
                  </w:r>
                  <w:r>
                    <w:rPr>
                      <w:rFonts w:hint="eastAsia" w:ascii="宋体" w:hAnsi="宋体" w:eastAsia="宋体" w:cs="宋体"/>
                      <w:color w:val="000000"/>
                      <w:kern w:val="0"/>
                      <w:sz w:val="22"/>
                      <w:szCs w:val="22"/>
                    </w:rPr>
                    <w:t>深450mm。</w:t>
                  </w:r>
                </w:p>
              </w:tc>
            </w:tr>
            <w:tr w14:paraId="56245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99" w:type="pct"/>
                  <w:vMerge w:val="continue"/>
                  <w:shd w:val="clear" w:color="auto" w:fill="auto"/>
                  <w:vAlign w:val="center"/>
                </w:tcPr>
                <w:p w14:paraId="79DBDDC9">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p>
              </w:tc>
              <w:tc>
                <w:tcPr>
                  <w:tcW w:w="3901" w:type="pct"/>
                  <w:shd w:val="clear" w:color="auto" w:fill="auto"/>
                </w:tcPr>
                <w:p w14:paraId="2DAAD9C6">
                  <w:pPr>
                    <w:pageBreakBefore w:val="0"/>
                    <w:widowControl/>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机柜结构设计</w:t>
                  </w:r>
                  <w:r>
                    <w:rPr>
                      <w:rFonts w:hint="eastAsia" w:ascii="宋体" w:hAnsi="宋体" w:eastAsia="宋体" w:cs="宋体"/>
                      <w:color w:val="000000"/>
                      <w:kern w:val="0"/>
                      <w:sz w:val="22"/>
                      <w:szCs w:val="22"/>
                      <w:lang w:val="en-US" w:eastAsia="zh-CN"/>
                    </w:rPr>
                    <w:t>应确保</w:t>
                  </w:r>
                  <w:r>
                    <w:rPr>
                      <w:rFonts w:hint="eastAsia" w:ascii="宋体" w:hAnsi="宋体" w:eastAsia="宋体" w:cs="宋体"/>
                      <w:color w:val="000000"/>
                      <w:kern w:val="0"/>
                      <w:sz w:val="22"/>
                      <w:szCs w:val="22"/>
                    </w:rPr>
                    <w:t>设备具有足够的机械强度，能承受正常条件下可预料到的运输、安装、搬运、维护等过程中的操作。</w:t>
                  </w:r>
                </w:p>
              </w:tc>
            </w:tr>
            <w:tr w14:paraId="211E8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99" w:type="pct"/>
                  <w:vMerge w:val="continue"/>
                  <w:shd w:val="clear" w:color="auto" w:fill="auto"/>
                  <w:vAlign w:val="center"/>
                </w:tcPr>
                <w:p w14:paraId="1522B037">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p>
              </w:tc>
              <w:tc>
                <w:tcPr>
                  <w:tcW w:w="3901" w:type="pct"/>
                  <w:shd w:val="clear" w:color="auto" w:fill="auto"/>
                </w:tcPr>
                <w:p w14:paraId="0BF4B0D0">
                  <w:pPr>
                    <w:pageBreakBefore w:val="0"/>
                    <w:widowControl/>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机箱门的尺寸应与机柜外部尺寸</w:t>
                  </w:r>
                  <w:r>
                    <w:rPr>
                      <w:rFonts w:hint="eastAsia" w:ascii="宋体" w:hAnsi="宋体" w:eastAsia="宋体" w:cs="宋体"/>
                      <w:color w:val="000000"/>
                      <w:kern w:val="0"/>
                      <w:sz w:val="22"/>
                      <w:szCs w:val="22"/>
                      <w:lang w:val="en-US" w:eastAsia="zh-CN"/>
                    </w:rPr>
                    <w:t>匹配</w:t>
                  </w:r>
                  <w:r>
                    <w:rPr>
                      <w:rFonts w:hint="eastAsia" w:ascii="宋体" w:hAnsi="宋体" w:eastAsia="宋体" w:cs="宋体"/>
                      <w:color w:val="000000"/>
                      <w:kern w:val="0"/>
                      <w:sz w:val="22"/>
                      <w:szCs w:val="22"/>
                    </w:rPr>
                    <w:t>，机箱门的最大开启角度</w:t>
                  </w:r>
                  <w:r>
                    <w:rPr>
                      <w:rFonts w:hint="eastAsia" w:ascii="宋体" w:hAnsi="宋体" w:eastAsia="宋体" w:cs="宋体"/>
                      <w:color w:val="000000"/>
                      <w:kern w:val="0"/>
                      <w:sz w:val="22"/>
                      <w:szCs w:val="22"/>
                      <w:lang w:val="en-US" w:eastAsia="zh-CN"/>
                    </w:rPr>
                    <w:t>应</w:t>
                  </w:r>
                  <w:r>
                    <w:rPr>
                      <w:rFonts w:hint="eastAsia" w:ascii="宋体" w:hAnsi="宋体" w:eastAsia="宋体" w:cs="宋体"/>
                      <w:color w:val="000000"/>
                      <w:kern w:val="0"/>
                      <w:sz w:val="22"/>
                      <w:szCs w:val="22"/>
                    </w:rPr>
                    <w:t>大于120°。机箱门</w:t>
                  </w:r>
                  <w:r>
                    <w:rPr>
                      <w:rFonts w:hint="eastAsia" w:ascii="宋体" w:hAnsi="宋体" w:eastAsia="宋体" w:cs="宋体"/>
                      <w:color w:val="000000"/>
                      <w:kern w:val="0"/>
                      <w:sz w:val="22"/>
                      <w:szCs w:val="22"/>
                      <w:lang w:val="en-US" w:eastAsia="zh-CN"/>
                    </w:rPr>
                    <w:t>设置</w:t>
                  </w:r>
                  <w:r>
                    <w:rPr>
                      <w:rFonts w:hint="eastAsia" w:ascii="宋体" w:hAnsi="宋体" w:eastAsia="宋体" w:cs="宋体"/>
                      <w:color w:val="000000"/>
                      <w:kern w:val="0"/>
                      <w:sz w:val="22"/>
                      <w:szCs w:val="22"/>
                    </w:rPr>
                    <w:t>牢固的门锁以防止被非法打开；门锁采取特殊保护措施。机柜门接缝处</w:t>
                  </w:r>
                  <w:r>
                    <w:rPr>
                      <w:rFonts w:hint="eastAsia" w:ascii="宋体" w:hAnsi="宋体" w:eastAsia="宋体" w:cs="宋体"/>
                      <w:color w:val="000000"/>
                      <w:kern w:val="0"/>
                      <w:sz w:val="22"/>
                      <w:szCs w:val="22"/>
                      <w:lang w:val="en-US" w:eastAsia="zh-CN"/>
                    </w:rPr>
                    <w:t>配备</w:t>
                  </w:r>
                  <w:r>
                    <w:rPr>
                      <w:rFonts w:hint="eastAsia" w:ascii="宋体" w:hAnsi="宋体" w:eastAsia="宋体" w:cs="宋体"/>
                      <w:color w:val="000000"/>
                      <w:kern w:val="0"/>
                      <w:sz w:val="22"/>
                      <w:szCs w:val="22"/>
                    </w:rPr>
                    <w:t>耐久弹性密封垫。机柜门锁上后无松动、变形现象。</w:t>
                  </w:r>
                </w:p>
              </w:tc>
            </w:tr>
            <w:tr w14:paraId="5A631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99" w:type="pct"/>
                  <w:vMerge w:val="continue"/>
                  <w:shd w:val="clear" w:color="auto" w:fill="auto"/>
                  <w:vAlign w:val="center"/>
                </w:tcPr>
                <w:p w14:paraId="0F4E7BF6">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p>
              </w:tc>
              <w:tc>
                <w:tcPr>
                  <w:tcW w:w="3901" w:type="pct"/>
                  <w:shd w:val="clear" w:color="auto" w:fill="auto"/>
                </w:tcPr>
                <w:p w14:paraId="3750B482">
                  <w:pPr>
                    <w:pageBreakBefore w:val="0"/>
                    <w:widowControl/>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机柜结构设计</w:t>
                  </w:r>
                  <w:r>
                    <w:rPr>
                      <w:rFonts w:hint="eastAsia" w:ascii="宋体" w:hAnsi="宋体" w:eastAsia="宋体" w:cs="宋体"/>
                      <w:color w:val="000000"/>
                      <w:kern w:val="0"/>
                      <w:sz w:val="22"/>
                      <w:szCs w:val="22"/>
                      <w:lang w:val="en-US" w:eastAsia="zh-CN"/>
                    </w:rPr>
                    <w:t>应满足</w:t>
                  </w:r>
                  <w:r>
                    <w:rPr>
                      <w:rFonts w:hint="eastAsia" w:ascii="宋体" w:hAnsi="宋体" w:eastAsia="宋体" w:cs="宋体"/>
                      <w:color w:val="000000"/>
                      <w:kern w:val="0"/>
                      <w:sz w:val="22"/>
                      <w:szCs w:val="22"/>
                    </w:rPr>
                    <w:t>防雨</w:t>
                  </w:r>
                  <w:r>
                    <w:rPr>
                      <w:rFonts w:hint="eastAsia" w:ascii="宋体" w:hAnsi="宋体" w:eastAsia="宋体" w:cs="宋体"/>
                      <w:color w:val="000000"/>
                      <w:kern w:val="0"/>
                      <w:sz w:val="22"/>
                      <w:szCs w:val="22"/>
                      <w:lang w:val="en-US" w:eastAsia="zh-CN"/>
                    </w:rPr>
                    <w:t>要求</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lang w:val="en-US" w:eastAsia="zh-CN"/>
                    </w:rPr>
                    <w:t>有效减少</w:t>
                  </w:r>
                  <w:r>
                    <w:rPr>
                      <w:rFonts w:hint="eastAsia" w:ascii="宋体" w:hAnsi="宋体" w:eastAsia="宋体" w:cs="宋体"/>
                      <w:color w:val="000000"/>
                      <w:kern w:val="0"/>
                      <w:sz w:val="22"/>
                      <w:szCs w:val="22"/>
                    </w:rPr>
                    <w:t>灰尘及有害物质的侵入，机箱门盖</w:t>
                  </w:r>
                  <w:r>
                    <w:rPr>
                      <w:rFonts w:hint="eastAsia" w:ascii="宋体" w:hAnsi="宋体" w:eastAsia="宋体" w:cs="宋体"/>
                      <w:color w:val="000000"/>
                      <w:kern w:val="0"/>
                      <w:sz w:val="22"/>
                      <w:szCs w:val="22"/>
                      <w:lang w:val="en-US" w:eastAsia="zh-CN"/>
                    </w:rPr>
                    <w:t>设置</w:t>
                  </w:r>
                  <w:r>
                    <w:rPr>
                      <w:rFonts w:hint="eastAsia" w:ascii="宋体" w:hAnsi="宋体" w:eastAsia="宋体" w:cs="宋体"/>
                      <w:color w:val="000000"/>
                      <w:kern w:val="0"/>
                      <w:sz w:val="22"/>
                      <w:szCs w:val="22"/>
                    </w:rPr>
                    <w:t>溢水槽，机箱门内侧配备密封条；机柜</w:t>
                  </w:r>
                  <w:r>
                    <w:rPr>
                      <w:rFonts w:hint="eastAsia" w:ascii="宋体" w:hAnsi="宋体" w:eastAsia="宋体" w:cs="宋体"/>
                      <w:color w:val="000000"/>
                      <w:kern w:val="0"/>
                      <w:sz w:val="22"/>
                      <w:szCs w:val="22"/>
                      <w:lang w:val="en-US" w:eastAsia="zh-CN"/>
                    </w:rPr>
                    <w:t>顶柜</w:t>
                  </w:r>
                  <w:r>
                    <w:rPr>
                      <w:rFonts w:hint="eastAsia" w:ascii="宋体" w:hAnsi="宋体" w:eastAsia="宋体" w:cs="宋体"/>
                      <w:color w:val="000000"/>
                      <w:kern w:val="0"/>
                      <w:sz w:val="22"/>
                      <w:szCs w:val="22"/>
                    </w:rPr>
                    <w:t>设计</w:t>
                  </w:r>
                  <w:r>
                    <w:rPr>
                      <w:rFonts w:hint="eastAsia" w:ascii="宋体" w:hAnsi="宋体" w:eastAsia="宋体" w:cs="宋体"/>
                      <w:color w:val="000000"/>
                      <w:kern w:val="0"/>
                      <w:sz w:val="22"/>
                      <w:szCs w:val="22"/>
                      <w:lang w:val="en-US" w:eastAsia="zh-CN"/>
                    </w:rPr>
                    <w:t>应避免</w:t>
                  </w:r>
                  <w:r>
                    <w:rPr>
                      <w:rFonts w:hint="eastAsia" w:ascii="宋体" w:hAnsi="宋体" w:eastAsia="宋体" w:cs="宋体"/>
                      <w:color w:val="000000"/>
                      <w:kern w:val="0"/>
                      <w:sz w:val="22"/>
                      <w:szCs w:val="22"/>
                    </w:rPr>
                    <w:t>积水。</w:t>
                  </w:r>
                </w:p>
              </w:tc>
            </w:tr>
            <w:tr w14:paraId="55CE3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99" w:type="pct"/>
                  <w:vMerge w:val="continue"/>
                  <w:shd w:val="clear" w:color="auto" w:fill="auto"/>
                  <w:vAlign w:val="center"/>
                </w:tcPr>
                <w:p w14:paraId="19BD89E2">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p>
              </w:tc>
              <w:tc>
                <w:tcPr>
                  <w:tcW w:w="3901" w:type="pct"/>
                  <w:shd w:val="clear" w:color="auto" w:fill="auto"/>
                </w:tcPr>
                <w:p w14:paraId="202980A1">
                  <w:pPr>
                    <w:pageBreakBefore w:val="0"/>
                    <w:widowControl/>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机箱门锁采用保险柜天地锁式的结构设计，具备防砸、防盗</w:t>
                  </w:r>
                  <w:r>
                    <w:rPr>
                      <w:rFonts w:hint="eastAsia" w:ascii="宋体" w:hAnsi="宋体" w:eastAsia="宋体" w:cs="宋体"/>
                      <w:color w:val="000000"/>
                      <w:kern w:val="0"/>
                      <w:sz w:val="22"/>
                      <w:szCs w:val="22"/>
                      <w:lang w:val="en-US" w:eastAsia="zh-CN"/>
                    </w:rPr>
                    <w:t>功能</w:t>
                  </w:r>
                  <w:r>
                    <w:rPr>
                      <w:rFonts w:hint="eastAsia" w:ascii="宋体" w:hAnsi="宋体" w:eastAsia="宋体" w:cs="宋体"/>
                      <w:color w:val="000000"/>
                      <w:kern w:val="0"/>
                      <w:sz w:val="22"/>
                      <w:szCs w:val="22"/>
                    </w:rPr>
                    <w:t>。</w:t>
                  </w:r>
                </w:p>
              </w:tc>
            </w:tr>
            <w:tr w14:paraId="351A6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99" w:type="pct"/>
                  <w:vMerge w:val="restart"/>
                  <w:shd w:val="clear" w:color="auto" w:fill="auto"/>
                  <w:vAlign w:val="center"/>
                </w:tcPr>
                <w:p w14:paraId="21B238DF">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散热要求</w:t>
                  </w:r>
                </w:p>
              </w:tc>
              <w:tc>
                <w:tcPr>
                  <w:tcW w:w="3901" w:type="pct"/>
                  <w:shd w:val="clear" w:color="auto" w:fill="auto"/>
                </w:tcPr>
                <w:p w14:paraId="49126606">
                  <w:pPr>
                    <w:pageBreakBefore w:val="0"/>
                    <w:widowControl/>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机柜内部空间</w:t>
                  </w:r>
                  <w:r>
                    <w:rPr>
                      <w:rFonts w:hint="eastAsia" w:ascii="宋体" w:hAnsi="宋体" w:eastAsia="宋体" w:cs="宋体"/>
                      <w:color w:val="000000"/>
                      <w:kern w:val="0"/>
                      <w:sz w:val="22"/>
                      <w:szCs w:val="22"/>
                      <w:lang w:val="en-US" w:eastAsia="zh-CN"/>
                    </w:rPr>
                    <w:t>应满足</w:t>
                  </w:r>
                  <w:r>
                    <w:rPr>
                      <w:rFonts w:hint="eastAsia" w:ascii="宋体" w:hAnsi="宋体" w:eastAsia="宋体" w:cs="宋体"/>
                      <w:color w:val="000000"/>
                      <w:kern w:val="0"/>
                      <w:sz w:val="22"/>
                      <w:szCs w:val="22"/>
                    </w:rPr>
                    <w:t>机箱内各设备单元的散热、安装、使用和维修</w:t>
                  </w:r>
                  <w:r>
                    <w:rPr>
                      <w:rFonts w:hint="eastAsia" w:ascii="宋体" w:hAnsi="宋体" w:eastAsia="宋体" w:cs="宋体"/>
                      <w:color w:val="000000"/>
                      <w:kern w:val="0"/>
                      <w:sz w:val="22"/>
                      <w:szCs w:val="22"/>
                      <w:lang w:val="en-US" w:eastAsia="zh-CN"/>
                    </w:rPr>
                    <w:t>需求</w:t>
                  </w:r>
                  <w:r>
                    <w:rPr>
                      <w:rFonts w:hint="eastAsia" w:ascii="宋体" w:hAnsi="宋体" w:eastAsia="宋体" w:cs="宋体"/>
                      <w:color w:val="000000"/>
                      <w:kern w:val="0"/>
                      <w:sz w:val="22"/>
                      <w:szCs w:val="22"/>
                    </w:rPr>
                    <w:t>，同时系统设计提供设备辅助散热、加热措施，提高系统环境适应能力。</w:t>
                  </w:r>
                </w:p>
              </w:tc>
            </w:tr>
            <w:tr w14:paraId="3B104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99" w:type="pct"/>
                  <w:vMerge w:val="continue"/>
                  <w:shd w:val="clear" w:color="auto" w:fill="auto"/>
                  <w:vAlign w:val="center"/>
                </w:tcPr>
                <w:p w14:paraId="05BFB93B">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p>
              </w:tc>
              <w:tc>
                <w:tcPr>
                  <w:tcW w:w="3901" w:type="pct"/>
                  <w:shd w:val="clear" w:color="auto" w:fill="auto"/>
                </w:tcPr>
                <w:p w14:paraId="3C4FF9D1">
                  <w:pPr>
                    <w:pageBreakBefore w:val="0"/>
                    <w:widowControl/>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预设强排散热风扇，</w:t>
                  </w:r>
                  <w:r>
                    <w:rPr>
                      <w:rFonts w:hint="eastAsia" w:ascii="宋体" w:hAnsi="宋体" w:eastAsia="宋体" w:cs="宋体"/>
                      <w:color w:val="000000"/>
                      <w:kern w:val="0"/>
                      <w:sz w:val="22"/>
                      <w:szCs w:val="22"/>
                      <w:lang w:val="en-US" w:eastAsia="zh-CN"/>
                    </w:rPr>
                    <w:t>支持</w:t>
                  </w:r>
                  <w:r>
                    <w:rPr>
                      <w:rFonts w:hint="eastAsia" w:ascii="宋体" w:hAnsi="宋体" w:eastAsia="宋体" w:cs="宋体"/>
                      <w:color w:val="000000"/>
                      <w:kern w:val="0"/>
                      <w:sz w:val="22"/>
                      <w:szCs w:val="22"/>
                    </w:rPr>
                    <w:t>交流220V或DC12V供电，智能温度感应系统控制工作模式。箱体内温度</w:t>
                  </w:r>
                  <w:r>
                    <w:rPr>
                      <w:rFonts w:hint="eastAsia" w:ascii="宋体" w:hAnsi="宋体" w:eastAsia="宋体" w:cs="宋体"/>
                      <w:color w:val="000000"/>
                      <w:kern w:val="0"/>
                      <w:sz w:val="22"/>
                      <w:szCs w:val="22"/>
                      <w:lang w:val="en-US" w:eastAsia="zh-CN"/>
                    </w:rPr>
                    <w:t>标准</w:t>
                  </w:r>
                  <w:r>
                    <w:rPr>
                      <w:rFonts w:hint="eastAsia" w:ascii="宋体" w:hAnsi="宋体" w:eastAsia="宋体" w:cs="宋体"/>
                      <w:color w:val="000000"/>
                      <w:kern w:val="0"/>
                      <w:sz w:val="22"/>
                      <w:szCs w:val="22"/>
                    </w:rPr>
                    <w:t>：夏季≤45℃，冬季≤27℃</w:t>
                  </w:r>
                  <w:r>
                    <w:rPr>
                      <w:rFonts w:hint="eastAsia" w:ascii="宋体" w:hAnsi="宋体" w:eastAsia="宋体" w:cs="宋体"/>
                      <w:color w:val="000000"/>
                      <w:kern w:val="0"/>
                      <w:sz w:val="22"/>
                      <w:szCs w:val="22"/>
                      <w:lang w:eastAsia="zh-CN"/>
                    </w:rPr>
                    <w:t>。</w:t>
                  </w:r>
                </w:p>
              </w:tc>
            </w:tr>
            <w:tr w14:paraId="1DCA5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099" w:type="pct"/>
                  <w:shd w:val="clear" w:color="auto" w:fill="auto"/>
                  <w:vAlign w:val="center"/>
                </w:tcPr>
                <w:p w14:paraId="629DE147">
                  <w:pPr>
                    <w:pageBreakBefore w:val="0"/>
                    <w:widowControl/>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防护等级</w:t>
                  </w:r>
                </w:p>
              </w:tc>
              <w:tc>
                <w:tcPr>
                  <w:tcW w:w="3901" w:type="pct"/>
                  <w:shd w:val="clear" w:color="auto" w:fill="auto"/>
                </w:tcPr>
                <w:p w14:paraId="5F2BB77A">
                  <w:pPr>
                    <w:pageBreakBefore w:val="0"/>
                    <w:widowControl/>
                    <w:shd w:val="clea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≥IP55</w:t>
                  </w:r>
                  <w:r>
                    <w:rPr>
                      <w:rFonts w:hint="eastAsia" w:ascii="宋体" w:hAnsi="宋体" w:eastAsia="宋体" w:cs="宋体"/>
                      <w:color w:val="000000"/>
                      <w:kern w:val="0"/>
                      <w:sz w:val="22"/>
                      <w:szCs w:val="22"/>
                      <w:lang w:eastAsia="zh-CN"/>
                    </w:rPr>
                    <w:t>。</w:t>
                  </w:r>
                </w:p>
              </w:tc>
            </w:tr>
          </w:tbl>
          <w:p w14:paraId="556AA0BE">
            <w:pPr>
              <w:pStyle w:val="2"/>
              <w:rPr>
                <w:rFonts w:hint="eastAsia"/>
              </w:rPr>
            </w:pPr>
            <w:r>
              <w:rPr>
                <w:rFonts w:hint="eastAsia" w:ascii="宋体" w:hAnsi="宋体" w:eastAsia="宋体" w:cs="宋体"/>
                <w:b/>
                <w:bCs/>
                <w:sz w:val="22"/>
                <w:szCs w:val="22"/>
                <w:lang w:val="en-US" w:eastAsia="zh-CN"/>
              </w:rPr>
              <w:t>2.</w:t>
            </w:r>
            <w:r>
              <w:rPr>
                <w:rFonts w:hint="eastAsia" w:ascii="宋体" w:hAnsi="宋体" w:eastAsia="宋体" w:cs="宋体"/>
                <w:b/>
                <w:bCs/>
                <w:sz w:val="22"/>
                <w:szCs w:val="22"/>
              </w:rPr>
              <w:t>功能要求</w:t>
            </w:r>
          </w:p>
          <w:tbl>
            <w:tblPr>
              <w:tblStyle w:val="19"/>
              <w:tblW w:w="50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6339"/>
            </w:tblGrid>
            <w:tr w14:paraId="4A26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2" w:type="pct"/>
                  <w:shd w:val="clear" w:color="auto" w:fill="BEBEBE"/>
                </w:tcPr>
                <w:p w14:paraId="7A848500">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功能项</w:t>
                  </w:r>
                </w:p>
              </w:tc>
              <w:tc>
                <w:tcPr>
                  <w:tcW w:w="3928" w:type="pct"/>
                  <w:shd w:val="clear" w:color="auto" w:fill="BEBEBE"/>
                </w:tcPr>
                <w:p w14:paraId="6D57B6C2">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功能描述</w:t>
                  </w:r>
                </w:p>
              </w:tc>
            </w:tr>
            <w:tr w14:paraId="4DC7E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pct"/>
                  <w:vAlign w:val="center"/>
                </w:tcPr>
                <w:p w14:paraId="1B023140">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自动重合闸及空气开关</w:t>
                  </w:r>
                </w:p>
              </w:tc>
              <w:tc>
                <w:tcPr>
                  <w:tcW w:w="3928" w:type="pct"/>
                  <w:vAlign w:val="center"/>
                </w:tcPr>
                <w:p w14:paraId="33F7FF43">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配</w:t>
                  </w:r>
                  <w:r>
                    <w:rPr>
                      <w:rFonts w:hint="eastAsia" w:ascii="宋体" w:hAnsi="宋体" w:eastAsia="宋体" w:cs="宋体"/>
                      <w:color w:val="000000"/>
                      <w:kern w:val="0"/>
                      <w:sz w:val="22"/>
                      <w:szCs w:val="22"/>
                      <w:lang w:val="en-US" w:eastAsia="zh-CN"/>
                    </w:rPr>
                    <w:t>备</w:t>
                  </w:r>
                  <w:r>
                    <w:rPr>
                      <w:rFonts w:hint="eastAsia" w:ascii="宋体" w:hAnsi="宋体" w:eastAsia="宋体" w:cs="宋体"/>
                      <w:color w:val="000000"/>
                      <w:kern w:val="0"/>
                      <w:sz w:val="22"/>
                      <w:szCs w:val="22"/>
                    </w:rPr>
                    <w:t>≥1个63A自动重合闸，支持自动合闸功能，具有过压、欠压、过流、短路、漏电保护</w:t>
                  </w:r>
                  <w:r>
                    <w:rPr>
                      <w:rFonts w:hint="eastAsia" w:ascii="宋体" w:hAnsi="宋体" w:eastAsia="宋体" w:cs="宋体"/>
                      <w:color w:val="000000"/>
                      <w:kern w:val="0"/>
                      <w:sz w:val="22"/>
                      <w:szCs w:val="22"/>
                      <w:lang w:val="en-US" w:eastAsia="zh-CN"/>
                    </w:rPr>
                    <w:t>功能</w:t>
                  </w:r>
                  <w:r>
                    <w:rPr>
                      <w:rFonts w:hint="eastAsia" w:ascii="宋体" w:hAnsi="宋体" w:eastAsia="宋体" w:cs="宋体"/>
                      <w:color w:val="000000"/>
                      <w:kern w:val="0"/>
                      <w:sz w:val="22"/>
                      <w:szCs w:val="22"/>
                    </w:rPr>
                    <w:t>。</w:t>
                  </w:r>
                </w:p>
                <w:p w14:paraId="2FCA0B00">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配</w:t>
                  </w:r>
                  <w:r>
                    <w:rPr>
                      <w:rFonts w:hint="eastAsia" w:ascii="宋体" w:hAnsi="宋体" w:eastAsia="宋体" w:cs="宋体"/>
                      <w:color w:val="000000"/>
                      <w:kern w:val="0"/>
                      <w:sz w:val="22"/>
                      <w:szCs w:val="22"/>
                      <w:lang w:val="en-US" w:eastAsia="zh-CN"/>
                    </w:rPr>
                    <w:t>备</w:t>
                  </w:r>
                  <w:r>
                    <w:rPr>
                      <w:rFonts w:hint="eastAsia" w:ascii="宋体" w:hAnsi="宋体" w:eastAsia="宋体" w:cs="宋体"/>
                      <w:color w:val="000000"/>
                      <w:kern w:val="0"/>
                      <w:sz w:val="22"/>
                      <w:szCs w:val="22"/>
                    </w:rPr>
                    <w:t>≥1个2P 63A空开、≥1个2P 32A空开</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≥3个2P10A空开。</w:t>
                  </w:r>
                </w:p>
              </w:tc>
            </w:tr>
            <w:tr w14:paraId="27B9F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pct"/>
                  <w:vAlign w:val="center"/>
                </w:tcPr>
                <w:p w14:paraId="11F8FFB4">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机箱智能运维终端</w:t>
                  </w:r>
                </w:p>
              </w:tc>
              <w:tc>
                <w:tcPr>
                  <w:tcW w:w="3928" w:type="pct"/>
                  <w:vAlign w:val="center"/>
                </w:tcPr>
                <w:p w14:paraId="0C903586">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1.</w:t>
                  </w:r>
                  <w:r>
                    <w:rPr>
                      <w:rFonts w:hint="eastAsia" w:ascii="宋体" w:hAnsi="宋体" w:eastAsia="宋体" w:cs="宋体"/>
                      <w:color w:val="000000"/>
                      <w:kern w:val="0"/>
                      <w:sz w:val="22"/>
                      <w:szCs w:val="22"/>
                    </w:rPr>
                    <w:t>箱体内部</w:t>
                  </w:r>
                  <w:r>
                    <w:rPr>
                      <w:rFonts w:hint="eastAsia" w:ascii="宋体" w:hAnsi="宋体" w:eastAsia="宋体" w:cs="宋体"/>
                      <w:color w:val="000000"/>
                      <w:kern w:val="0"/>
                      <w:sz w:val="22"/>
                      <w:szCs w:val="22"/>
                      <w:lang w:val="en-US" w:eastAsia="zh-CN"/>
                    </w:rPr>
                    <w:t>至少</w:t>
                  </w:r>
                  <w:r>
                    <w:rPr>
                      <w:rFonts w:hint="eastAsia" w:ascii="宋体" w:hAnsi="宋体" w:eastAsia="宋体" w:cs="宋体"/>
                      <w:color w:val="000000"/>
                      <w:kern w:val="0"/>
                      <w:sz w:val="22"/>
                      <w:szCs w:val="22"/>
                    </w:rPr>
                    <w:t>包含自动重合闸、40KA电源防雷器、机箱智能运维终端、≥2个5位5孔插排、熔纤盒、风扇，箱内单元采用导轨式安装、接线方便，每个单元均可独立更换。</w:t>
                  </w:r>
                </w:p>
                <w:p w14:paraId="1CFC5072">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2.</w:t>
                  </w:r>
                  <w:r>
                    <w:rPr>
                      <w:rFonts w:hint="eastAsia" w:ascii="宋体" w:hAnsi="宋体" w:eastAsia="宋体" w:cs="宋体"/>
                      <w:color w:val="000000"/>
                      <w:kern w:val="0"/>
                      <w:sz w:val="22"/>
                      <w:szCs w:val="22"/>
                    </w:rPr>
                    <w:t>提供≥5路交流220V远程可控输出</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≥3路DC 12V远程可控输出</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≥2路干节点输入</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≥1路RS232通信接口</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≥1路RS485通信接口</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≥1路CAN协议接口，支持防雷失效检测功能</w:t>
                  </w:r>
                  <w:r>
                    <w:rPr>
                      <w:rFonts w:hint="eastAsia" w:ascii="宋体" w:hAnsi="宋体" w:eastAsia="宋体" w:cs="宋体"/>
                      <w:color w:val="000000"/>
                      <w:kern w:val="0"/>
                      <w:sz w:val="22"/>
                      <w:szCs w:val="22"/>
                      <w:lang w:eastAsia="zh-CN"/>
                    </w:rPr>
                    <w:t>。</w:t>
                  </w:r>
                </w:p>
                <w:p w14:paraId="47699061">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3.</w:t>
                  </w:r>
                  <w:r>
                    <w:rPr>
                      <w:rFonts w:hint="eastAsia" w:ascii="宋体" w:hAnsi="宋体" w:eastAsia="宋体" w:cs="宋体"/>
                      <w:color w:val="000000"/>
                      <w:kern w:val="0"/>
                      <w:sz w:val="22"/>
                      <w:szCs w:val="22"/>
                    </w:rPr>
                    <w:t>支持供电电压、电流、功率检测，可通过客户端显示；当供电断开时，在客户端上提示供电异常告警。</w:t>
                  </w:r>
                </w:p>
                <w:p w14:paraId="254F0FF0">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4.</w:t>
                  </w:r>
                  <w:r>
                    <w:rPr>
                      <w:rFonts w:hint="eastAsia" w:ascii="宋体" w:hAnsi="宋体" w:eastAsia="宋体" w:cs="宋体"/>
                      <w:color w:val="000000"/>
                      <w:kern w:val="0"/>
                      <w:sz w:val="22"/>
                      <w:szCs w:val="22"/>
                    </w:rPr>
                    <w:t>交流输出接口具有远程控制功能，可远程设定工作模式。</w:t>
                  </w:r>
                </w:p>
                <w:p w14:paraId="7F72C389">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5.</w:t>
                  </w:r>
                  <w:r>
                    <w:rPr>
                      <w:rFonts w:hint="eastAsia" w:ascii="宋体" w:hAnsi="宋体" w:eastAsia="宋体" w:cs="宋体"/>
                      <w:color w:val="000000"/>
                      <w:kern w:val="0"/>
                      <w:sz w:val="22"/>
                      <w:szCs w:val="22"/>
                    </w:rPr>
                    <w:t>支持供电电压、电流、功率检测，可通过客户端显示；当供电断开时，在客户端上提示供电异常告警。</w:t>
                  </w:r>
                </w:p>
                <w:p w14:paraId="15702C3A">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6.</w:t>
                  </w:r>
                  <w:r>
                    <w:rPr>
                      <w:rFonts w:hint="eastAsia" w:ascii="宋体" w:hAnsi="宋体" w:eastAsia="宋体" w:cs="宋体"/>
                      <w:color w:val="000000"/>
                      <w:kern w:val="0"/>
                      <w:sz w:val="22"/>
                      <w:szCs w:val="22"/>
                    </w:rPr>
                    <w:t>可通过软件显示摄像机工作状态并设置摄像机开启，当接入的摄像机断电或网络断开时，可通过客户端软件</w:t>
                  </w:r>
                  <w:r>
                    <w:rPr>
                      <w:rFonts w:hint="eastAsia" w:ascii="宋体" w:hAnsi="宋体" w:eastAsia="宋体" w:cs="宋体"/>
                      <w:color w:val="000000"/>
                      <w:kern w:val="0"/>
                      <w:sz w:val="22"/>
                      <w:szCs w:val="22"/>
                      <w:lang w:val="en-US" w:eastAsia="zh-CN"/>
                    </w:rPr>
                    <w:t>提示</w:t>
                  </w:r>
                  <w:r>
                    <w:rPr>
                      <w:rFonts w:hint="eastAsia" w:ascii="宋体" w:hAnsi="宋体" w:eastAsia="宋体" w:cs="宋体"/>
                      <w:color w:val="000000"/>
                      <w:kern w:val="0"/>
                      <w:sz w:val="22"/>
                      <w:szCs w:val="22"/>
                    </w:rPr>
                    <w:t>报警。</w:t>
                  </w:r>
                </w:p>
                <w:p w14:paraId="29C5200A">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7.</w:t>
                  </w:r>
                  <w:r>
                    <w:rPr>
                      <w:rFonts w:hint="eastAsia" w:ascii="宋体" w:hAnsi="宋体" w:eastAsia="宋体" w:cs="宋体"/>
                      <w:color w:val="000000"/>
                      <w:kern w:val="0"/>
                      <w:sz w:val="22"/>
                      <w:szCs w:val="22"/>
                    </w:rPr>
                    <w:t>可通过客户端软件显示网络传输设备工作状态并设置网络传输设备重启。</w:t>
                  </w:r>
                </w:p>
                <w:p w14:paraId="2DCD4BBF">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8.</w:t>
                  </w:r>
                  <w:r>
                    <w:rPr>
                      <w:rFonts w:hint="eastAsia" w:ascii="宋体" w:hAnsi="宋体" w:eastAsia="宋体" w:cs="宋体"/>
                      <w:color w:val="000000"/>
                      <w:kern w:val="0"/>
                      <w:sz w:val="22"/>
                      <w:szCs w:val="22"/>
                    </w:rPr>
                    <w:t>可通过客户端显示补光灯工作状态并设置开启。</w:t>
                  </w:r>
                </w:p>
                <w:p w14:paraId="36EFEF05">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9.</w:t>
                  </w:r>
                  <w:r>
                    <w:rPr>
                      <w:rFonts w:hint="eastAsia" w:ascii="宋体" w:hAnsi="宋体" w:eastAsia="宋体" w:cs="宋体"/>
                      <w:color w:val="000000"/>
                      <w:kern w:val="0"/>
                      <w:sz w:val="22"/>
                      <w:szCs w:val="22"/>
                    </w:rPr>
                    <w:t>支持温湿度检测、开关控制、柜门状态检测、自动布防和临时撤防功能。</w:t>
                  </w:r>
                </w:p>
                <w:p w14:paraId="5A877A59">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10.</w:t>
                  </w:r>
                  <w:r>
                    <w:rPr>
                      <w:rFonts w:hint="eastAsia" w:ascii="宋体" w:hAnsi="宋体" w:eastAsia="宋体" w:cs="宋体"/>
                      <w:color w:val="000000"/>
                      <w:kern w:val="0"/>
                      <w:sz w:val="22"/>
                      <w:szCs w:val="22"/>
                    </w:rPr>
                    <w:t>具有功率过高（非法取电）告警功能，支持设定接入功率阈值，在当前设备的功率基础上接入其他设备的功率超过阈值时，客户端提示功率过高告警</w:t>
                  </w:r>
                </w:p>
                <w:p w14:paraId="301B7684">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支持设置验证用户密码。</w:t>
                  </w:r>
                </w:p>
                <w:p w14:paraId="331FABE1">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11.</w:t>
                  </w:r>
                  <w:r>
                    <w:rPr>
                      <w:rFonts w:hint="eastAsia" w:ascii="宋体" w:hAnsi="宋体" w:eastAsia="宋体" w:cs="宋体"/>
                      <w:color w:val="000000"/>
                      <w:kern w:val="0"/>
                      <w:sz w:val="22"/>
                      <w:szCs w:val="22"/>
                    </w:rPr>
                    <w:t>支持对通信数据进行非明文加密传输功能。</w:t>
                  </w:r>
                </w:p>
                <w:p w14:paraId="4593BFFB">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12.</w:t>
                  </w:r>
                  <w:r>
                    <w:rPr>
                      <w:rFonts w:hint="eastAsia" w:ascii="宋体" w:hAnsi="宋体" w:eastAsia="宋体" w:cs="宋体"/>
                      <w:color w:val="000000"/>
                      <w:kern w:val="0"/>
                      <w:sz w:val="22"/>
                      <w:szCs w:val="22"/>
                    </w:rPr>
                    <w:t>支持当系统死机时，看门狗自动复位功能。</w:t>
                  </w:r>
                </w:p>
                <w:p w14:paraId="650F3426">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13.</w:t>
                  </w:r>
                  <w:r>
                    <w:rPr>
                      <w:rFonts w:hint="eastAsia" w:ascii="宋体" w:hAnsi="宋体" w:eastAsia="宋体" w:cs="宋体"/>
                      <w:color w:val="000000"/>
                      <w:kern w:val="0"/>
                      <w:sz w:val="22"/>
                      <w:szCs w:val="22"/>
                    </w:rPr>
                    <w:t>机箱智能运维终端具有一键复位实体按键，当按下复位键，终端可重置自身IP地址。</w:t>
                  </w:r>
                </w:p>
                <w:p w14:paraId="60927EBC">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14.</w:t>
                  </w:r>
                  <w:r>
                    <w:rPr>
                      <w:rFonts w:hint="eastAsia" w:ascii="宋体" w:hAnsi="宋体" w:eastAsia="宋体" w:cs="宋体"/>
                      <w:color w:val="000000"/>
                      <w:kern w:val="0"/>
                      <w:sz w:val="22"/>
                      <w:szCs w:val="22"/>
                    </w:rPr>
                    <w:t>支持客户端远程配置心跳保活周期，心跳保活消息定期上报。</w:t>
                  </w:r>
                </w:p>
                <w:p w14:paraId="45B89147">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sz w:val="22"/>
                      <w:szCs w:val="22"/>
                      <w:lang w:eastAsia="zh-CN"/>
                    </w:rPr>
                  </w:pPr>
                  <w:r>
                    <w:rPr>
                      <w:rFonts w:hint="eastAsia" w:ascii="宋体" w:hAnsi="宋体" w:eastAsia="宋体" w:cs="宋体"/>
                      <w:b w:val="0"/>
                      <w:bCs w:val="0"/>
                      <w:color w:val="000000"/>
                      <w:kern w:val="0"/>
                      <w:sz w:val="22"/>
                      <w:szCs w:val="22"/>
                      <w:lang w:val="en-US" w:eastAsia="zh-CN"/>
                    </w:rPr>
                    <w:t>15.</w:t>
                  </w:r>
                  <w:r>
                    <w:rPr>
                      <w:rFonts w:hint="eastAsia" w:ascii="宋体" w:hAnsi="宋体" w:eastAsia="宋体" w:cs="宋体"/>
                      <w:b w:val="0"/>
                      <w:bCs w:val="0"/>
                      <w:color w:val="000000"/>
                      <w:kern w:val="0"/>
                      <w:sz w:val="22"/>
                      <w:szCs w:val="22"/>
                    </w:rPr>
                    <w:t>后端管理平台的智能设备箱故障告警信息需按</w:t>
                  </w:r>
                  <w:r>
                    <w:rPr>
                      <w:rFonts w:hint="eastAsia" w:ascii="宋体" w:hAnsi="宋体" w:eastAsia="宋体" w:cs="宋体"/>
                      <w:b w:val="0"/>
                      <w:bCs w:val="0"/>
                      <w:color w:val="000000"/>
                      <w:kern w:val="0"/>
                      <w:sz w:val="22"/>
                      <w:szCs w:val="22"/>
                      <w:lang w:val="en-US" w:eastAsia="zh-CN"/>
                    </w:rPr>
                    <w:t>中山</w:t>
                  </w:r>
                  <w:r>
                    <w:rPr>
                      <w:rFonts w:hint="eastAsia" w:ascii="宋体" w:hAnsi="宋体" w:eastAsia="宋体" w:cs="宋体"/>
                      <w:b w:val="0"/>
                      <w:bCs w:val="0"/>
                      <w:color w:val="000000"/>
                      <w:kern w:val="0"/>
                      <w:sz w:val="22"/>
                      <w:szCs w:val="22"/>
                    </w:rPr>
                    <w:t>市</w:t>
                  </w:r>
                  <w:r>
                    <w:rPr>
                      <w:rFonts w:hint="eastAsia" w:ascii="宋体" w:hAnsi="宋体" w:eastAsia="宋体" w:cs="宋体"/>
                      <w:b w:val="0"/>
                      <w:bCs w:val="0"/>
                      <w:color w:val="000000"/>
                      <w:kern w:val="0"/>
                      <w:sz w:val="22"/>
                      <w:szCs w:val="22"/>
                      <w:lang w:val="en-US" w:eastAsia="zh-CN"/>
                    </w:rPr>
                    <w:t>公安</w:t>
                  </w:r>
                  <w:r>
                    <w:rPr>
                      <w:rFonts w:hint="eastAsia" w:ascii="宋体" w:hAnsi="宋体" w:eastAsia="宋体" w:cs="宋体"/>
                      <w:b w:val="0"/>
                      <w:bCs w:val="0"/>
                      <w:color w:val="000000"/>
                      <w:kern w:val="0"/>
                      <w:sz w:val="22"/>
                      <w:szCs w:val="22"/>
                    </w:rPr>
                    <w:t>局接口协议推送至</w:t>
                  </w:r>
                  <w:r>
                    <w:rPr>
                      <w:rFonts w:hint="eastAsia" w:ascii="宋体" w:hAnsi="宋体" w:eastAsia="宋体" w:cs="宋体"/>
                      <w:b w:val="0"/>
                      <w:bCs w:val="0"/>
                      <w:color w:val="000000"/>
                      <w:kern w:val="0"/>
                      <w:sz w:val="22"/>
                      <w:szCs w:val="22"/>
                      <w:lang w:val="en-US" w:eastAsia="zh-CN"/>
                    </w:rPr>
                    <w:t>中山</w:t>
                  </w:r>
                  <w:r>
                    <w:rPr>
                      <w:rFonts w:hint="eastAsia" w:ascii="宋体" w:hAnsi="宋体" w:eastAsia="宋体" w:cs="宋体"/>
                      <w:b w:val="0"/>
                      <w:bCs w:val="0"/>
                      <w:color w:val="000000"/>
                      <w:kern w:val="0"/>
                      <w:sz w:val="22"/>
                      <w:szCs w:val="22"/>
                    </w:rPr>
                    <w:t>市</w:t>
                  </w:r>
                  <w:r>
                    <w:rPr>
                      <w:rFonts w:hint="eastAsia" w:ascii="宋体" w:hAnsi="宋体" w:eastAsia="宋体" w:cs="宋体"/>
                      <w:b w:val="0"/>
                      <w:bCs w:val="0"/>
                      <w:color w:val="000000"/>
                      <w:kern w:val="0"/>
                      <w:sz w:val="22"/>
                      <w:szCs w:val="22"/>
                      <w:lang w:val="en-US" w:eastAsia="zh-CN"/>
                    </w:rPr>
                    <w:t>公安</w:t>
                  </w:r>
                  <w:r>
                    <w:rPr>
                      <w:rFonts w:hint="eastAsia" w:ascii="宋体" w:hAnsi="宋体" w:eastAsia="宋体" w:cs="宋体"/>
                      <w:b w:val="0"/>
                      <w:bCs w:val="0"/>
                      <w:color w:val="000000"/>
                      <w:kern w:val="0"/>
                      <w:sz w:val="22"/>
                      <w:szCs w:val="22"/>
                    </w:rPr>
                    <w:t>局统一运维平台或</w:t>
                  </w:r>
                  <w:r>
                    <w:rPr>
                      <w:rFonts w:hint="eastAsia" w:ascii="宋体" w:hAnsi="宋体" w:eastAsia="宋体" w:cs="宋体"/>
                      <w:b w:val="0"/>
                      <w:bCs w:val="0"/>
                      <w:color w:val="000000"/>
                      <w:kern w:val="0"/>
                      <w:sz w:val="22"/>
                      <w:szCs w:val="22"/>
                      <w:lang w:val="en-US" w:eastAsia="zh-CN"/>
                    </w:rPr>
                    <w:t>中山</w:t>
                  </w:r>
                  <w:r>
                    <w:rPr>
                      <w:rFonts w:hint="eastAsia" w:ascii="宋体" w:hAnsi="宋体" w:eastAsia="宋体" w:cs="宋体"/>
                      <w:b w:val="0"/>
                      <w:bCs w:val="0"/>
                      <w:color w:val="000000"/>
                      <w:kern w:val="0"/>
                      <w:sz w:val="22"/>
                      <w:szCs w:val="22"/>
                    </w:rPr>
                    <w:t>市</w:t>
                  </w:r>
                  <w:r>
                    <w:rPr>
                      <w:rFonts w:hint="eastAsia" w:ascii="宋体" w:hAnsi="宋体" w:eastAsia="宋体" w:cs="宋体"/>
                      <w:b w:val="0"/>
                      <w:bCs w:val="0"/>
                      <w:color w:val="000000"/>
                      <w:kern w:val="0"/>
                      <w:sz w:val="22"/>
                      <w:szCs w:val="22"/>
                      <w:lang w:val="en-US" w:eastAsia="zh-CN"/>
                    </w:rPr>
                    <w:t>公安</w:t>
                  </w:r>
                  <w:r>
                    <w:rPr>
                      <w:rFonts w:hint="eastAsia" w:ascii="宋体" w:hAnsi="宋体" w:eastAsia="宋体" w:cs="宋体"/>
                      <w:b w:val="0"/>
                      <w:bCs w:val="0"/>
                      <w:color w:val="000000"/>
                      <w:kern w:val="0"/>
                      <w:sz w:val="22"/>
                      <w:szCs w:val="22"/>
                    </w:rPr>
                    <w:t>局视频智能运维管理平台</w:t>
                  </w:r>
                  <w:r>
                    <w:rPr>
                      <w:rFonts w:hint="eastAsia" w:ascii="宋体" w:hAnsi="宋体" w:eastAsia="宋体" w:cs="宋体"/>
                      <w:b w:val="0"/>
                      <w:bCs w:val="0"/>
                      <w:color w:val="000000"/>
                      <w:kern w:val="0"/>
                      <w:sz w:val="22"/>
                      <w:szCs w:val="22"/>
                      <w:lang w:eastAsia="zh-CN"/>
                    </w:rPr>
                    <w:t>。</w:t>
                  </w:r>
                </w:p>
              </w:tc>
            </w:tr>
            <w:tr w14:paraId="3A2B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pct"/>
                  <w:vAlign w:val="center"/>
                </w:tcPr>
                <w:p w14:paraId="27AFAEB4">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通信单元</w:t>
                  </w:r>
                </w:p>
              </w:tc>
              <w:tc>
                <w:tcPr>
                  <w:tcW w:w="3928" w:type="pct"/>
                  <w:vAlign w:val="center"/>
                </w:tcPr>
                <w:p w14:paraId="28EB42D8">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1.</w:t>
                  </w:r>
                  <w:r>
                    <w:rPr>
                      <w:rFonts w:hint="eastAsia" w:ascii="宋体" w:hAnsi="宋体" w:eastAsia="宋体" w:cs="宋体"/>
                      <w:color w:val="000000"/>
                      <w:kern w:val="0"/>
                      <w:sz w:val="22"/>
                      <w:szCs w:val="22"/>
                    </w:rPr>
                    <w:t>数据传输模式支持无线模式、有线模式；有线和无线方式支持不同端口、不同服务IP传输</w:t>
                  </w:r>
                  <w:r>
                    <w:rPr>
                      <w:rFonts w:hint="eastAsia" w:ascii="宋体" w:hAnsi="宋体" w:eastAsia="宋体" w:cs="宋体"/>
                      <w:color w:val="000000"/>
                      <w:kern w:val="0"/>
                      <w:sz w:val="22"/>
                      <w:szCs w:val="22"/>
                      <w:lang w:eastAsia="zh-CN"/>
                    </w:rPr>
                    <w:t>。</w:t>
                  </w:r>
                </w:p>
                <w:p w14:paraId="6D28CB1D">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2.</w:t>
                  </w:r>
                  <w:r>
                    <w:rPr>
                      <w:rFonts w:hint="eastAsia" w:ascii="宋体" w:hAnsi="宋体" w:eastAsia="宋体" w:cs="宋体"/>
                      <w:color w:val="000000"/>
                      <w:kern w:val="0"/>
                      <w:sz w:val="22"/>
                      <w:szCs w:val="22"/>
                    </w:rPr>
                    <w:t>机箱智能运维终端带有RJ45接口，支持无中心平台情况下通过IP地址直接访问；支持在WEB上直接查看实时数据，配置IP地址、中心平台地址、传输模式；支持进行远程固件升级</w:t>
                  </w:r>
                  <w:r>
                    <w:rPr>
                      <w:rFonts w:hint="eastAsia" w:ascii="宋体" w:hAnsi="宋体" w:eastAsia="宋体" w:cs="宋体"/>
                      <w:color w:val="000000"/>
                      <w:kern w:val="0"/>
                      <w:sz w:val="22"/>
                      <w:szCs w:val="22"/>
                      <w:lang w:eastAsia="zh-CN"/>
                    </w:rPr>
                    <w:t>。</w:t>
                  </w:r>
                </w:p>
              </w:tc>
            </w:tr>
            <w:tr w14:paraId="3C671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pct"/>
                  <w:vAlign w:val="center"/>
                </w:tcPr>
                <w:p w14:paraId="25F61A00">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告警单元</w:t>
                  </w:r>
                </w:p>
              </w:tc>
              <w:tc>
                <w:tcPr>
                  <w:tcW w:w="3928" w:type="pct"/>
                  <w:vAlign w:val="center"/>
                </w:tcPr>
                <w:p w14:paraId="294ED05E">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1.</w:t>
                  </w:r>
                  <w:r>
                    <w:rPr>
                      <w:rFonts w:hint="eastAsia" w:ascii="宋体" w:hAnsi="宋体" w:eastAsia="宋体" w:cs="宋体"/>
                      <w:color w:val="000000"/>
                      <w:kern w:val="0"/>
                      <w:sz w:val="22"/>
                      <w:szCs w:val="22"/>
                    </w:rPr>
                    <w:t>当受到震动时，客户端提示震动告警。</w:t>
                  </w:r>
                </w:p>
                <w:p w14:paraId="61BB7DAF">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2.</w:t>
                  </w:r>
                  <w:r>
                    <w:rPr>
                      <w:rFonts w:hint="eastAsia" w:ascii="宋体" w:hAnsi="宋体" w:eastAsia="宋体" w:cs="宋体"/>
                      <w:color w:val="000000"/>
                      <w:kern w:val="0"/>
                      <w:sz w:val="22"/>
                      <w:szCs w:val="22"/>
                    </w:rPr>
                    <w:t>当受到倾斜时，客户端提示倾斜告警，并显示倾斜角度。</w:t>
                  </w:r>
                </w:p>
                <w:p w14:paraId="280A6D40">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3.</w:t>
                  </w:r>
                  <w:r>
                    <w:rPr>
                      <w:rFonts w:hint="eastAsia" w:ascii="宋体" w:hAnsi="宋体" w:eastAsia="宋体" w:cs="宋体"/>
                      <w:color w:val="000000"/>
                      <w:kern w:val="0"/>
                      <w:sz w:val="22"/>
                      <w:szCs w:val="22"/>
                    </w:rPr>
                    <w:t>支持外接箱门门磁检测传感器，能够在箱门异常开启时产生告警，防止恶意破坏箱体行为，保障箱体内资产和信息安全</w:t>
                  </w:r>
                  <w:r>
                    <w:rPr>
                      <w:rFonts w:hint="eastAsia" w:ascii="宋体" w:hAnsi="宋体" w:eastAsia="宋体" w:cs="宋体"/>
                      <w:color w:val="000000"/>
                      <w:kern w:val="0"/>
                      <w:sz w:val="22"/>
                      <w:szCs w:val="22"/>
                      <w:lang w:eastAsia="zh-CN"/>
                    </w:rPr>
                    <w:t>。</w:t>
                  </w:r>
                </w:p>
                <w:p w14:paraId="6A22966F">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4.</w:t>
                  </w:r>
                  <w:r>
                    <w:rPr>
                      <w:rFonts w:hint="eastAsia" w:ascii="宋体" w:hAnsi="宋体" w:eastAsia="宋体" w:cs="宋体"/>
                      <w:color w:val="000000"/>
                      <w:kern w:val="0"/>
                      <w:sz w:val="22"/>
                      <w:szCs w:val="22"/>
                    </w:rPr>
                    <w:t>支持光感监测功能，可在平台端区分机箱内暗光、弱光</w:t>
                  </w:r>
                  <w:r>
                    <w:rPr>
                      <w:rFonts w:hint="eastAsia" w:ascii="宋体" w:hAnsi="宋体" w:eastAsia="宋体" w:cs="宋体"/>
                      <w:color w:val="000000"/>
                      <w:kern w:val="0"/>
                      <w:sz w:val="22"/>
                      <w:szCs w:val="22"/>
                      <w:lang w:val="en-US" w:eastAsia="zh-CN"/>
                    </w:rPr>
                    <w:t>和</w:t>
                  </w:r>
                  <w:r>
                    <w:rPr>
                      <w:rFonts w:hint="eastAsia" w:ascii="宋体" w:hAnsi="宋体" w:eastAsia="宋体" w:cs="宋体"/>
                      <w:color w:val="000000"/>
                      <w:kern w:val="0"/>
                      <w:sz w:val="22"/>
                      <w:szCs w:val="22"/>
                    </w:rPr>
                    <w:t>强光三种光线环境</w:t>
                  </w:r>
                  <w:r>
                    <w:rPr>
                      <w:rFonts w:hint="eastAsia" w:ascii="宋体" w:hAnsi="宋体" w:eastAsia="宋体" w:cs="宋体"/>
                      <w:color w:val="000000"/>
                      <w:kern w:val="0"/>
                      <w:sz w:val="22"/>
                      <w:szCs w:val="22"/>
                      <w:lang w:val="en-US" w:eastAsia="zh-CN"/>
                    </w:rPr>
                    <w:t>下</w:t>
                  </w:r>
                  <w:r>
                    <w:rPr>
                      <w:rFonts w:hint="eastAsia" w:ascii="宋体" w:hAnsi="宋体" w:eastAsia="宋体" w:cs="宋体"/>
                      <w:color w:val="000000"/>
                      <w:kern w:val="0"/>
                      <w:sz w:val="22"/>
                      <w:szCs w:val="22"/>
                    </w:rPr>
                    <w:t>辅助判断箱门是否开启。</w:t>
                  </w:r>
                </w:p>
              </w:tc>
            </w:tr>
            <w:tr w14:paraId="4605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072" w:type="pct"/>
                  <w:vAlign w:val="center"/>
                </w:tcPr>
                <w:p w14:paraId="1159213B">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传输单元</w:t>
                  </w:r>
                </w:p>
              </w:tc>
              <w:tc>
                <w:tcPr>
                  <w:tcW w:w="3928" w:type="pct"/>
                  <w:vAlign w:val="center"/>
                </w:tcPr>
                <w:p w14:paraId="68D361A6">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内置工业级交换单元，支持≥8个1000M以太网接口，支持≥8个SFP光口，工作温度：-40ºC ～ 80ºC。</w:t>
                  </w:r>
                </w:p>
              </w:tc>
            </w:tr>
          </w:tbl>
          <w:p w14:paraId="09EDFB8C">
            <w:pPr>
              <w:rPr>
                <w:rFonts w:hint="eastAsia"/>
              </w:rPr>
            </w:pPr>
          </w:p>
        </w:tc>
        <w:tc>
          <w:tcPr>
            <w:tcW w:w="1208" w:type="dxa"/>
          </w:tcPr>
          <w:p w14:paraId="34250573">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6E6AE8D6">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4A90A2C0">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750916DF">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5532B2A8">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358E84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0" w:type="dxa"/>
            <w:vAlign w:val="center"/>
          </w:tcPr>
          <w:p w14:paraId="30807B64">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24</w:t>
            </w:r>
          </w:p>
        </w:tc>
        <w:tc>
          <w:tcPr>
            <w:tcW w:w="660" w:type="dxa"/>
          </w:tcPr>
          <w:p w14:paraId="36C52877">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195C3AE2">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79EE7AA3">
            <w:pPr>
              <w:pStyle w:val="4"/>
              <w:pageBreakBefore w:val="0"/>
              <w:numPr>
                <w:ilvl w:val="1"/>
                <w:numId w:val="0"/>
              </w:numPr>
              <w:shd w:val="clear"/>
              <w:kinsoku/>
              <w:wordWrap/>
              <w:overflowPunct/>
              <w:topLinePunct w:val="0"/>
              <w:autoSpaceDE/>
              <w:autoSpaceDN/>
              <w:bidi w:val="0"/>
              <w:adjustRightInd/>
              <w:snapToGrid/>
              <w:spacing w:before="0" w:line="360" w:lineRule="auto"/>
              <w:ind w:left="0" w:leftChars="0" w:firstLine="0" w:firstLineChars="0"/>
              <w:textAlignment w:val="auto"/>
              <w:rPr>
                <w:rFonts w:hint="eastAsia" w:ascii="宋体" w:hAnsi="宋体" w:eastAsia="宋体" w:cs="宋体"/>
                <w:sz w:val="22"/>
                <w:szCs w:val="22"/>
              </w:rPr>
            </w:pPr>
            <w:bookmarkStart w:id="42" w:name="_Toc173501815"/>
            <w:r>
              <w:rPr>
                <w:rFonts w:hint="eastAsia" w:ascii="宋体" w:hAnsi="宋体" w:eastAsia="宋体" w:cs="宋体"/>
                <w:b/>
                <w:bCs/>
                <w:kern w:val="2"/>
                <w:sz w:val="22"/>
                <w:szCs w:val="22"/>
                <w:lang w:val="en-US" w:eastAsia="zh-CN" w:bidi="ar-SA"/>
              </w:rPr>
              <w:t>（十）</w:t>
            </w:r>
            <w:r>
              <w:rPr>
                <w:rFonts w:hint="eastAsia" w:ascii="宋体" w:hAnsi="宋体" w:eastAsia="宋体" w:cs="宋体"/>
                <w:b/>
                <w:bCs w:val="0"/>
                <w:sz w:val="22"/>
                <w:szCs w:val="22"/>
              </w:rPr>
              <w:t>中心管理扩容单元</w:t>
            </w:r>
            <w:bookmarkEnd w:id="42"/>
          </w:p>
          <w:tbl>
            <w:tblPr>
              <w:tblStyle w:val="18"/>
              <w:tblW w:w="50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4"/>
              <w:gridCol w:w="6297"/>
            </w:tblGrid>
            <w:tr w14:paraId="6970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blHeader/>
                <w:jc w:val="center"/>
              </w:trPr>
              <w:tc>
                <w:tcPr>
                  <w:tcW w:w="1099" w:type="pct"/>
                  <w:tcBorders>
                    <w:top w:val="single" w:color="auto" w:sz="4" w:space="0"/>
                    <w:left w:val="single" w:color="auto" w:sz="4" w:space="0"/>
                    <w:bottom w:val="single" w:color="auto" w:sz="4" w:space="0"/>
                    <w:right w:val="single" w:color="auto" w:sz="4" w:space="0"/>
                  </w:tcBorders>
                </w:tcPr>
                <w:p w14:paraId="17631A5D">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项目</w:t>
                  </w:r>
                </w:p>
              </w:tc>
              <w:tc>
                <w:tcPr>
                  <w:tcW w:w="3901" w:type="pct"/>
                  <w:tcBorders>
                    <w:top w:val="single" w:color="auto" w:sz="4" w:space="0"/>
                    <w:left w:val="single" w:color="auto" w:sz="4" w:space="0"/>
                    <w:bottom w:val="single" w:color="auto" w:sz="4" w:space="0"/>
                    <w:right w:val="single" w:color="auto" w:sz="4" w:space="0"/>
                  </w:tcBorders>
                </w:tcPr>
                <w:p w14:paraId="69902007">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参数描述</w:t>
                  </w:r>
                </w:p>
              </w:tc>
            </w:tr>
            <w:tr w14:paraId="7F15E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099" w:type="pct"/>
                  <w:tcBorders>
                    <w:top w:val="single" w:color="auto" w:sz="4" w:space="0"/>
                    <w:left w:val="single" w:color="auto" w:sz="4" w:space="0"/>
                    <w:bottom w:val="single" w:color="auto" w:sz="4" w:space="0"/>
                    <w:right w:val="single" w:color="auto" w:sz="4" w:space="0"/>
                  </w:tcBorders>
                  <w:vAlign w:val="center"/>
                </w:tcPr>
                <w:p w14:paraId="1E447E7D">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功能要求</w:t>
                  </w:r>
                </w:p>
              </w:tc>
              <w:tc>
                <w:tcPr>
                  <w:tcW w:w="3901" w:type="pct"/>
                  <w:tcBorders>
                    <w:top w:val="single" w:color="auto" w:sz="4" w:space="0"/>
                    <w:left w:val="single" w:color="auto" w:sz="4" w:space="0"/>
                    <w:bottom w:val="single" w:color="auto" w:sz="4" w:space="0"/>
                    <w:right w:val="single" w:color="auto" w:sz="4" w:space="0"/>
                  </w:tcBorders>
                </w:tcPr>
                <w:p w14:paraId="2F3B65B0">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1.系统基础信息管理提供系统业务应用依赖的基础资源，包括用户管理、权限管理、部门管理、目录管理、物联设备管理、门户管理，统一管理组织、权限、用户、物联设备资源，并提供门户、录像计划等配置；</w:t>
                  </w:r>
                </w:p>
                <w:p w14:paraId="6929D8EF">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2.电子地图提供业务资源图上展示、业务资源检索、GPS定位、GPS轨迹功能</w:t>
                  </w:r>
                  <w:r>
                    <w:rPr>
                      <w:rFonts w:hint="eastAsia" w:ascii="宋体" w:hAnsi="宋体" w:eastAsia="宋体" w:cs="宋体"/>
                      <w:color w:val="000000"/>
                      <w:kern w:val="0"/>
                      <w:sz w:val="22"/>
                      <w:szCs w:val="22"/>
                      <w:lang w:eastAsia="zh-CN"/>
                    </w:rPr>
                    <w:t>。</w:t>
                  </w:r>
                </w:p>
                <w:p w14:paraId="2F150289">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3.支持不少于100路视频及不少于100条车道接入授权</w:t>
                  </w:r>
                  <w:r>
                    <w:rPr>
                      <w:rFonts w:hint="eastAsia" w:ascii="宋体" w:hAnsi="宋体" w:eastAsia="宋体" w:cs="宋体"/>
                      <w:color w:val="000000"/>
                      <w:kern w:val="0"/>
                      <w:sz w:val="22"/>
                      <w:szCs w:val="22"/>
                      <w:lang w:eastAsia="zh-CN"/>
                    </w:rPr>
                    <w:t>。</w:t>
                  </w:r>
                </w:p>
                <w:p w14:paraId="1A9C019B">
                  <w:pPr>
                    <w:pStyle w:val="2"/>
                    <w:pageBreakBefore w:val="0"/>
                    <w:widowControl/>
                    <w:shd w:val="clear"/>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4.支持通过关键字对视频监控点位进行模糊匹配检索，支持按资源类型、能力集标签检索，能力集标签支持自定义配置</w:t>
                  </w:r>
                  <w:r>
                    <w:rPr>
                      <w:rFonts w:hint="eastAsia" w:ascii="宋体" w:hAnsi="宋体" w:eastAsia="宋体" w:cs="宋体"/>
                      <w:color w:val="000000"/>
                      <w:sz w:val="22"/>
                      <w:szCs w:val="22"/>
                      <w:lang w:eastAsia="zh-CN"/>
                    </w:rPr>
                    <w:t>。</w:t>
                  </w:r>
                </w:p>
                <w:p w14:paraId="24E924CA">
                  <w:pPr>
                    <w:pStyle w:val="2"/>
                    <w:pageBreakBefore w:val="0"/>
                    <w:widowControl/>
                    <w:shd w:val="clear"/>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color w:val="000000"/>
                      <w:sz w:val="22"/>
                      <w:szCs w:val="22"/>
                      <w:lang w:eastAsia="zh-CN"/>
                    </w:rPr>
                  </w:pPr>
                  <w:r>
                    <w:rPr>
                      <w:rFonts w:hint="eastAsia" w:ascii="宋体" w:hAnsi="宋体" w:eastAsia="宋体" w:cs="宋体"/>
                      <w:color w:val="000000"/>
                      <w:sz w:val="22"/>
                      <w:szCs w:val="22"/>
                    </w:rPr>
                    <w:t>5.支持查看基础目录，并支持根据业务需求切换相应的自定义业务目录，资源以资源树形式展示，点击可查看下层资源及点位</w:t>
                  </w:r>
                  <w:r>
                    <w:rPr>
                      <w:rFonts w:hint="eastAsia" w:ascii="宋体" w:hAnsi="宋体" w:eastAsia="宋体" w:cs="宋体"/>
                      <w:color w:val="000000"/>
                      <w:sz w:val="22"/>
                      <w:szCs w:val="22"/>
                      <w:lang w:eastAsia="zh-CN"/>
                    </w:rPr>
                    <w:t>。</w:t>
                  </w:r>
                </w:p>
                <w:p w14:paraId="10257C8A">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6.视频监控应用提供视频管理服务，支持编码设备通过海康设备网络SDK协议、GB/T 28181协议、ONVIF协议接入平台，实现视频预览、录像回放、视频上墙、视频事件监控</w:t>
                  </w:r>
                  <w:r>
                    <w:rPr>
                      <w:rFonts w:hint="eastAsia" w:ascii="宋体" w:hAnsi="宋体" w:eastAsia="宋体" w:cs="宋体"/>
                      <w:color w:val="000000"/>
                      <w:kern w:val="0"/>
                      <w:sz w:val="22"/>
                      <w:szCs w:val="22"/>
                      <w:lang w:val="en-US" w:eastAsia="zh-CN"/>
                    </w:rPr>
                    <w:t>功能</w:t>
                  </w:r>
                  <w:r>
                    <w:rPr>
                      <w:rFonts w:hint="eastAsia" w:ascii="宋体" w:hAnsi="宋体" w:eastAsia="宋体" w:cs="宋体"/>
                      <w:color w:val="000000"/>
                      <w:kern w:val="0"/>
                      <w:sz w:val="22"/>
                      <w:szCs w:val="22"/>
                      <w:lang w:eastAsia="zh-CN"/>
                    </w:rPr>
                    <w:t>。</w:t>
                  </w:r>
                </w:p>
                <w:p w14:paraId="24F1D3A8">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7.支持视频监控业务提供级联服务，基于视频通用标准协议（GB/T 28181）与外域平台互联互通，实现上级平台对下级平台视频资源点位的操作控制</w:t>
                  </w:r>
                  <w:r>
                    <w:rPr>
                      <w:rFonts w:hint="eastAsia" w:ascii="宋体" w:hAnsi="宋体" w:eastAsia="宋体" w:cs="宋体"/>
                      <w:color w:val="000000"/>
                      <w:kern w:val="0"/>
                      <w:sz w:val="22"/>
                      <w:szCs w:val="22"/>
                      <w:lang w:eastAsia="zh-CN"/>
                    </w:rPr>
                    <w:t>。</w:t>
                  </w:r>
                </w:p>
                <w:p w14:paraId="7FF3E466">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8.支持车辆属性查询、车辆数据统计、红名单过车查询、区间测速功能</w:t>
                  </w:r>
                  <w:r>
                    <w:rPr>
                      <w:rFonts w:hint="eastAsia" w:ascii="宋体" w:hAnsi="宋体" w:eastAsia="宋体" w:cs="宋体"/>
                      <w:color w:val="000000"/>
                      <w:kern w:val="0"/>
                      <w:sz w:val="22"/>
                      <w:szCs w:val="22"/>
                      <w:lang w:eastAsia="zh-CN"/>
                    </w:rPr>
                    <w:t>。</w:t>
                  </w:r>
                </w:p>
                <w:p w14:paraId="51F4B48E">
                  <w:pPr>
                    <w:pStyle w:val="2"/>
                    <w:pageBreakBefore w:val="0"/>
                    <w:widowControl/>
                    <w:shd w:val="clear"/>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9.支持按卡口、时间、归属地、车型、品牌、区域、车道统计车流量。支持以日报表、月报表、年报表的方式展示统计信息。支持以柱状图、折线图及数据列表的形式展示统计结果。支持车流量统计数据导出。</w:t>
                  </w:r>
                </w:p>
              </w:tc>
            </w:tr>
            <w:tr w14:paraId="7240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99" w:type="pct"/>
                  <w:tcBorders>
                    <w:top w:val="single" w:color="auto" w:sz="4" w:space="0"/>
                    <w:left w:val="single" w:color="auto" w:sz="4" w:space="0"/>
                    <w:bottom w:val="single" w:color="auto" w:sz="4" w:space="0"/>
                    <w:right w:val="single" w:color="auto" w:sz="4" w:space="0"/>
                  </w:tcBorders>
                  <w:vAlign w:val="center"/>
                </w:tcPr>
                <w:p w14:paraId="46B6F764">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处理器</w:t>
                  </w:r>
                </w:p>
              </w:tc>
              <w:tc>
                <w:tcPr>
                  <w:tcW w:w="3901" w:type="pct"/>
                  <w:tcBorders>
                    <w:top w:val="single" w:color="auto" w:sz="4" w:space="0"/>
                    <w:left w:val="single" w:color="auto" w:sz="4" w:space="0"/>
                    <w:bottom w:val="single" w:color="auto" w:sz="4" w:space="0"/>
                    <w:right w:val="single" w:color="auto" w:sz="4" w:space="0"/>
                  </w:tcBorders>
                </w:tcPr>
                <w:p w14:paraId="3E2CFE73">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配置不少于1颗国产处理器，核数≥16核，主频≥2.5GHz</w:t>
                  </w:r>
                  <w:r>
                    <w:rPr>
                      <w:rFonts w:hint="eastAsia" w:ascii="宋体" w:hAnsi="宋体" w:eastAsia="宋体" w:cs="宋体"/>
                      <w:color w:val="000000"/>
                      <w:kern w:val="0"/>
                      <w:sz w:val="22"/>
                      <w:szCs w:val="22"/>
                      <w:lang w:eastAsia="zh-CN"/>
                    </w:rPr>
                    <w:t>。</w:t>
                  </w:r>
                </w:p>
              </w:tc>
            </w:tr>
            <w:tr w14:paraId="7067A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tcBorders>
                    <w:top w:val="single" w:color="auto" w:sz="4" w:space="0"/>
                    <w:left w:val="single" w:color="auto" w:sz="4" w:space="0"/>
                    <w:bottom w:val="single" w:color="auto" w:sz="4" w:space="0"/>
                    <w:right w:val="single" w:color="auto" w:sz="4" w:space="0"/>
                  </w:tcBorders>
                  <w:vAlign w:val="center"/>
                </w:tcPr>
                <w:p w14:paraId="4BCCA698">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内存</w:t>
                  </w:r>
                </w:p>
              </w:tc>
              <w:tc>
                <w:tcPr>
                  <w:tcW w:w="3901" w:type="pct"/>
                  <w:tcBorders>
                    <w:top w:val="single" w:color="auto" w:sz="4" w:space="0"/>
                    <w:left w:val="single" w:color="auto" w:sz="4" w:space="0"/>
                    <w:bottom w:val="single" w:color="auto" w:sz="4" w:space="0"/>
                    <w:right w:val="single" w:color="auto" w:sz="4" w:space="0"/>
                  </w:tcBorders>
                </w:tcPr>
                <w:p w14:paraId="1586CB98">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配置不低于64G DDR4，16根内存插槽，最大支持扩展至1TB内存</w:t>
                  </w:r>
                  <w:r>
                    <w:rPr>
                      <w:rFonts w:hint="eastAsia" w:ascii="宋体" w:hAnsi="宋体" w:eastAsia="宋体" w:cs="宋体"/>
                      <w:color w:val="000000"/>
                      <w:kern w:val="0"/>
                      <w:sz w:val="22"/>
                      <w:szCs w:val="22"/>
                      <w:lang w:eastAsia="zh-CN"/>
                    </w:rPr>
                    <w:t>。</w:t>
                  </w:r>
                </w:p>
              </w:tc>
            </w:tr>
            <w:tr w14:paraId="2C77C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tcBorders>
                    <w:top w:val="single" w:color="auto" w:sz="4" w:space="0"/>
                    <w:left w:val="single" w:color="auto" w:sz="4" w:space="0"/>
                    <w:bottom w:val="single" w:color="auto" w:sz="4" w:space="0"/>
                    <w:right w:val="single" w:color="auto" w:sz="4" w:space="0"/>
                  </w:tcBorders>
                  <w:vAlign w:val="center"/>
                </w:tcPr>
                <w:p w14:paraId="2F6552FB">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网络控制器</w:t>
                  </w:r>
                </w:p>
              </w:tc>
              <w:tc>
                <w:tcPr>
                  <w:tcW w:w="3901" w:type="pct"/>
                  <w:tcBorders>
                    <w:top w:val="single" w:color="auto" w:sz="4" w:space="0"/>
                    <w:left w:val="single" w:color="auto" w:sz="4" w:space="0"/>
                    <w:bottom w:val="single" w:color="auto" w:sz="4" w:space="0"/>
                    <w:right w:val="single" w:color="auto" w:sz="4" w:space="0"/>
                  </w:tcBorders>
                </w:tcPr>
                <w:p w14:paraId="63999A2D">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标配≥2个千兆RJ45电口</w:t>
                  </w:r>
                  <w:r>
                    <w:rPr>
                      <w:rFonts w:hint="eastAsia" w:ascii="宋体" w:hAnsi="宋体" w:eastAsia="宋体" w:cs="宋体"/>
                      <w:color w:val="000000"/>
                      <w:kern w:val="0"/>
                      <w:sz w:val="22"/>
                      <w:szCs w:val="22"/>
                      <w:lang w:eastAsia="zh-CN"/>
                    </w:rPr>
                    <w:t>。</w:t>
                  </w:r>
                </w:p>
              </w:tc>
            </w:tr>
            <w:tr w14:paraId="206CE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tcBorders>
                    <w:top w:val="single" w:color="auto" w:sz="4" w:space="0"/>
                    <w:left w:val="single" w:color="auto" w:sz="4" w:space="0"/>
                    <w:bottom w:val="single" w:color="auto" w:sz="4" w:space="0"/>
                    <w:right w:val="single" w:color="auto" w:sz="4" w:space="0"/>
                  </w:tcBorders>
                  <w:vAlign w:val="center"/>
                </w:tcPr>
                <w:p w14:paraId="5BB8F0E1">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PCIE扩展</w:t>
                  </w:r>
                </w:p>
              </w:tc>
              <w:tc>
                <w:tcPr>
                  <w:tcW w:w="3901" w:type="pct"/>
                  <w:tcBorders>
                    <w:top w:val="single" w:color="auto" w:sz="4" w:space="0"/>
                    <w:left w:val="single" w:color="auto" w:sz="4" w:space="0"/>
                    <w:bottom w:val="single" w:color="auto" w:sz="4" w:space="0"/>
                    <w:right w:val="single" w:color="auto" w:sz="4" w:space="0"/>
                  </w:tcBorders>
                </w:tcPr>
                <w:p w14:paraId="7F8DB7A5">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最大可支持≥6个PCIe扩展插槽</w:t>
                  </w:r>
                  <w:r>
                    <w:rPr>
                      <w:rFonts w:hint="eastAsia" w:ascii="宋体" w:hAnsi="宋体" w:eastAsia="宋体" w:cs="宋体"/>
                      <w:color w:val="000000"/>
                      <w:kern w:val="0"/>
                      <w:sz w:val="22"/>
                      <w:szCs w:val="22"/>
                      <w:lang w:eastAsia="zh-CN"/>
                    </w:rPr>
                    <w:t>。</w:t>
                  </w:r>
                </w:p>
              </w:tc>
            </w:tr>
            <w:tr w14:paraId="5778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099" w:type="pct"/>
                  <w:tcBorders>
                    <w:top w:val="single" w:color="auto" w:sz="4" w:space="0"/>
                    <w:left w:val="single" w:color="auto" w:sz="4" w:space="0"/>
                    <w:bottom w:val="single" w:color="auto" w:sz="4" w:space="0"/>
                    <w:right w:val="single" w:color="auto" w:sz="4" w:space="0"/>
                  </w:tcBorders>
                  <w:vAlign w:val="center"/>
                </w:tcPr>
                <w:p w14:paraId="0BE14215">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硬盘控制器</w:t>
                  </w:r>
                </w:p>
              </w:tc>
              <w:tc>
                <w:tcPr>
                  <w:tcW w:w="3901" w:type="pct"/>
                  <w:tcBorders>
                    <w:top w:val="single" w:color="auto" w:sz="4" w:space="0"/>
                    <w:left w:val="single" w:color="auto" w:sz="4" w:space="0"/>
                    <w:bottom w:val="single" w:color="auto" w:sz="4" w:space="0"/>
                    <w:right w:val="single" w:color="auto" w:sz="4" w:space="0"/>
                  </w:tcBorders>
                </w:tcPr>
                <w:p w14:paraId="7A1D87FD">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标配SAS</w:t>
                  </w:r>
                  <w:r>
                    <w:rPr>
                      <w:rFonts w:hint="eastAsia" w:ascii="宋体" w:hAnsi="宋体" w:eastAsia="宋体" w:cs="宋体"/>
                      <w:color w:val="000000"/>
                      <w:kern w:val="0"/>
                      <w:sz w:val="22"/>
                      <w:szCs w:val="22"/>
                      <w:lang w:val="en-US" w:eastAsia="zh-CN"/>
                    </w:rPr>
                    <w:t xml:space="preserve"> </w:t>
                  </w:r>
                  <w:r>
                    <w:rPr>
                      <w:rFonts w:hint="eastAsia" w:ascii="宋体" w:hAnsi="宋体" w:eastAsia="宋体" w:cs="宋体"/>
                      <w:color w:val="000000"/>
                      <w:kern w:val="0"/>
                      <w:sz w:val="22"/>
                      <w:szCs w:val="22"/>
                    </w:rPr>
                    <w:t>HBA 卡，支持RAID 0/1/10</w:t>
                  </w:r>
                  <w:r>
                    <w:rPr>
                      <w:rFonts w:hint="eastAsia" w:ascii="宋体" w:hAnsi="宋体" w:eastAsia="宋体" w:cs="宋体"/>
                      <w:color w:val="000000"/>
                      <w:kern w:val="0"/>
                      <w:sz w:val="22"/>
                      <w:szCs w:val="22"/>
                      <w:lang w:eastAsia="zh-CN"/>
                    </w:rPr>
                    <w:t>。</w:t>
                  </w:r>
                </w:p>
              </w:tc>
            </w:tr>
            <w:tr w14:paraId="6F63C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099" w:type="pct"/>
                  <w:tcBorders>
                    <w:top w:val="single" w:color="auto" w:sz="4" w:space="0"/>
                    <w:left w:val="single" w:color="auto" w:sz="4" w:space="0"/>
                    <w:bottom w:val="single" w:color="auto" w:sz="4" w:space="0"/>
                    <w:right w:val="single" w:color="auto" w:sz="4" w:space="0"/>
                  </w:tcBorders>
                  <w:vAlign w:val="center"/>
                </w:tcPr>
                <w:p w14:paraId="3D75F948">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存储</w:t>
                  </w:r>
                </w:p>
              </w:tc>
              <w:tc>
                <w:tcPr>
                  <w:tcW w:w="3901" w:type="pct"/>
                  <w:tcBorders>
                    <w:top w:val="single" w:color="auto" w:sz="4" w:space="0"/>
                    <w:left w:val="single" w:color="auto" w:sz="4" w:space="0"/>
                    <w:bottom w:val="single" w:color="auto" w:sz="4" w:space="0"/>
                    <w:right w:val="single" w:color="auto" w:sz="4" w:space="0"/>
                  </w:tcBorders>
                </w:tcPr>
                <w:p w14:paraId="1A037A97">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配置不低于2块600G 10K SAS硬盘；最高可选支持12块3.5寸(兼容2.5寸)热插拔SATA/SAS硬盘</w:t>
                  </w:r>
                  <w:r>
                    <w:rPr>
                      <w:rFonts w:hint="eastAsia" w:ascii="宋体" w:hAnsi="宋体" w:eastAsia="宋体" w:cs="宋体"/>
                      <w:color w:val="000000"/>
                      <w:kern w:val="0"/>
                      <w:sz w:val="22"/>
                      <w:szCs w:val="22"/>
                      <w:lang w:eastAsia="zh-CN"/>
                    </w:rPr>
                    <w:t>。</w:t>
                  </w:r>
                </w:p>
              </w:tc>
            </w:tr>
            <w:tr w14:paraId="69328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tcBorders>
                    <w:top w:val="single" w:color="auto" w:sz="4" w:space="0"/>
                    <w:left w:val="single" w:color="auto" w:sz="4" w:space="0"/>
                    <w:bottom w:val="single" w:color="auto" w:sz="4" w:space="0"/>
                    <w:right w:val="single" w:color="auto" w:sz="4" w:space="0"/>
                  </w:tcBorders>
                  <w:vAlign w:val="center"/>
                </w:tcPr>
                <w:p w14:paraId="33473ADB">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其他端口</w:t>
                  </w:r>
                </w:p>
              </w:tc>
              <w:tc>
                <w:tcPr>
                  <w:tcW w:w="3901" w:type="pct"/>
                  <w:tcBorders>
                    <w:top w:val="single" w:color="auto" w:sz="4" w:space="0"/>
                    <w:left w:val="single" w:color="auto" w:sz="4" w:space="0"/>
                    <w:bottom w:val="single" w:color="auto" w:sz="4" w:space="0"/>
                    <w:right w:val="single" w:color="auto" w:sz="4" w:space="0"/>
                  </w:tcBorders>
                </w:tcPr>
                <w:p w14:paraId="5A9340DC">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≥1个千兆RJ-45管理接口</w:t>
                  </w:r>
                  <w:r>
                    <w:rPr>
                      <w:rFonts w:hint="eastAsia" w:ascii="宋体" w:hAnsi="宋体" w:eastAsia="宋体" w:cs="宋体"/>
                      <w:color w:val="000000"/>
                      <w:kern w:val="0"/>
                      <w:sz w:val="22"/>
                      <w:szCs w:val="22"/>
                      <w:lang w:eastAsia="zh-CN"/>
                    </w:rPr>
                    <w:t>。</w:t>
                  </w:r>
                </w:p>
                <w:p w14:paraId="22966598">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≥4个USB接口</w:t>
                  </w:r>
                  <w:r>
                    <w:rPr>
                      <w:rFonts w:hint="eastAsia" w:ascii="宋体" w:hAnsi="宋体" w:eastAsia="宋体" w:cs="宋体"/>
                      <w:color w:val="000000"/>
                      <w:kern w:val="0"/>
                      <w:sz w:val="22"/>
                      <w:szCs w:val="22"/>
                      <w:lang w:eastAsia="zh-CN"/>
                    </w:rPr>
                    <w:t>。</w:t>
                  </w:r>
                </w:p>
                <w:p w14:paraId="264902EA">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≥1个VGA接口</w:t>
                  </w:r>
                  <w:r>
                    <w:rPr>
                      <w:rFonts w:hint="eastAsia" w:ascii="宋体" w:hAnsi="宋体" w:eastAsia="宋体" w:cs="宋体"/>
                      <w:color w:val="000000"/>
                      <w:kern w:val="0"/>
                      <w:sz w:val="22"/>
                      <w:szCs w:val="22"/>
                      <w:lang w:eastAsia="zh-CN"/>
                    </w:rPr>
                    <w:t>。</w:t>
                  </w:r>
                </w:p>
              </w:tc>
            </w:tr>
            <w:tr w14:paraId="66E7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tcBorders>
                    <w:top w:val="single" w:color="auto" w:sz="4" w:space="0"/>
                    <w:left w:val="single" w:color="auto" w:sz="4" w:space="0"/>
                    <w:bottom w:val="single" w:color="auto" w:sz="4" w:space="0"/>
                    <w:right w:val="single" w:color="auto" w:sz="4" w:space="0"/>
                  </w:tcBorders>
                  <w:vAlign w:val="center"/>
                </w:tcPr>
                <w:p w14:paraId="10DACDAF">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电源</w:t>
                  </w:r>
                </w:p>
              </w:tc>
              <w:tc>
                <w:tcPr>
                  <w:tcW w:w="3901" w:type="pct"/>
                  <w:tcBorders>
                    <w:top w:val="single" w:color="auto" w:sz="4" w:space="0"/>
                    <w:left w:val="single" w:color="auto" w:sz="4" w:space="0"/>
                    <w:bottom w:val="single" w:color="auto" w:sz="4" w:space="0"/>
                    <w:right w:val="single" w:color="auto" w:sz="4" w:space="0"/>
                  </w:tcBorders>
                </w:tcPr>
                <w:p w14:paraId="68D1EE12">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高效能550W（1+1）白金冗余电源</w:t>
                  </w:r>
                  <w:r>
                    <w:rPr>
                      <w:rFonts w:hint="eastAsia" w:ascii="宋体" w:hAnsi="宋体" w:eastAsia="宋体" w:cs="宋体"/>
                      <w:color w:val="000000"/>
                      <w:kern w:val="0"/>
                      <w:sz w:val="22"/>
                      <w:szCs w:val="22"/>
                      <w:lang w:eastAsia="zh-CN"/>
                    </w:rPr>
                    <w:t>。</w:t>
                  </w:r>
                </w:p>
                <w:p w14:paraId="56ECCB9D">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支持200</w:t>
                  </w:r>
                  <w:r>
                    <w:rPr>
                      <w:rFonts w:hint="eastAsia" w:ascii="宋体" w:hAnsi="宋体" w:eastAsia="宋体" w:cs="宋体"/>
                      <w:color w:val="000000"/>
                      <w:kern w:val="0"/>
                      <w:sz w:val="22"/>
                      <w:szCs w:val="22"/>
                      <w:lang w:val="en-US" w:eastAsia="zh-CN"/>
                    </w:rPr>
                    <w:t>～</w:t>
                  </w:r>
                  <w:r>
                    <w:rPr>
                      <w:rFonts w:hint="eastAsia" w:ascii="宋体" w:hAnsi="宋体" w:eastAsia="宋体" w:cs="宋体"/>
                      <w:color w:val="000000"/>
                      <w:kern w:val="0"/>
                      <w:sz w:val="22"/>
                      <w:szCs w:val="22"/>
                    </w:rPr>
                    <w:t>240V 50/60Hz AC/HVDC</w:t>
                  </w:r>
                  <w:r>
                    <w:rPr>
                      <w:rFonts w:hint="eastAsia" w:ascii="宋体" w:hAnsi="宋体" w:eastAsia="宋体" w:cs="宋体"/>
                      <w:color w:val="000000"/>
                      <w:kern w:val="0"/>
                      <w:sz w:val="22"/>
                      <w:szCs w:val="22"/>
                      <w:lang w:eastAsia="zh-CN"/>
                    </w:rPr>
                    <w:t>。</w:t>
                  </w:r>
                </w:p>
              </w:tc>
            </w:tr>
            <w:tr w14:paraId="0A84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tcBorders>
                    <w:top w:val="single" w:color="auto" w:sz="4" w:space="0"/>
                    <w:left w:val="single" w:color="auto" w:sz="4" w:space="0"/>
                    <w:bottom w:val="single" w:color="auto" w:sz="4" w:space="0"/>
                    <w:right w:val="single" w:color="auto" w:sz="4" w:space="0"/>
                  </w:tcBorders>
                </w:tcPr>
                <w:p w14:paraId="54072021">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散热</w:t>
                  </w:r>
                </w:p>
              </w:tc>
              <w:tc>
                <w:tcPr>
                  <w:tcW w:w="3901" w:type="pct"/>
                  <w:tcBorders>
                    <w:top w:val="single" w:color="auto" w:sz="4" w:space="0"/>
                    <w:left w:val="single" w:color="auto" w:sz="4" w:space="0"/>
                    <w:bottom w:val="single" w:color="auto" w:sz="4" w:space="0"/>
                    <w:right w:val="single" w:color="auto" w:sz="4" w:space="0"/>
                  </w:tcBorders>
                </w:tcPr>
                <w:p w14:paraId="15176AE2">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≥3组热插拔冗余风扇</w:t>
                  </w:r>
                  <w:r>
                    <w:rPr>
                      <w:rFonts w:hint="eastAsia" w:ascii="宋体" w:hAnsi="宋体" w:eastAsia="宋体" w:cs="宋体"/>
                      <w:color w:val="000000"/>
                      <w:kern w:val="0"/>
                      <w:sz w:val="22"/>
                      <w:szCs w:val="22"/>
                      <w:lang w:eastAsia="zh-CN"/>
                    </w:rPr>
                    <w:t>。</w:t>
                  </w:r>
                </w:p>
              </w:tc>
            </w:tr>
            <w:tr w14:paraId="3FBF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tcBorders>
                    <w:top w:val="single" w:color="auto" w:sz="4" w:space="0"/>
                    <w:left w:val="single" w:color="auto" w:sz="4" w:space="0"/>
                    <w:bottom w:val="single" w:color="auto" w:sz="4" w:space="0"/>
                    <w:right w:val="single" w:color="auto" w:sz="4" w:space="0"/>
                  </w:tcBorders>
                </w:tcPr>
                <w:p w14:paraId="7BA9B50D">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显卡</w:t>
                  </w:r>
                </w:p>
              </w:tc>
              <w:tc>
                <w:tcPr>
                  <w:tcW w:w="3901" w:type="pct"/>
                  <w:tcBorders>
                    <w:top w:val="single" w:color="auto" w:sz="4" w:space="0"/>
                    <w:left w:val="single" w:color="auto" w:sz="4" w:space="0"/>
                    <w:bottom w:val="single" w:color="auto" w:sz="4" w:space="0"/>
                    <w:right w:val="single" w:color="auto" w:sz="4" w:space="0"/>
                  </w:tcBorders>
                </w:tcPr>
                <w:p w14:paraId="3BFE63BD">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集成显示控制器，≥32MB显存</w:t>
                  </w:r>
                  <w:r>
                    <w:rPr>
                      <w:rFonts w:hint="eastAsia" w:ascii="宋体" w:hAnsi="宋体" w:eastAsia="宋体" w:cs="宋体"/>
                      <w:color w:val="000000"/>
                      <w:kern w:val="0"/>
                      <w:sz w:val="22"/>
                      <w:szCs w:val="22"/>
                      <w:lang w:eastAsia="zh-CN"/>
                    </w:rPr>
                    <w:t>。</w:t>
                  </w:r>
                </w:p>
              </w:tc>
            </w:tr>
            <w:tr w14:paraId="564E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tcBorders>
                    <w:top w:val="single" w:color="auto" w:sz="4" w:space="0"/>
                    <w:left w:val="single" w:color="auto" w:sz="4" w:space="0"/>
                    <w:bottom w:val="single" w:color="auto" w:sz="4" w:space="0"/>
                    <w:right w:val="single" w:color="auto" w:sz="4" w:space="0"/>
                  </w:tcBorders>
                </w:tcPr>
                <w:p w14:paraId="01EBDBE4">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环境温度</w:t>
                  </w:r>
                </w:p>
              </w:tc>
              <w:tc>
                <w:tcPr>
                  <w:tcW w:w="3901" w:type="pct"/>
                  <w:tcBorders>
                    <w:top w:val="single" w:color="auto" w:sz="4" w:space="0"/>
                    <w:left w:val="single" w:color="auto" w:sz="4" w:space="0"/>
                    <w:bottom w:val="single" w:color="auto" w:sz="4" w:space="0"/>
                    <w:right w:val="single" w:color="auto" w:sz="4" w:space="0"/>
                  </w:tcBorders>
                </w:tcPr>
                <w:p w14:paraId="609B057F">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5℃～40℃</w:t>
                  </w:r>
                  <w:r>
                    <w:rPr>
                      <w:rFonts w:hint="eastAsia" w:ascii="宋体" w:hAnsi="宋体" w:eastAsia="宋体" w:cs="宋体"/>
                      <w:color w:val="000000"/>
                      <w:kern w:val="0"/>
                      <w:sz w:val="22"/>
                      <w:szCs w:val="22"/>
                      <w:lang w:eastAsia="zh-CN"/>
                    </w:rPr>
                    <w:t>。</w:t>
                  </w:r>
                </w:p>
              </w:tc>
            </w:tr>
            <w:tr w14:paraId="50C7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pct"/>
                  <w:tcBorders>
                    <w:top w:val="single" w:color="auto" w:sz="4" w:space="0"/>
                    <w:left w:val="single" w:color="auto" w:sz="4" w:space="0"/>
                    <w:bottom w:val="single" w:color="auto" w:sz="4" w:space="0"/>
                    <w:right w:val="single" w:color="auto" w:sz="4" w:space="0"/>
                  </w:tcBorders>
                </w:tcPr>
                <w:p w14:paraId="637722C8">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相对湿度</w:t>
                  </w:r>
                </w:p>
              </w:tc>
              <w:tc>
                <w:tcPr>
                  <w:tcW w:w="3901" w:type="pct"/>
                  <w:tcBorders>
                    <w:top w:val="single" w:color="auto" w:sz="4" w:space="0"/>
                    <w:left w:val="single" w:color="auto" w:sz="4" w:space="0"/>
                    <w:bottom w:val="single" w:color="auto" w:sz="4" w:space="0"/>
                    <w:right w:val="single" w:color="auto" w:sz="4" w:space="0"/>
                  </w:tcBorders>
                </w:tcPr>
                <w:p w14:paraId="6B20200C">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35％～80％ RH</w:t>
                  </w:r>
                  <w:r>
                    <w:rPr>
                      <w:rFonts w:hint="eastAsia" w:ascii="宋体" w:hAnsi="宋体" w:eastAsia="宋体" w:cs="宋体"/>
                      <w:color w:val="000000"/>
                      <w:kern w:val="0"/>
                      <w:sz w:val="22"/>
                      <w:szCs w:val="22"/>
                      <w:lang w:eastAsia="zh-CN"/>
                    </w:rPr>
                    <w:t>。</w:t>
                  </w:r>
                </w:p>
              </w:tc>
            </w:tr>
          </w:tbl>
          <w:p w14:paraId="78A0CB8C">
            <w:pPr>
              <w:keepNext w:val="0"/>
              <w:keepLines w:val="0"/>
              <w:pageBreakBefore w:val="0"/>
              <w:widowControl w:val="0"/>
              <w:numPr>
                <w:ilvl w:val="0"/>
                <w:numId w:val="0"/>
              </w:numPr>
              <w:kinsoku/>
              <w:wordWrap/>
              <w:overflowPunct/>
              <w:topLinePunct w:val="0"/>
              <w:autoSpaceDE/>
              <w:autoSpaceDN/>
              <w:bidi w:val="0"/>
              <w:adjustRightInd w:val="0"/>
              <w:snapToGrid/>
              <w:spacing w:beforeAutospacing="0" w:afterAutospacing="0" w:line="360" w:lineRule="auto"/>
              <w:textAlignment w:val="baseline"/>
              <w:rPr>
                <w:rFonts w:hint="eastAsia" w:ascii="宋体" w:hAnsi="宋体" w:eastAsia="宋体" w:cs="宋体"/>
                <w:b/>
                <w:bCs/>
                <w:color w:val="auto"/>
                <w:sz w:val="22"/>
                <w:szCs w:val="22"/>
                <w:highlight w:val="none"/>
                <w:shd w:val="clear" w:color="FFFFFF" w:fill="D9D9D9"/>
                <w:lang w:bidi="ar"/>
              </w:rPr>
            </w:pPr>
          </w:p>
        </w:tc>
        <w:tc>
          <w:tcPr>
            <w:tcW w:w="1208" w:type="dxa"/>
          </w:tcPr>
          <w:p w14:paraId="11C36445">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3D9599CC">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0CCBDBFF">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46AB4846">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086F73D0">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0112EF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0" w:type="dxa"/>
            <w:vAlign w:val="center"/>
          </w:tcPr>
          <w:p w14:paraId="52856E68">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25</w:t>
            </w:r>
          </w:p>
        </w:tc>
        <w:tc>
          <w:tcPr>
            <w:tcW w:w="660" w:type="dxa"/>
          </w:tcPr>
          <w:p w14:paraId="2B0937DC">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79CF9D79">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6B9205E9">
            <w:pPr>
              <w:pStyle w:val="4"/>
              <w:pageBreakBefore w:val="0"/>
              <w:numPr>
                <w:ilvl w:val="1"/>
                <w:numId w:val="0"/>
              </w:numPr>
              <w:shd w:val="clear"/>
              <w:kinsoku/>
              <w:wordWrap/>
              <w:overflowPunct/>
              <w:topLinePunct w:val="0"/>
              <w:autoSpaceDE/>
              <w:autoSpaceDN/>
              <w:bidi w:val="0"/>
              <w:adjustRightInd/>
              <w:snapToGrid/>
              <w:spacing w:before="0" w:line="360" w:lineRule="auto"/>
              <w:ind w:left="0" w:leftChars="0" w:firstLine="0" w:firstLineChars="0"/>
              <w:textAlignment w:val="auto"/>
              <w:rPr>
                <w:rFonts w:hint="eastAsia" w:ascii="宋体" w:hAnsi="宋体" w:eastAsia="宋体" w:cs="宋体"/>
                <w:sz w:val="22"/>
                <w:szCs w:val="22"/>
              </w:rPr>
            </w:pPr>
            <w:bookmarkStart w:id="43" w:name="_Toc173501816"/>
            <w:r>
              <w:rPr>
                <w:rFonts w:hint="eastAsia" w:ascii="宋体" w:hAnsi="宋体" w:eastAsia="宋体" w:cs="宋体"/>
                <w:b/>
                <w:bCs/>
                <w:kern w:val="2"/>
                <w:sz w:val="22"/>
                <w:szCs w:val="22"/>
                <w:lang w:val="en-US" w:eastAsia="zh-CN" w:bidi="ar-SA"/>
              </w:rPr>
              <w:t>（十一）</w:t>
            </w:r>
            <w:r>
              <w:rPr>
                <w:rFonts w:hint="eastAsia" w:ascii="宋体" w:hAnsi="宋体" w:eastAsia="宋体" w:cs="宋体"/>
                <w:b/>
                <w:bCs w:val="0"/>
                <w:sz w:val="22"/>
                <w:szCs w:val="22"/>
              </w:rPr>
              <w:t>汇聚交换机</w:t>
            </w:r>
            <w:bookmarkEnd w:id="43"/>
          </w:p>
          <w:tbl>
            <w:tblPr>
              <w:tblStyle w:val="18"/>
              <w:tblW w:w="5000" w:type="pct"/>
              <w:jc w:val="center"/>
              <w:tblLayout w:type="fixed"/>
              <w:tblCellMar>
                <w:top w:w="0" w:type="dxa"/>
                <w:left w:w="108" w:type="dxa"/>
                <w:bottom w:w="0" w:type="dxa"/>
                <w:right w:w="108" w:type="dxa"/>
              </w:tblCellMar>
            </w:tblPr>
            <w:tblGrid>
              <w:gridCol w:w="1769"/>
              <w:gridCol w:w="6251"/>
            </w:tblGrid>
            <w:tr w14:paraId="7520A89E">
              <w:tblPrEx>
                <w:tblCellMar>
                  <w:top w:w="0" w:type="dxa"/>
                  <w:left w:w="108" w:type="dxa"/>
                  <w:bottom w:w="0" w:type="dxa"/>
                  <w:right w:w="108" w:type="dxa"/>
                </w:tblCellMar>
              </w:tblPrEx>
              <w:trPr>
                <w:trHeight w:val="261" w:hRule="atLeast"/>
                <w:tblHeader/>
                <w:jc w:val="center"/>
              </w:trPr>
              <w:tc>
                <w:tcPr>
                  <w:tcW w:w="1102" w:type="pct"/>
                  <w:tcBorders>
                    <w:top w:val="single" w:color="auto" w:sz="4" w:space="0"/>
                    <w:left w:val="single" w:color="auto" w:sz="4" w:space="0"/>
                    <w:bottom w:val="single" w:color="auto" w:sz="4" w:space="0"/>
                    <w:right w:val="single" w:color="auto" w:sz="4" w:space="0"/>
                  </w:tcBorders>
                  <w:shd w:val="clear" w:color="auto" w:fill="auto"/>
                  <w:vAlign w:val="center"/>
                </w:tcPr>
                <w:p w14:paraId="0A58A1C1">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项目</w:t>
                  </w:r>
                </w:p>
              </w:tc>
              <w:tc>
                <w:tcPr>
                  <w:tcW w:w="3898" w:type="pct"/>
                  <w:tcBorders>
                    <w:top w:val="single" w:color="auto" w:sz="4" w:space="0"/>
                    <w:left w:val="nil"/>
                    <w:bottom w:val="single" w:color="auto" w:sz="4" w:space="0"/>
                    <w:right w:val="single" w:color="auto" w:sz="4" w:space="0"/>
                  </w:tcBorders>
                  <w:shd w:val="clear" w:color="auto" w:fill="auto"/>
                  <w:vAlign w:val="center"/>
                </w:tcPr>
                <w:p w14:paraId="328E097D">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参数描述</w:t>
                  </w:r>
                </w:p>
              </w:tc>
            </w:tr>
            <w:tr w14:paraId="0487FDF8">
              <w:tblPrEx>
                <w:tblCellMar>
                  <w:top w:w="0" w:type="dxa"/>
                  <w:left w:w="108" w:type="dxa"/>
                  <w:bottom w:w="0" w:type="dxa"/>
                  <w:right w:w="108" w:type="dxa"/>
                </w:tblCellMar>
              </w:tblPrEx>
              <w:trPr>
                <w:trHeight w:val="261" w:hRule="atLeast"/>
                <w:jc w:val="center"/>
              </w:trPr>
              <w:tc>
                <w:tcPr>
                  <w:tcW w:w="1102" w:type="pct"/>
                  <w:tcBorders>
                    <w:top w:val="nil"/>
                    <w:left w:val="single" w:color="auto" w:sz="4" w:space="0"/>
                    <w:bottom w:val="single" w:color="auto" w:sz="4" w:space="0"/>
                    <w:right w:val="single" w:color="auto" w:sz="4" w:space="0"/>
                  </w:tcBorders>
                  <w:shd w:val="clear" w:color="auto" w:fill="auto"/>
                  <w:vAlign w:val="center"/>
                </w:tcPr>
                <w:p w14:paraId="19DAA287">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传输速率</w:t>
                  </w:r>
                </w:p>
              </w:tc>
              <w:tc>
                <w:tcPr>
                  <w:tcW w:w="3898" w:type="pct"/>
                  <w:tcBorders>
                    <w:top w:val="nil"/>
                    <w:left w:val="nil"/>
                    <w:bottom w:val="single" w:color="auto" w:sz="4" w:space="0"/>
                    <w:right w:val="single" w:color="auto" w:sz="4" w:space="0"/>
                  </w:tcBorders>
                  <w:shd w:val="clear" w:color="auto" w:fill="auto"/>
                  <w:vAlign w:val="center"/>
                </w:tcPr>
                <w:p w14:paraId="4551828F">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10/100/1000Mbps</w:t>
                  </w:r>
                  <w:r>
                    <w:rPr>
                      <w:rFonts w:hint="eastAsia" w:ascii="宋体" w:hAnsi="宋体" w:eastAsia="宋体" w:cs="宋体"/>
                      <w:color w:val="000000"/>
                      <w:kern w:val="0"/>
                      <w:sz w:val="22"/>
                      <w:szCs w:val="22"/>
                      <w:lang w:eastAsia="zh-CN"/>
                    </w:rPr>
                    <w:t>。</w:t>
                  </w:r>
                </w:p>
              </w:tc>
            </w:tr>
            <w:tr w14:paraId="78F85AAA">
              <w:tblPrEx>
                <w:tblCellMar>
                  <w:top w:w="0" w:type="dxa"/>
                  <w:left w:w="108" w:type="dxa"/>
                  <w:bottom w:w="0" w:type="dxa"/>
                  <w:right w:w="108" w:type="dxa"/>
                </w:tblCellMar>
              </w:tblPrEx>
              <w:trPr>
                <w:trHeight w:val="261" w:hRule="atLeast"/>
                <w:jc w:val="center"/>
              </w:trPr>
              <w:tc>
                <w:tcPr>
                  <w:tcW w:w="1102" w:type="pct"/>
                  <w:tcBorders>
                    <w:top w:val="nil"/>
                    <w:left w:val="single" w:color="auto" w:sz="4" w:space="0"/>
                    <w:bottom w:val="single" w:color="auto" w:sz="4" w:space="0"/>
                    <w:right w:val="single" w:color="auto" w:sz="4" w:space="0"/>
                  </w:tcBorders>
                  <w:shd w:val="clear" w:color="auto" w:fill="auto"/>
                  <w:vAlign w:val="center"/>
                </w:tcPr>
                <w:p w14:paraId="5AA82F54">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背板带宽</w:t>
                  </w:r>
                </w:p>
              </w:tc>
              <w:tc>
                <w:tcPr>
                  <w:tcW w:w="3898" w:type="pct"/>
                  <w:tcBorders>
                    <w:top w:val="nil"/>
                    <w:left w:val="nil"/>
                    <w:bottom w:val="single" w:color="auto" w:sz="4" w:space="0"/>
                    <w:right w:val="single" w:color="auto" w:sz="4" w:space="0"/>
                  </w:tcBorders>
                  <w:shd w:val="clear" w:color="auto" w:fill="auto"/>
                  <w:vAlign w:val="center"/>
                </w:tcPr>
                <w:p w14:paraId="3E95590F">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≥336Gbps/3.36Tbps</w:t>
                  </w:r>
                  <w:r>
                    <w:rPr>
                      <w:rFonts w:hint="eastAsia" w:ascii="宋体" w:hAnsi="宋体" w:eastAsia="宋体" w:cs="宋体"/>
                      <w:color w:val="000000"/>
                      <w:kern w:val="0"/>
                      <w:sz w:val="22"/>
                      <w:szCs w:val="22"/>
                      <w:lang w:eastAsia="zh-CN"/>
                    </w:rPr>
                    <w:t>。</w:t>
                  </w:r>
                </w:p>
              </w:tc>
            </w:tr>
            <w:tr w14:paraId="7AADEBFB">
              <w:tblPrEx>
                <w:tblCellMar>
                  <w:top w:w="0" w:type="dxa"/>
                  <w:left w:w="108" w:type="dxa"/>
                  <w:bottom w:w="0" w:type="dxa"/>
                  <w:right w:w="108" w:type="dxa"/>
                </w:tblCellMar>
              </w:tblPrEx>
              <w:trPr>
                <w:trHeight w:val="261" w:hRule="atLeast"/>
                <w:jc w:val="center"/>
              </w:trPr>
              <w:tc>
                <w:tcPr>
                  <w:tcW w:w="1102" w:type="pct"/>
                  <w:tcBorders>
                    <w:top w:val="nil"/>
                    <w:left w:val="single" w:color="auto" w:sz="4" w:space="0"/>
                    <w:bottom w:val="single" w:color="auto" w:sz="4" w:space="0"/>
                    <w:right w:val="single" w:color="auto" w:sz="4" w:space="0"/>
                  </w:tcBorders>
                  <w:shd w:val="clear" w:color="auto" w:fill="auto"/>
                  <w:vAlign w:val="center"/>
                </w:tcPr>
                <w:p w14:paraId="66430FF7">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包转发率</w:t>
                  </w:r>
                </w:p>
              </w:tc>
              <w:tc>
                <w:tcPr>
                  <w:tcW w:w="3898" w:type="pct"/>
                  <w:tcBorders>
                    <w:top w:val="nil"/>
                    <w:left w:val="nil"/>
                    <w:bottom w:val="single" w:color="auto" w:sz="4" w:space="0"/>
                    <w:right w:val="single" w:color="auto" w:sz="4" w:space="0"/>
                  </w:tcBorders>
                  <w:shd w:val="clear" w:color="auto" w:fill="auto"/>
                  <w:vAlign w:val="center"/>
                </w:tcPr>
                <w:p w14:paraId="1AAF8651">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≥108Mpps/126Mpps</w:t>
                  </w:r>
                  <w:r>
                    <w:rPr>
                      <w:rFonts w:hint="eastAsia" w:ascii="宋体" w:hAnsi="宋体" w:eastAsia="宋体" w:cs="宋体"/>
                      <w:color w:val="000000"/>
                      <w:kern w:val="0"/>
                      <w:sz w:val="22"/>
                      <w:szCs w:val="22"/>
                      <w:lang w:eastAsia="zh-CN"/>
                    </w:rPr>
                    <w:t>。</w:t>
                  </w:r>
                </w:p>
              </w:tc>
            </w:tr>
            <w:tr w14:paraId="0CE98615">
              <w:tblPrEx>
                <w:tblCellMar>
                  <w:top w:w="0" w:type="dxa"/>
                  <w:left w:w="108" w:type="dxa"/>
                  <w:bottom w:w="0" w:type="dxa"/>
                  <w:right w:w="108" w:type="dxa"/>
                </w:tblCellMar>
              </w:tblPrEx>
              <w:trPr>
                <w:trHeight w:val="261" w:hRule="atLeast"/>
                <w:jc w:val="center"/>
              </w:trPr>
              <w:tc>
                <w:tcPr>
                  <w:tcW w:w="1102" w:type="pct"/>
                  <w:tcBorders>
                    <w:top w:val="nil"/>
                    <w:left w:val="single" w:color="auto" w:sz="4" w:space="0"/>
                    <w:bottom w:val="single" w:color="auto" w:sz="4" w:space="0"/>
                    <w:right w:val="single" w:color="auto" w:sz="4" w:space="0"/>
                  </w:tcBorders>
                  <w:shd w:val="clear" w:color="auto" w:fill="auto"/>
                  <w:vAlign w:val="center"/>
                </w:tcPr>
                <w:p w14:paraId="23A9DD56">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MAC地址表</w:t>
                  </w:r>
                </w:p>
              </w:tc>
              <w:tc>
                <w:tcPr>
                  <w:tcW w:w="3898" w:type="pct"/>
                  <w:tcBorders>
                    <w:top w:val="nil"/>
                    <w:left w:val="nil"/>
                    <w:bottom w:val="single" w:color="auto" w:sz="4" w:space="0"/>
                    <w:right w:val="single" w:color="auto" w:sz="4" w:space="0"/>
                  </w:tcBorders>
                  <w:shd w:val="clear" w:color="auto" w:fill="auto"/>
                  <w:vAlign w:val="center"/>
                </w:tcPr>
                <w:p w14:paraId="53C7FBE9">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16K</w:t>
                  </w:r>
                  <w:r>
                    <w:rPr>
                      <w:rFonts w:hint="eastAsia" w:ascii="宋体" w:hAnsi="宋体" w:eastAsia="宋体" w:cs="宋体"/>
                      <w:color w:val="000000"/>
                      <w:kern w:val="0"/>
                      <w:sz w:val="22"/>
                      <w:szCs w:val="22"/>
                      <w:lang w:eastAsia="zh-CN"/>
                    </w:rPr>
                    <w:t>。</w:t>
                  </w:r>
                </w:p>
              </w:tc>
            </w:tr>
            <w:tr w14:paraId="20C8ADB3">
              <w:tblPrEx>
                <w:tblCellMar>
                  <w:top w:w="0" w:type="dxa"/>
                  <w:left w:w="108" w:type="dxa"/>
                  <w:bottom w:w="0" w:type="dxa"/>
                  <w:right w:w="108" w:type="dxa"/>
                </w:tblCellMar>
              </w:tblPrEx>
              <w:trPr>
                <w:trHeight w:val="58" w:hRule="atLeast"/>
                <w:jc w:val="center"/>
              </w:trPr>
              <w:tc>
                <w:tcPr>
                  <w:tcW w:w="1102" w:type="pct"/>
                  <w:tcBorders>
                    <w:top w:val="nil"/>
                    <w:left w:val="single" w:color="auto" w:sz="4" w:space="0"/>
                    <w:bottom w:val="single" w:color="auto" w:sz="4" w:space="0"/>
                    <w:right w:val="single" w:color="auto" w:sz="4" w:space="0"/>
                  </w:tcBorders>
                  <w:shd w:val="clear" w:color="auto" w:fill="auto"/>
                  <w:vAlign w:val="center"/>
                </w:tcPr>
                <w:p w14:paraId="3717A674">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端口描述</w:t>
                  </w:r>
                </w:p>
              </w:tc>
              <w:tc>
                <w:tcPr>
                  <w:tcW w:w="3898" w:type="pct"/>
                  <w:tcBorders>
                    <w:top w:val="single" w:color="auto" w:sz="4" w:space="0"/>
                    <w:left w:val="nil"/>
                    <w:bottom w:val="single" w:color="auto" w:sz="4" w:space="0"/>
                    <w:right w:val="single" w:color="auto" w:sz="4" w:space="0"/>
                  </w:tcBorders>
                  <w:shd w:val="clear" w:color="auto" w:fill="auto"/>
                  <w:vAlign w:val="center"/>
                </w:tcPr>
                <w:p w14:paraId="5D9BC89E">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不少于24个千兆/百兆光口，不少于8个复用的千兆电口, 不少于4个万兆SFP+光口</w:t>
                  </w:r>
                  <w:r>
                    <w:rPr>
                      <w:rFonts w:hint="eastAsia" w:ascii="宋体" w:hAnsi="宋体" w:eastAsia="宋体" w:cs="宋体"/>
                      <w:color w:val="000000"/>
                      <w:kern w:val="0"/>
                      <w:sz w:val="22"/>
                      <w:szCs w:val="22"/>
                      <w:lang w:eastAsia="zh-CN"/>
                    </w:rPr>
                    <w:t>。</w:t>
                  </w:r>
                </w:p>
              </w:tc>
            </w:tr>
            <w:tr w14:paraId="57D4AC87">
              <w:tblPrEx>
                <w:tblCellMar>
                  <w:top w:w="0" w:type="dxa"/>
                  <w:left w:w="108" w:type="dxa"/>
                  <w:bottom w:w="0" w:type="dxa"/>
                  <w:right w:w="108" w:type="dxa"/>
                </w:tblCellMar>
              </w:tblPrEx>
              <w:trPr>
                <w:trHeight w:val="261" w:hRule="atLeast"/>
                <w:jc w:val="center"/>
              </w:trPr>
              <w:tc>
                <w:tcPr>
                  <w:tcW w:w="1102" w:type="pct"/>
                  <w:tcBorders>
                    <w:top w:val="nil"/>
                    <w:left w:val="single" w:color="auto" w:sz="4" w:space="0"/>
                    <w:bottom w:val="single" w:color="auto" w:sz="4" w:space="0"/>
                    <w:right w:val="single" w:color="auto" w:sz="4" w:space="0"/>
                  </w:tcBorders>
                  <w:shd w:val="clear" w:color="auto" w:fill="auto"/>
                  <w:vAlign w:val="center"/>
                </w:tcPr>
                <w:p w14:paraId="13F70401">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堆叠功能</w:t>
                  </w:r>
                </w:p>
              </w:tc>
              <w:tc>
                <w:tcPr>
                  <w:tcW w:w="3898" w:type="pct"/>
                  <w:tcBorders>
                    <w:top w:val="single" w:color="auto" w:sz="4" w:space="0"/>
                    <w:left w:val="nil"/>
                    <w:bottom w:val="single" w:color="auto" w:sz="4" w:space="0"/>
                    <w:right w:val="single" w:color="auto" w:sz="4" w:space="0"/>
                  </w:tcBorders>
                  <w:shd w:val="clear" w:color="auto" w:fill="auto"/>
                  <w:vAlign w:val="center"/>
                </w:tcPr>
                <w:p w14:paraId="14930DE4">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可堆叠</w:t>
                  </w:r>
                  <w:r>
                    <w:rPr>
                      <w:rFonts w:hint="eastAsia" w:ascii="宋体" w:hAnsi="宋体" w:eastAsia="宋体" w:cs="宋体"/>
                      <w:color w:val="000000"/>
                      <w:kern w:val="0"/>
                      <w:sz w:val="22"/>
                      <w:szCs w:val="22"/>
                      <w:lang w:eastAsia="zh-CN"/>
                    </w:rPr>
                    <w:t>。</w:t>
                  </w:r>
                </w:p>
              </w:tc>
            </w:tr>
            <w:tr w14:paraId="77147433">
              <w:tblPrEx>
                <w:tblCellMar>
                  <w:top w:w="0" w:type="dxa"/>
                  <w:left w:w="108" w:type="dxa"/>
                  <w:bottom w:w="0" w:type="dxa"/>
                  <w:right w:w="108" w:type="dxa"/>
                </w:tblCellMar>
              </w:tblPrEx>
              <w:trPr>
                <w:trHeight w:val="458" w:hRule="atLeast"/>
                <w:jc w:val="center"/>
              </w:trPr>
              <w:tc>
                <w:tcPr>
                  <w:tcW w:w="1102" w:type="pct"/>
                  <w:tcBorders>
                    <w:top w:val="nil"/>
                    <w:left w:val="single" w:color="auto" w:sz="4" w:space="0"/>
                    <w:bottom w:val="single" w:color="auto" w:sz="4" w:space="0"/>
                    <w:right w:val="single" w:color="auto" w:sz="4" w:space="0"/>
                  </w:tcBorders>
                  <w:shd w:val="clear" w:color="auto" w:fill="auto"/>
                  <w:vAlign w:val="center"/>
                </w:tcPr>
                <w:p w14:paraId="682AFFCB">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网络管理</w:t>
                  </w:r>
                </w:p>
              </w:tc>
              <w:tc>
                <w:tcPr>
                  <w:tcW w:w="3898" w:type="pct"/>
                  <w:tcBorders>
                    <w:top w:val="single" w:color="auto" w:sz="4" w:space="0"/>
                    <w:left w:val="nil"/>
                    <w:bottom w:val="single" w:color="auto" w:sz="4" w:space="0"/>
                    <w:right w:val="single" w:color="auto" w:sz="4" w:space="0"/>
                  </w:tcBorders>
                  <w:shd w:val="clear" w:color="auto" w:fill="auto"/>
                  <w:vAlign w:val="center"/>
                </w:tcPr>
                <w:p w14:paraId="65357D6B">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1.</w:t>
                  </w:r>
                  <w:r>
                    <w:rPr>
                      <w:rFonts w:hint="eastAsia" w:ascii="宋体" w:hAnsi="宋体" w:eastAsia="宋体" w:cs="宋体"/>
                      <w:color w:val="000000"/>
                      <w:kern w:val="0"/>
                      <w:sz w:val="22"/>
                      <w:szCs w:val="22"/>
                    </w:rPr>
                    <w:t>支持智能iStack 堆叠</w:t>
                  </w:r>
                  <w:r>
                    <w:rPr>
                      <w:rFonts w:hint="eastAsia" w:ascii="宋体" w:hAnsi="宋体" w:eastAsia="宋体" w:cs="宋体"/>
                      <w:color w:val="000000"/>
                      <w:kern w:val="0"/>
                      <w:sz w:val="22"/>
                      <w:szCs w:val="22"/>
                      <w:lang w:eastAsia="zh-CN"/>
                    </w:rPr>
                    <w:t>。</w:t>
                  </w:r>
                </w:p>
                <w:p w14:paraId="4503D27F">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2.</w:t>
                  </w:r>
                  <w:r>
                    <w:rPr>
                      <w:rFonts w:hint="eastAsia" w:ascii="宋体" w:hAnsi="宋体" w:eastAsia="宋体" w:cs="宋体"/>
                      <w:color w:val="000000"/>
                      <w:kern w:val="0"/>
                      <w:sz w:val="22"/>
                      <w:szCs w:val="22"/>
                    </w:rPr>
                    <w:t>支持虚拟电缆检测（Virtual Cable Test)</w:t>
                  </w:r>
                  <w:r>
                    <w:rPr>
                      <w:rFonts w:hint="eastAsia" w:ascii="宋体" w:hAnsi="宋体" w:eastAsia="宋体" w:cs="宋体"/>
                      <w:color w:val="000000"/>
                      <w:kern w:val="0"/>
                      <w:sz w:val="22"/>
                      <w:szCs w:val="22"/>
                      <w:lang w:eastAsia="zh-CN"/>
                    </w:rPr>
                    <w:t>。</w:t>
                  </w:r>
                </w:p>
                <w:p w14:paraId="45B10C53">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3.</w:t>
                  </w:r>
                  <w:r>
                    <w:rPr>
                      <w:rFonts w:hint="eastAsia" w:ascii="宋体" w:hAnsi="宋体" w:eastAsia="宋体" w:cs="宋体"/>
                      <w:color w:val="000000"/>
                      <w:kern w:val="0"/>
                      <w:sz w:val="22"/>
                      <w:szCs w:val="22"/>
                    </w:rPr>
                    <w:t>支持 SNMPv1/v2/v3</w:t>
                  </w:r>
                  <w:r>
                    <w:rPr>
                      <w:rFonts w:hint="eastAsia" w:ascii="宋体" w:hAnsi="宋体" w:eastAsia="宋体" w:cs="宋体"/>
                      <w:color w:val="000000"/>
                      <w:kern w:val="0"/>
                      <w:sz w:val="22"/>
                      <w:szCs w:val="22"/>
                      <w:lang w:eastAsia="zh-CN"/>
                    </w:rPr>
                    <w:t>。</w:t>
                  </w:r>
                </w:p>
                <w:p w14:paraId="25F0660A">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4.</w:t>
                  </w:r>
                  <w:r>
                    <w:rPr>
                      <w:rFonts w:hint="eastAsia" w:ascii="宋体" w:hAnsi="宋体" w:eastAsia="宋体" w:cs="宋体"/>
                      <w:color w:val="000000"/>
                      <w:kern w:val="0"/>
                      <w:sz w:val="22"/>
                      <w:szCs w:val="22"/>
                    </w:rPr>
                    <w:t>支持 RMON</w:t>
                  </w:r>
                  <w:r>
                    <w:rPr>
                      <w:rFonts w:hint="eastAsia" w:ascii="宋体" w:hAnsi="宋体" w:eastAsia="宋体" w:cs="宋体"/>
                      <w:color w:val="000000"/>
                      <w:kern w:val="0"/>
                      <w:sz w:val="22"/>
                      <w:szCs w:val="22"/>
                      <w:lang w:eastAsia="zh-CN"/>
                    </w:rPr>
                    <w:t>。</w:t>
                  </w:r>
                </w:p>
                <w:p w14:paraId="5F6553EC">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5.</w:t>
                  </w:r>
                  <w:r>
                    <w:rPr>
                      <w:rFonts w:hint="eastAsia" w:ascii="宋体" w:hAnsi="宋体" w:eastAsia="宋体" w:cs="宋体"/>
                      <w:color w:val="000000"/>
                      <w:kern w:val="0"/>
                      <w:sz w:val="22"/>
                      <w:szCs w:val="22"/>
                    </w:rPr>
                    <w:t>支持网管系统、支持WEB网管特性</w:t>
                  </w:r>
                  <w:r>
                    <w:rPr>
                      <w:rFonts w:hint="eastAsia" w:ascii="宋体" w:hAnsi="宋体" w:eastAsia="宋体" w:cs="宋体"/>
                      <w:color w:val="000000"/>
                      <w:kern w:val="0"/>
                      <w:sz w:val="22"/>
                      <w:szCs w:val="22"/>
                      <w:lang w:eastAsia="zh-CN"/>
                    </w:rPr>
                    <w:t>。</w:t>
                  </w:r>
                </w:p>
                <w:p w14:paraId="430F7583">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6</w:t>
                  </w:r>
                  <w:r>
                    <w:rPr>
                      <w:rFonts w:hint="eastAsia" w:ascii="宋体" w:hAnsi="宋体" w:eastAsia="宋体" w:cs="宋体"/>
                      <w:color w:val="000000"/>
                      <w:kern w:val="0"/>
                      <w:sz w:val="22"/>
                      <w:szCs w:val="22"/>
                    </w:rPr>
                    <w:t>支持系统日志、分级告警</w:t>
                  </w:r>
                  <w:r>
                    <w:rPr>
                      <w:rFonts w:hint="eastAsia" w:ascii="宋体" w:hAnsi="宋体" w:eastAsia="宋体" w:cs="宋体"/>
                      <w:color w:val="000000"/>
                      <w:kern w:val="0"/>
                      <w:sz w:val="22"/>
                      <w:szCs w:val="22"/>
                      <w:lang w:eastAsia="zh-CN"/>
                    </w:rPr>
                    <w:t>。</w:t>
                  </w:r>
                </w:p>
                <w:p w14:paraId="13238CF3">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7.</w:t>
                  </w:r>
                  <w:r>
                    <w:rPr>
                      <w:rFonts w:hint="eastAsia" w:ascii="宋体" w:hAnsi="宋体" w:eastAsia="宋体" w:cs="宋体"/>
                      <w:color w:val="000000"/>
                      <w:kern w:val="0"/>
                      <w:sz w:val="22"/>
                      <w:szCs w:val="22"/>
                    </w:rPr>
                    <w:t>支持 sFlow</w:t>
                  </w:r>
                  <w:r>
                    <w:rPr>
                      <w:rFonts w:hint="eastAsia" w:ascii="宋体" w:hAnsi="宋体" w:eastAsia="宋体" w:cs="宋体"/>
                      <w:color w:val="000000"/>
                      <w:kern w:val="0"/>
                      <w:sz w:val="22"/>
                      <w:szCs w:val="22"/>
                      <w:lang w:eastAsia="zh-CN"/>
                    </w:rPr>
                    <w:t>。</w:t>
                  </w:r>
                </w:p>
                <w:p w14:paraId="39FA1AA5">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8.</w:t>
                  </w:r>
                  <w:r>
                    <w:rPr>
                      <w:rFonts w:hint="eastAsia" w:ascii="宋体" w:hAnsi="宋体" w:eastAsia="宋体" w:cs="宋体"/>
                      <w:color w:val="000000"/>
                      <w:kern w:val="0"/>
                      <w:sz w:val="22"/>
                      <w:szCs w:val="22"/>
                    </w:rPr>
                    <w:t>支持VLAN,流量控制，ACL，QOS，支持SNMP V1/V2c/V3网管</w:t>
                  </w:r>
                  <w:r>
                    <w:rPr>
                      <w:rFonts w:hint="eastAsia" w:ascii="宋体" w:hAnsi="宋体" w:eastAsia="宋体" w:cs="宋体"/>
                      <w:color w:val="000000"/>
                      <w:kern w:val="0"/>
                      <w:sz w:val="22"/>
                      <w:szCs w:val="22"/>
                      <w:lang w:eastAsia="zh-CN"/>
                    </w:rPr>
                    <w:t>。</w:t>
                  </w:r>
                </w:p>
              </w:tc>
            </w:tr>
            <w:tr w14:paraId="6190B3A3">
              <w:tblPrEx>
                <w:tblCellMar>
                  <w:top w:w="0" w:type="dxa"/>
                  <w:left w:w="108" w:type="dxa"/>
                  <w:bottom w:w="0" w:type="dxa"/>
                  <w:right w:w="108" w:type="dxa"/>
                </w:tblCellMar>
              </w:tblPrEx>
              <w:trPr>
                <w:trHeight w:val="1600" w:hRule="atLeast"/>
                <w:jc w:val="center"/>
              </w:trPr>
              <w:tc>
                <w:tcPr>
                  <w:tcW w:w="1102" w:type="pct"/>
                  <w:tcBorders>
                    <w:top w:val="nil"/>
                    <w:left w:val="single" w:color="auto" w:sz="4" w:space="0"/>
                    <w:bottom w:val="single" w:color="auto" w:sz="4" w:space="0"/>
                    <w:right w:val="single" w:color="auto" w:sz="4" w:space="0"/>
                  </w:tcBorders>
                  <w:shd w:val="clear" w:color="auto" w:fill="auto"/>
                  <w:vAlign w:val="center"/>
                </w:tcPr>
                <w:p w14:paraId="3586D207">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安全管理</w:t>
                  </w:r>
                </w:p>
              </w:tc>
              <w:tc>
                <w:tcPr>
                  <w:tcW w:w="3898" w:type="pct"/>
                  <w:tcBorders>
                    <w:top w:val="single" w:color="auto" w:sz="4" w:space="0"/>
                    <w:left w:val="nil"/>
                    <w:bottom w:val="single" w:color="auto" w:sz="4" w:space="0"/>
                    <w:right w:val="single" w:color="auto" w:sz="4" w:space="0"/>
                  </w:tcBorders>
                  <w:shd w:val="clear" w:color="auto" w:fill="auto"/>
                  <w:vAlign w:val="center"/>
                </w:tcPr>
                <w:p w14:paraId="5F33CA7F">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1.</w:t>
                  </w:r>
                  <w:r>
                    <w:rPr>
                      <w:rFonts w:hint="eastAsia" w:ascii="宋体" w:hAnsi="宋体" w:eastAsia="宋体" w:cs="宋体"/>
                      <w:color w:val="000000"/>
                      <w:kern w:val="0"/>
                      <w:sz w:val="22"/>
                      <w:szCs w:val="22"/>
                    </w:rPr>
                    <w:t>用户分级管理和口令保护</w:t>
                  </w:r>
                  <w:r>
                    <w:rPr>
                      <w:rFonts w:hint="eastAsia" w:ascii="宋体" w:hAnsi="宋体" w:eastAsia="宋体" w:cs="宋体"/>
                      <w:color w:val="000000"/>
                      <w:kern w:val="0"/>
                      <w:sz w:val="22"/>
                      <w:szCs w:val="22"/>
                      <w:lang w:eastAsia="zh-CN"/>
                    </w:rPr>
                    <w:t>。</w:t>
                  </w:r>
                </w:p>
                <w:p w14:paraId="26522C51">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2.</w:t>
                  </w:r>
                  <w:r>
                    <w:rPr>
                      <w:rFonts w:hint="eastAsia" w:ascii="宋体" w:hAnsi="宋体" w:eastAsia="宋体" w:cs="宋体"/>
                      <w:color w:val="000000"/>
                      <w:kern w:val="0"/>
                      <w:sz w:val="22"/>
                      <w:szCs w:val="22"/>
                    </w:rPr>
                    <w:t>支持IEEE 802.1X认证，支持单端口最大用户数限制</w:t>
                  </w:r>
                  <w:r>
                    <w:rPr>
                      <w:rFonts w:hint="eastAsia" w:ascii="宋体" w:hAnsi="宋体" w:eastAsia="宋体" w:cs="宋体"/>
                      <w:color w:val="000000"/>
                      <w:kern w:val="0"/>
                      <w:sz w:val="22"/>
                      <w:szCs w:val="22"/>
                      <w:lang w:eastAsia="zh-CN"/>
                    </w:rPr>
                    <w:t>。</w:t>
                  </w:r>
                </w:p>
                <w:p w14:paraId="790E25D1">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3.</w:t>
                  </w:r>
                  <w:r>
                    <w:rPr>
                      <w:rFonts w:hint="eastAsia" w:ascii="宋体" w:hAnsi="宋体" w:eastAsia="宋体" w:cs="宋体"/>
                      <w:color w:val="000000"/>
                      <w:kern w:val="0"/>
                      <w:sz w:val="22"/>
                      <w:szCs w:val="22"/>
                    </w:rPr>
                    <w:t>支持CPU保护功能</w:t>
                  </w:r>
                  <w:r>
                    <w:rPr>
                      <w:rFonts w:hint="eastAsia" w:ascii="宋体" w:hAnsi="宋体" w:eastAsia="宋体" w:cs="宋体"/>
                      <w:color w:val="000000"/>
                      <w:kern w:val="0"/>
                      <w:sz w:val="22"/>
                      <w:szCs w:val="22"/>
                      <w:lang w:eastAsia="zh-CN"/>
                    </w:rPr>
                    <w:t>。</w:t>
                  </w:r>
                </w:p>
                <w:p w14:paraId="1BD57435">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4.</w:t>
                  </w:r>
                  <w:r>
                    <w:rPr>
                      <w:rFonts w:hint="eastAsia" w:ascii="宋体" w:hAnsi="宋体" w:eastAsia="宋体" w:cs="宋体"/>
                      <w:color w:val="000000"/>
                      <w:kern w:val="0"/>
                      <w:sz w:val="22"/>
                      <w:szCs w:val="22"/>
                    </w:rPr>
                    <w:t>支持黑名单和白名单</w:t>
                  </w:r>
                  <w:r>
                    <w:rPr>
                      <w:rFonts w:hint="eastAsia" w:ascii="宋体" w:hAnsi="宋体" w:eastAsia="宋体" w:cs="宋体"/>
                      <w:color w:val="000000"/>
                      <w:kern w:val="0"/>
                      <w:sz w:val="22"/>
                      <w:szCs w:val="22"/>
                      <w:lang w:eastAsia="zh-CN"/>
                    </w:rPr>
                    <w:t>。</w:t>
                  </w:r>
                </w:p>
                <w:p w14:paraId="16700AE8">
                  <w:pPr>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5.</w:t>
                  </w:r>
                  <w:r>
                    <w:rPr>
                      <w:rFonts w:hint="eastAsia" w:ascii="宋体" w:hAnsi="宋体" w:eastAsia="宋体" w:cs="宋体"/>
                      <w:color w:val="000000"/>
                      <w:kern w:val="0"/>
                      <w:sz w:val="22"/>
                      <w:szCs w:val="22"/>
                    </w:rPr>
                    <w:t>支持dotlX、MAC认证和 Portal 认证</w:t>
                  </w:r>
                  <w:r>
                    <w:rPr>
                      <w:rFonts w:hint="eastAsia" w:ascii="宋体" w:hAnsi="宋体" w:eastAsia="宋体" w:cs="宋体"/>
                      <w:color w:val="000000"/>
                      <w:kern w:val="0"/>
                      <w:sz w:val="22"/>
                      <w:szCs w:val="22"/>
                      <w:lang w:eastAsia="zh-CN"/>
                    </w:rPr>
                    <w:t>。</w:t>
                  </w:r>
                </w:p>
              </w:tc>
            </w:tr>
          </w:tbl>
          <w:p w14:paraId="3D1B455A">
            <w:pPr>
              <w:pageBreakBefore w:val="0"/>
              <w:widowControl w:val="0"/>
              <w:numPr>
                <w:ilvl w:val="0"/>
                <w:numId w:val="0"/>
              </w:numPr>
              <w:kinsoku/>
              <w:wordWrap/>
              <w:overflowPunct/>
              <w:topLinePunct w:val="0"/>
              <w:autoSpaceDE/>
              <w:autoSpaceDN/>
              <w:bidi w:val="0"/>
              <w:adjustRightInd/>
              <w:spacing w:beforeAutospacing="0" w:afterAutospacing="0" w:line="360" w:lineRule="auto"/>
              <w:ind w:left="420" w:leftChars="199" w:hanging="2" w:hangingChars="1"/>
              <w:textAlignment w:val="auto"/>
              <w:rPr>
                <w:rFonts w:hint="eastAsia" w:ascii="宋体" w:hAnsi="宋体" w:eastAsia="宋体" w:cs="宋体"/>
                <w:b/>
                <w:bCs/>
                <w:color w:val="auto"/>
                <w:sz w:val="22"/>
                <w:szCs w:val="22"/>
                <w:highlight w:val="none"/>
                <w:shd w:val="clear" w:color="FFFFFF" w:fill="D9D9D9"/>
                <w:lang w:bidi="ar"/>
              </w:rPr>
            </w:pPr>
          </w:p>
        </w:tc>
        <w:tc>
          <w:tcPr>
            <w:tcW w:w="1208" w:type="dxa"/>
          </w:tcPr>
          <w:p w14:paraId="607CAEDF">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64ECDFFF">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57B43AD5">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3AA3819C">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3F8D03D2">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63574B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0" w:type="dxa"/>
            <w:vAlign w:val="center"/>
          </w:tcPr>
          <w:p w14:paraId="53D4C8F7">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26</w:t>
            </w:r>
          </w:p>
        </w:tc>
        <w:tc>
          <w:tcPr>
            <w:tcW w:w="660" w:type="dxa"/>
          </w:tcPr>
          <w:p w14:paraId="64DB17E6">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3DF7CB23">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03ED948A">
            <w:pPr>
              <w:pStyle w:val="4"/>
              <w:pageBreakBefore w:val="0"/>
              <w:numPr>
                <w:ilvl w:val="1"/>
                <w:numId w:val="0"/>
              </w:numPr>
              <w:shd w:val="clear"/>
              <w:kinsoku/>
              <w:wordWrap/>
              <w:overflowPunct/>
              <w:topLinePunct w:val="0"/>
              <w:autoSpaceDE/>
              <w:autoSpaceDN/>
              <w:bidi w:val="0"/>
              <w:adjustRightInd/>
              <w:snapToGrid/>
              <w:spacing w:before="0" w:line="360" w:lineRule="auto"/>
              <w:ind w:left="0" w:leftChars="0" w:firstLine="0" w:firstLineChars="0"/>
              <w:textAlignment w:val="auto"/>
              <w:rPr>
                <w:rFonts w:hint="eastAsia" w:ascii="宋体" w:hAnsi="宋体" w:eastAsia="宋体" w:cs="宋体"/>
                <w:sz w:val="22"/>
                <w:szCs w:val="22"/>
              </w:rPr>
            </w:pPr>
            <w:bookmarkStart w:id="44" w:name="_Toc173501817"/>
            <w:bookmarkStart w:id="45" w:name="_Toc132982756"/>
            <w:bookmarkStart w:id="46" w:name="_Toc130916523"/>
            <w:r>
              <w:rPr>
                <w:rFonts w:hint="eastAsia" w:ascii="宋体" w:hAnsi="宋体" w:eastAsia="宋体" w:cs="宋体"/>
                <w:b/>
                <w:bCs/>
                <w:kern w:val="2"/>
                <w:sz w:val="22"/>
                <w:szCs w:val="22"/>
                <w:lang w:val="en-US" w:eastAsia="zh-CN" w:bidi="ar-SA"/>
              </w:rPr>
              <w:t>（十二）</w:t>
            </w:r>
            <w:r>
              <w:rPr>
                <w:rFonts w:hint="eastAsia" w:ascii="宋体" w:hAnsi="宋体" w:eastAsia="宋体" w:cs="宋体"/>
                <w:b/>
                <w:bCs w:val="0"/>
                <w:sz w:val="22"/>
                <w:szCs w:val="22"/>
              </w:rPr>
              <w:t>存储阵列</w:t>
            </w:r>
            <w:bookmarkEnd w:id="44"/>
          </w:p>
          <w:bookmarkEnd w:id="45"/>
          <w:bookmarkEnd w:id="46"/>
          <w:tbl>
            <w:tblPr>
              <w:tblStyle w:val="18"/>
              <w:tblW w:w="481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051"/>
              <w:gridCol w:w="5655"/>
            </w:tblGrid>
            <w:tr w14:paraId="739137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blHeader/>
                <w:jc w:val="center"/>
              </w:trPr>
              <w:tc>
                <w:tcPr>
                  <w:tcW w:w="1330" w:type="pct"/>
                  <w:tcBorders>
                    <w:top w:val="single" w:color="auto" w:sz="4" w:space="0"/>
                    <w:left w:val="single" w:color="auto" w:sz="4" w:space="0"/>
                    <w:bottom w:val="single" w:color="auto" w:sz="4" w:space="0"/>
                    <w:right w:val="single" w:color="auto" w:sz="4" w:space="0"/>
                  </w:tcBorders>
                  <w:shd w:val="clear" w:color="auto" w:fill="auto"/>
                </w:tcPr>
                <w:p w14:paraId="08D1A868">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项目</w:t>
                  </w:r>
                </w:p>
              </w:tc>
              <w:tc>
                <w:tcPr>
                  <w:tcW w:w="3669" w:type="pct"/>
                  <w:tcBorders>
                    <w:top w:val="single" w:color="auto" w:sz="4" w:space="0"/>
                    <w:left w:val="single" w:color="auto" w:sz="4" w:space="0"/>
                    <w:bottom w:val="single" w:color="auto" w:sz="4" w:space="0"/>
                    <w:right w:val="single" w:color="auto" w:sz="4" w:space="0"/>
                  </w:tcBorders>
                  <w:shd w:val="clear" w:color="auto" w:fill="auto"/>
                </w:tcPr>
                <w:p w14:paraId="17C4345A">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参数描述</w:t>
                  </w:r>
                </w:p>
              </w:tc>
            </w:tr>
            <w:tr w14:paraId="1E7C36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53262ABF">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视频+图片</w:t>
                  </w:r>
                </w:p>
                <w:p w14:paraId="54BB5A6A">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（2M码流+重构）</w:t>
                  </w:r>
                </w:p>
              </w:tc>
              <w:tc>
                <w:tcPr>
                  <w:tcW w:w="3669" w:type="pct"/>
                  <w:tcBorders>
                    <w:top w:val="single" w:color="auto" w:sz="4" w:space="0"/>
                    <w:left w:val="single" w:color="auto" w:sz="4" w:space="0"/>
                    <w:bottom w:val="single" w:color="auto" w:sz="4" w:space="0"/>
                    <w:right w:val="single" w:color="auto" w:sz="4" w:space="0"/>
                  </w:tcBorders>
                  <w:shd w:val="clear" w:color="auto" w:fill="auto"/>
                  <w:vAlign w:val="center"/>
                </w:tcPr>
                <w:p w14:paraId="43D44584">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≥1024路</w:t>
                  </w:r>
                  <w:r>
                    <w:rPr>
                      <w:rFonts w:hint="eastAsia" w:ascii="宋体" w:hAnsi="宋体" w:eastAsia="宋体" w:cs="宋体"/>
                      <w:color w:val="000000"/>
                      <w:kern w:val="0"/>
                      <w:sz w:val="22"/>
                      <w:szCs w:val="22"/>
                      <w:lang w:eastAsia="zh-CN"/>
                    </w:rPr>
                    <w:t>。</w:t>
                  </w:r>
                </w:p>
              </w:tc>
            </w:tr>
            <w:tr w14:paraId="68A77C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18D48A61">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处理器</w:t>
                  </w:r>
                </w:p>
              </w:tc>
              <w:tc>
                <w:tcPr>
                  <w:tcW w:w="3669" w:type="pct"/>
                  <w:tcBorders>
                    <w:top w:val="single" w:color="auto" w:sz="4" w:space="0"/>
                    <w:left w:val="single" w:color="auto" w:sz="4" w:space="0"/>
                    <w:bottom w:val="single" w:color="auto" w:sz="4" w:space="0"/>
                    <w:right w:val="single" w:color="auto" w:sz="4" w:space="0"/>
                  </w:tcBorders>
                  <w:shd w:val="clear" w:color="auto" w:fill="auto"/>
                  <w:vAlign w:val="center"/>
                </w:tcPr>
                <w:p w14:paraId="227DFAE3">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≥2个64位多核处理器</w:t>
                  </w:r>
                  <w:r>
                    <w:rPr>
                      <w:rFonts w:hint="eastAsia" w:ascii="宋体" w:hAnsi="宋体" w:eastAsia="宋体" w:cs="宋体"/>
                      <w:color w:val="000000"/>
                      <w:kern w:val="0"/>
                      <w:sz w:val="22"/>
                      <w:szCs w:val="22"/>
                      <w:lang w:eastAsia="zh-CN"/>
                    </w:rPr>
                    <w:t>。</w:t>
                  </w:r>
                </w:p>
              </w:tc>
            </w:tr>
            <w:tr w14:paraId="6D421A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4DD47B74">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高速缓存</w:t>
                  </w:r>
                </w:p>
              </w:tc>
              <w:tc>
                <w:tcPr>
                  <w:tcW w:w="3669" w:type="pct"/>
                  <w:tcBorders>
                    <w:top w:val="single" w:color="auto" w:sz="4" w:space="0"/>
                    <w:left w:val="single" w:color="auto" w:sz="4" w:space="0"/>
                    <w:bottom w:val="single" w:color="auto" w:sz="4" w:space="0"/>
                    <w:right w:val="single" w:color="auto" w:sz="4" w:space="0"/>
                  </w:tcBorders>
                  <w:shd w:val="clear" w:color="auto" w:fill="auto"/>
                  <w:vAlign w:val="center"/>
                </w:tcPr>
                <w:p w14:paraId="355EDF3C">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≥16G</w:t>
                  </w:r>
                  <w:r>
                    <w:rPr>
                      <w:rFonts w:hint="eastAsia" w:ascii="宋体" w:hAnsi="宋体" w:eastAsia="宋体" w:cs="宋体"/>
                      <w:color w:val="000000"/>
                      <w:kern w:val="0"/>
                      <w:sz w:val="22"/>
                      <w:szCs w:val="22"/>
                      <w:lang w:eastAsia="zh-CN"/>
                    </w:rPr>
                    <w:t>。</w:t>
                  </w:r>
                </w:p>
              </w:tc>
            </w:tr>
            <w:tr w14:paraId="75A265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58954579">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磁盘数量</w:t>
                  </w:r>
                </w:p>
              </w:tc>
              <w:tc>
                <w:tcPr>
                  <w:tcW w:w="3669" w:type="pct"/>
                  <w:tcBorders>
                    <w:top w:val="single" w:color="auto" w:sz="4" w:space="0"/>
                    <w:left w:val="single" w:color="auto" w:sz="4" w:space="0"/>
                    <w:bottom w:val="single" w:color="auto" w:sz="4" w:space="0"/>
                    <w:right w:val="single" w:color="auto" w:sz="4" w:space="0"/>
                  </w:tcBorders>
                  <w:shd w:val="clear" w:color="auto" w:fill="auto"/>
                  <w:vAlign w:val="center"/>
                </w:tcPr>
                <w:p w14:paraId="4FB85D6B">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≥36</w:t>
                  </w:r>
                  <w:r>
                    <w:rPr>
                      <w:rFonts w:hint="eastAsia" w:ascii="宋体" w:hAnsi="宋体" w:eastAsia="宋体" w:cs="宋体"/>
                      <w:color w:val="000000"/>
                      <w:kern w:val="0"/>
                      <w:sz w:val="22"/>
                      <w:szCs w:val="22"/>
                      <w:lang w:eastAsia="zh-CN"/>
                    </w:rPr>
                    <w:t>。</w:t>
                  </w:r>
                </w:p>
              </w:tc>
            </w:tr>
            <w:tr w14:paraId="75B84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19AC82BE">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磁盘接口</w:t>
                  </w:r>
                </w:p>
              </w:tc>
              <w:tc>
                <w:tcPr>
                  <w:tcW w:w="3669" w:type="pct"/>
                  <w:tcBorders>
                    <w:top w:val="single" w:color="auto" w:sz="4" w:space="0"/>
                    <w:left w:val="single" w:color="auto" w:sz="4" w:space="0"/>
                    <w:bottom w:val="single" w:color="auto" w:sz="4" w:space="0"/>
                    <w:right w:val="single" w:color="auto" w:sz="4" w:space="0"/>
                  </w:tcBorders>
                  <w:shd w:val="clear" w:color="auto" w:fill="auto"/>
                  <w:vAlign w:val="center"/>
                </w:tcPr>
                <w:p w14:paraId="293E14B0">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SATA</w:t>
                  </w:r>
                  <w:r>
                    <w:rPr>
                      <w:rFonts w:hint="eastAsia" w:ascii="宋体" w:hAnsi="宋体" w:eastAsia="宋体" w:cs="宋体"/>
                      <w:color w:val="000000"/>
                      <w:kern w:val="0"/>
                      <w:sz w:val="22"/>
                      <w:szCs w:val="22"/>
                      <w:lang w:eastAsia="zh-CN"/>
                    </w:rPr>
                    <w:t>。</w:t>
                  </w:r>
                </w:p>
              </w:tc>
            </w:tr>
            <w:tr w14:paraId="347871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0" w:type="pct"/>
                  <w:tcBorders>
                    <w:top w:val="single" w:color="auto" w:sz="4" w:space="0"/>
                    <w:left w:val="single" w:color="auto" w:sz="4" w:space="0"/>
                    <w:bottom w:val="single" w:color="auto" w:sz="4" w:space="0"/>
                  </w:tcBorders>
                  <w:shd w:val="clear" w:color="auto" w:fill="auto"/>
                  <w:vAlign w:val="center"/>
                </w:tcPr>
                <w:p w14:paraId="5D91A14E">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磁盘容量</w:t>
                  </w:r>
                </w:p>
              </w:tc>
              <w:tc>
                <w:tcPr>
                  <w:tcW w:w="3669" w:type="pct"/>
                  <w:tcBorders>
                    <w:top w:val="single" w:color="auto" w:sz="4" w:space="0"/>
                    <w:bottom w:val="single" w:color="auto" w:sz="4" w:space="0"/>
                    <w:right w:val="single" w:color="auto" w:sz="4" w:space="0"/>
                  </w:tcBorders>
                  <w:shd w:val="clear" w:color="auto" w:fill="auto"/>
                  <w:vAlign w:val="center"/>
                </w:tcPr>
                <w:p w14:paraId="581F6EF0">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6T/8T/10/16/20T</w:t>
                  </w:r>
                  <w:r>
                    <w:rPr>
                      <w:rFonts w:hint="eastAsia" w:ascii="宋体" w:hAnsi="宋体" w:eastAsia="宋体" w:cs="宋体"/>
                      <w:color w:val="000000"/>
                      <w:kern w:val="0"/>
                      <w:sz w:val="22"/>
                      <w:szCs w:val="22"/>
                      <w:lang w:eastAsia="zh-CN"/>
                    </w:rPr>
                    <w:t>。</w:t>
                  </w:r>
                </w:p>
              </w:tc>
            </w:tr>
            <w:tr w14:paraId="16E7EA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0" w:type="pct"/>
                  <w:tcBorders>
                    <w:top w:val="single" w:color="auto" w:sz="4" w:space="0"/>
                    <w:bottom w:val="single" w:color="auto" w:sz="4" w:space="0"/>
                    <w:right w:val="single" w:color="auto" w:sz="4" w:space="0"/>
                  </w:tcBorders>
                  <w:shd w:val="clear" w:color="auto" w:fill="auto"/>
                  <w:vAlign w:val="center"/>
                </w:tcPr>
                <w:p w14:paraId="2B206A0E">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磁盘管理</w:t>
                  </w:r>
                </w:p>
              </w:tc>
              <w:tc>
                <w:tcPr>
                  <w:tcW w:w="3669" w:type="pct"/>
                  <w:tcBorders>
                    <w:top w:val="single" w:color="auto" w:sz="4" w:space="0"/>
                    <w:left w:val="single" w:color="auto" w:sz="4" w:space="0"/>
                    <w:bottom w:val="single" w:color="auto" w:sz="4" w:space="0"/>
                    <w:right w:val="single" w:color="auto" w:sz="4" w:space="0"/>
                  </w:tcBorders>
                  <w:shd w:val="clear" w:color="auto" w:fill="auto"/>
                  <w:vAlign w:val="center"/>
                </w:tcPr>
                <w:p w14:paraId="65A55AE6">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磁盘检测预警及修复</w:t>
                  </w:r>
                  <w:r>
                    <w:rPr>
                      <w:rFonts w:hint="eastAsia" w:ascii="宋体" w:hAnsi="宋体" w:eastAsia="宋体" w:cs="宋体"/>
                      <w:color w:val="000000"/>
                      <w:kern w:val="0"/>
                      <w:sz w:val="22"/>
                      <w:szCs w:val="22"/>
                      <w:lang w:eastAsia="zh-CN"/>
                    </w:rPr>
                    <w:t>。</w:t>
                  </w:r>
                </w:p>
              </w:tc>
            </w:tr>
            <w:tr w14:paraId="03C773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0" w:type="pct"/>
                  <w:tcBorders>
                    <w:top w:val="single" w:color="auto" w:sz="4" w:space="0"/>
                    <w:bottom w:val="single" w:color="auto" w:sz="4" w:space="0"/>
                    <w:right w:val="single" w:color="auto" w:sz="4" w:space="0"/>
                  </w:tcBorders>
                  <w:shd w:val="clear" w:color="auto" w:fill="auto"/>
                  <w:vAlign w:val="center"/>
                </w:tcPr>
                <w:p w14:paraId="285E6588">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录像方式</w:t>
                  </w:r>
                </w:p>
              </w:tc>
              <w:tc>
                <w:tcPr>
                  <w:tcW w:w="3669" w:type="pct"/>
                  <w:tcBorders>
                    <w:top w:val="single" w:color="auto" w:sz="4" w:space="0"/>
                    <w:left w:val="single" w:color="auto" w:sz="4" w:space="0"/>
                    <w:bottom w:val="single" w:color="auto" w:sz="4" w:space="0"/>
                    <w:right w:val="single" w:color="auto" w:sz="4" w:space="0"/>
                  </w:tcBorders>
                  <w:shd w:val="clear" w:color="auto" w:fill="auto"/>
                  <w:vAlign w:val="center"/>
                </w:tcPr>
                <w:p w14:paraId="3D19F97A">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支持</w:t>
                  </w:r>
                  <w:r>
                    <w:rPr>
                      <w:rFonts w:hint="eastAsia" w:ascii="宋体" w:hAnsi="宋体" w:eastAsia="宋体" w:cs="宋体"/>
                      <w:color w:val="000000"/>
                      <w:kern w:val="0"/>
                      <w:sz w:val="22"/>
                      <w:szCs w:val="22"/>
                    </w:rPr>
                    <w:t>智能录像模式</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全功能录像模式</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全功能模式</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默认</w:t>
                  </w:r>
                  <w:r>
                    <w:rPr>
                      <w:rFonts w:hint="eastAsia" w:ascii="宋体" w:hAnsi="宋体" w:eastAsia="宋体" w:cs="宋体"/>
                      <w:color w:val="000000"/>
                      <w:kern w:val="0"/>
                      <w:sz w:val="22"/>
                      <w:szCs w:val="22"/>
                      <w:lang w:eastAsia="zh-CN"/>
                    </w:rPr>
                    <w:t>）。</w:t>
                  </w:r>
                </w:p>
              </w:tc>
            </w:tr>
            <w:tr w14:paraId="370AEC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4CEFDDC0">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录像保护</w:t>
                  </w:r>
                </w:p>
              </w:tc>
              <w:tc>
                <w:tcPr>
                  <w:tcW w:w="3669" w:type="pct"/>
                  <w:tcBorders>
                    <w:top w:val="single" w:color="auto" w:sz="4" w:space="0"/>
                    <w:left w:val="single" w:color="auto" w:sz="4" w:space="0"/>
                    <w:bottom w:val="single" w:color="auto" w:sz="4" w:space="0"/>
                    <w:right w:val="single" w:color="auto" w:sz="4" w:space="0"/>
                  </w:tcBorders>
                  <w:shd w:val="clear" w:color="auto" w:fill="auto"/>
                  <w:vAlign w:val="center"/>
                </w:tcPr>
                <w:p w14:paraId="45658A44">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业务保护</w:t>
                  </w:r>
                  <w:r>
                    <w:rPr>
                      <w:rFonts w:hint="eastAsia" w:ascii="宋体" w:hAnsi="宋体" w:eastAsia="宋体" w:cs="宋体"/>
                      <w:color w:val="000000"/>
                      <w:kern w:val="0"/>
                      <w:sz w:val="22"/>
                      <w:szCs w:val="22"/>
                      <w:lang w:eastAsia="zh-CN"/>
                    </w:rPr>
                    <w:t>。</w:t>
                  </w:r>
                </w:p>
              </w:tc>
            </w:tr>
            <w:tr w14:paraId="5EF07C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33A8B6BD">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查询、下载</w:t>
                  </w:r>
                </w:p>
              </w:tc>
              <w:tc>
                <w:tcPr>
                  <w:tcW w:w="3669" w:type="pct"/>
                  <w:tcBorders>
                    <w:top w:val="single" w:color="auto" w:sz="4" w:space="0"/>
                    <w:left w:val="single" w:color="auto" w:sz="4" w:space="0"/>
                    <w:bottom w:val="single" w:color="auto" w:sz="4" w:space="0"/>
                    <w:right w:val="single" w:color="auto" w:sz="4" w:space="0"/>
                  </w:tcBorders>
                  <w:shd w:val="clear" w:color="auto" w:fill="auto"/>
                  <w:vAlign w:val="center"/>
                </w:tcPr>
                <w:p w14:paraId="59C54F80">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直接登录存储系统，实现视频浏览、回放和下载；</w:t>
                  </w:r>
                  <w:r>
                    <w:rPr>
                      <w:rFonts w:hint="eastAsia" w:ascii="宋体" w:hAnsi="宋体" w:eastAsia="宋体" w:cs="宋体"/>
                      <w:color w:val="000000"/>
                      <w:kern w:val="0"/>
                      <w:sz w:val="22"/>
                      <w:szCs w:val="22"/>
                      <w:lang w:val="en-US" w:eastAsia="zh-CN"/>
                    </w:rPr>
                    <w:t>可</w:t>
                  </w:r>
                  <w:r>
                    <w:rPr>
                      <w:rFonts w:hint="eastAsia" w:ascii="宋体" w:hAnsi="宋体" w:eastAsia="宋体" w:cs="宋体"/>
                      <w:color w:val="000000"/>
                      <w:kern w:val="0"/>
                      <w:sz w:val="22"/>
                      <w:szCs w:val="22"/>
                    </w:rPr>
                    <w:t>按时间</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事件类型查询；</w:t>
                  </w:r>
                  <w:r>
                    <w:rPr>
                      <w:rFonts w:hint="eastAsia" w:ascii="宋体" w:hAnsi="宋体" w:eastAsia="宋体" w:cs="宋体"/>
                      <w:color w:val="000000"/>
                      <w:kern w:val="0"/>
                      <w:sz w:val="22"/>
                      <w:szCs w:val="22"/>
                      <w:lang w:val="en-US" w:eastAsia="zh-CN"/>
                    </w:rPr>
                    <w:t>可</w:t>
                  </w:r>
                  <w:r>
                    <w:rPr>
                      <w:rFonts w:hint="eastAsia" w:ascii="宋体" w:hAnsi="宋体" w:eastAsia="宋体" w:cs="宋体"/>
                      <w:color w:val="000000"/>
                      <w:kern w:val="0"/>
                      <w:sz w:val="22"/>
                      <w:szCs w:val="22"/>
                    </w:rPr>
                    <w:t>按智能信息查询</w:t>
                  </w:r>
                  <w:r>
                    <w:rPr>
                      <w:rFonts w:hint="eastAsia" w:ascii="宋体" w:hAnsi="宋体" w:eastAsia="宋体" w:cs="宋体"/>
                      <w:color w:val="000000"/>
                      <w:kern w:val="0"/>
                      <w:sz w:val="22"/>
                      <w:szCs w:val="22"/>
                      <w:lang w:eastAsia="zh-CN"/>
                    </w:rPr>
                    <w:t>。</w:t>
                  </w:r>
                </w:p>
              </w:tc>
            </w:tr>
            <w:tr w14:paraId="026CE6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5A1F8F49">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报警方式</w:t>
                  </w:r>
                </w:p>
              </w:tc>
              <w:tc>
                <w:tcPr>
                  <w:tcW w:w="3669" w:type="pct"/>
                  <w:tcBorders>
                    <w:top w:val="single" w:color="auto" w:sz="4" w:space="0"/>
                    <w:left w:val="single" w:color="auto" w:sz="4" w:space="0"/>
                    <w:bottom w:val="single" w:color="auto" w:sz="4" w:space="0"/>
                    <w:right w:val="single" w:color="auto" w:sz="4" w:space="0"/>
                  </w:tcBorders>
                  <w:shd w:val="clear" w:color="auto" w:fill="auto"/>
                  <w:vAlign w:val="center"/>
                </w:tcPr>
                <w:p w14:paraId="37719737">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声</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光</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页面</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保养灯</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运维客户端</w:t>
                  </w:r>
                  <w:r>
                    <w:rPr>
                      <w:rFonts w:hint="eastAsia" w:ascii="宋体" w:hAnsi="宋体" w:eastAsia="宋体" w:cs="宋体"/>
                      <w:color w:val="000000"/>
                      <w:kern w:val="0"/>
                      <w:sz w:val="22"/>
                      <w:szCs w:val="22"/>
                      <w:lang w:eastAsia="zh-CN"/>
                    </w:rPr>
                    <w:t>。</w:t>
                  </w:r>
                </w:p>
              </w:tc>
            </w:tr>
            <w:tr w14:paraId="47EBE4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086E235A">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网络协议</w:t>
                  </w:r>
                </w:p>
              </w:tc>
              <w:tc>
                <w:tcPr>
                  <w:tcW w:w="3669" w:type="pct"/>
                  <w:tcBorders>
                    <w:top w:val="single" w:color="auto" w:sz="4" w:space="0"/>
                    <w:left w:val="single" w:color="auto" w:sz="4" w:space="0"/>
                    <w:bottom w:val="single" w:color="auto" w:sz="4" w:space="0"/>
                    <w:right w:val="single" w:color="auto" w:sz="4" w:space="0"/>
                  </w:tcBorders>
                  <w:shd w:val="clear" w:color="auto" w:fill="auto"/>
                  <w:vAlign w:val="center"/>
                </w:tcPr>
                <w:p w14:paraId="0E839F4D">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RTSP；ONVIF；PSIA；HKSDK；ISAPI；GB/T 28181</w:t>
                  </w:r>
                  <w:r>
                    <w:rPr>
                      <w:rFonts w:hint="eastAsia" w:ascii="宋体" w:hAnsi="宋体" w:eastAsia="宋体" w:cs="宋体"/>
                      <w:color w:val="000000"/>
                      <w:kern w:val="0"/>
                      <w:sz w:val="22"/>
                      <w:szCs w:val="22"/>
                      <w:lang w:eastAsia="zh-CN"/>
                    </w:rPr>
                    <w:t>。</w:t>
                  </w:r>
                </w:p>
              </w:tc>
            </w:tr>
            <w:tr w14:paraId="05EC26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1C8CC117">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数据接口</w:t>
                  </w:r>
                </w:p>
              </w:tc>
              <w:tc>
                <w:tcPr>
                  <w:tcW w:w="3669" w:type="pct"/>
                  <w:tcBorders>
                    <w:top w:val="single" w:color="auto" w:sz="4" w:space="0"/>
                    <w:left w:val="single" w:color="auto" w:sz="4" w:space="0"/>
                    <w:bottom w:val="single" w:color="auto" w:sz="4" w:space="0"/>
                    <w:right w:val="single" w:color="auto" w:sz="4" w:space="0"/>
                  </w:tcBorders>
                  <w:shd w:val="clear" w:color="auto" w:fill="auto"/>
                  <w:vAlign w:val="center"/>
                </w:tcPr>
                <w:p w14:paraId="718DA335">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w:t>
                  </w:r>
                  <w:r>
                    <w:rPr>
                      <w:rFonts w:hint="eastAsia" w:ascii="宋体" w:hAnsi="宋体" w:eastAsia="宋体" w:cs="宋体"/>
                      <w:color w:val="000000"/>
                      <w:kern w:val="0"/>
                      <w:sz w:val="22"/>
                      <w:szCs w:val="22"/>
                    </w:rPr>
                    <w:t>4千兆以太网口</w:t>
                  </w:r>
                  <w:r>
                    <w:rPr>
                      <w:rFonts w:hint="eastAsia" w:ascii="宋体" w:hAnsi="宋体" w:eastAsia="宋体" w:cs="宋体"/>
                      <w:color w:val="000000"/>
                      <w:kern w:val="0"/>
                      <w:sz w:val="22"/>
                      <w:szCs w:val="22"/>
                      <w:lang w:eastAsia="zh-CN"/>
                    </w:rPr>
                    <w:t>。</w:t>
                  </w:r>
                </w:p>
              </w:tc>
            </w:tr>
            <w:tr w14:paraId="6E81EE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156B6CBD">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管理接口</w:t>
                  </w:r>
                </w:p>
              </w:tc>
              <w:tc>
                <w:tcPr>
                  <w:tcW w:w="3669" w:type="pct"/>
                  <w:tcBorders>
                    <w:top w:val="single" w:color="auto" w:sz="4" w:space="0"/>
                    <w:left w:val="single" w:color="auto" w:sz="4" w:space="0"/>
                    <w:bottom w:val="single" w:color="auto" w:sz="4" w:space="0"/>
                    <w:right w:val="single" w:color="auto" w:sz="4" w:space="0"/>
                  </w:tcBorders>
                  <w:shd w:val="clear" w:color="auto" w:fill="auto"/>
                  <w:vAlign w:val="center"/>
                </w:tcPr>
                <w:p w14:paraId="6DAF0E18">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w:t>
                  </w:r>
                  <w:r>
                    <w:rPr>
                      <w:rFonts w:hint="eastAsia" w:ascii="宋体" w:hAnsi="宋体" w:eastAsia="宋体" w:cs="宋体"/>
                      <w:color w:val="000000"/>
                      <w:kern w:val="0"/>
                      <w:sz w:val="22"/>
                      <w:szCs w:val="22"/>
                    </w:rPr>
                    <w:t>1个千兆管理口</w:t>
                  </w:r>
                  <w:r>
                    <w:rPr>
                      <w:rFonts w:hint="eastAsia" w:ascii="宋体" w:hAnsi="宋体" w:eastAsia="宋体" w:cs="宋体"/>
                      <w:color w:val="000000"/>
                      <w:kern w:val="0"/>
                      <w:sz w:val="22"/>
                      <w:szCs w:val="22"/>
                      <w:lang w:eastAsia="zh-CN"/>
                    </w:rPr>
                    <w:t>。</w:t>
                  </w:r>
                </w:p>
              </w:tc>
            </w:tr>
            <w:tr w14:paraId="5B0AD3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4A43144F">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USB接口</w:t>
                  </w:r>
                </w:p>
              </w:tc>
              <w:tc>
                <w:tcPr>
                  <w:tcW w:w="3669" w:type="pct"/>
                  <w:tcBorders>
                    <w:top w:val="single" w:color="auto" w:sz="4" w:space="0"/>
                    <w:left w:val="single" w:color="auto" w:sz="4" w:space="0"/>
                    <w:bottom w:val="single" w:color="auto" w:sz="4" w:space="0"/>
                    <w:right w:val="single" w:color="auto" w:sz="4" w:space="0"/>
                  </w:tcBorders>
                  <w:shd w:val="clear" w:color="auto" w:fill="auto"/>
                  <w:vAlign w:val="center"/>
                </w:tcPr>
                <w:p w14:paraId="44D0B8F8">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w:t>
                  </w:r>
                  <w:r>
                    <w:rPr>
                      <w:rFonts w:hint="eastAsia" w:ascii="宋体" w:hAnsi="宋体" w:eastAsia="宋体" w:cs="宋体"/>
                      <w:color w:val="000000"/>
                      <w:kern w:val="0"/>
                      <w:sz w:val="22"/>
                      <w:szCs w:val="22"/>
                    </w:rPr>
                    <w:t>2个USB接口</w:t>
                  </w:r>
                  <w:r>
                    <w:rPr>
                      <w:rFonts w:hint="eastAsia" w:ascii="宋体" w:hAnsi="宋体" w:eastAsia="宋体" w:cs="宋体"/>
                      <w:color w:val="000000"/>
                      <w:kern w:val="0"/>
                      <w:sz w:val="22"/>
                      <w:szCs w:val="22"/>
                      <w:lang w:eastAsia="zh-CN"/>
                    </w:rPr>
                    <w:t>。</w:t>
                  </w:r>
                </w:p>
              </w:tc>
            </w:tr>
            <w:tr w14:paraId="5AAC1F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094DD8FE">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VGA接口</w:t>
                  </w:r>
                </w:p>
              </w:tc>
              <w:tc>
                <w:tcPr>
                  <w:tcW w:w="3669" w:type="pct"/>
                  <w:tcBorders>
                    <w:top w:val="single" w:color="auto" w:sz="4" w:space="0"/>
                    <w:left w:val="single" w:color="auto" w:sz="4" w:space="0"/>
                    <w:bottom w:val="single" w:color="auto" w:sz="4" w:space="0"/>
                    <w:right w:val="single" w:color="auto" w:sz="4" w:space="0"/>
                  </w:tcBorders>
                  <w:shd w:val="clear" w:color="auto" w:fill="auto"/>
                  <w:vAlign w:val="center"/>
                </w:tcPr>
                <w:p w14:paraId="550CC0F4">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w:t>
                  </w:r>
                  <w:r>
                    <w:rPr>
                      <w:rFonts w:hint="eastAsia" w:ascii="宋体" w:hAnsi="宋体" w:eastAsia="宋体" w:cs="宋体"/>
                      <w:color w:val="000000"/>
                      <w:kern w:val="0"/>
                      <w:sz w:val="22"/>
                      <w:szCs w:val="22"/>
                    </w:rPr>
                    <w:t>1个</w:t>
                  </w:r>
                  <w:r>
                    <w:rPr>
                      <w:rFonts w:hint="eastAsia" w:ascii="宋体" w:hAnsi="宋体" w:eastAsia="宋体" w:cs="宋体"/>
                      <w:color w:val="000000"/>
                      <w:kern w:val="0"/>
                      <w:sz w:val="22"/>
                      <w:szCs w:val="22"/>
                      <w:lang w:eastAsia="zh-CN"/>
                    </w:rPr>
                    <w:t>。</w:t>
                  </w:r>
                </w:p>
              </w:tc>
            </w:tr>
            <w:tr w14:paraId="07963F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2AF15803">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电源（额定）</w:t>
                  </w:r>
                </w:p>
              </w:tc>
              <w:tc>
                <w:tcPr>
                  <w:tcW w:w="3669" w:type="pct"/>
                  <w:tcBorders>
                    <w:top w:val="single" w:color="auto" w:sz="4" w:space="0"/>
                    <w:left w:val="single" w:color="auto" w:sz="4" w:space="0"/>
                    <w:bottom w:val="single" w:color="auto" w:sz="4" w:space="0"/>
                    <w:right w:val="single" w:color="auto" w:sz="4" w:space="0"/>
                  </w:tcBorders>
                  <w:shd w:val="clear" w:color="auto" w:fill="auto"/>
                  <w:vAlign w:val="center"/>
                </w:tcPr>
                <w:p w14:paraId="613C1035">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1+1冗余电源，≤1200W</w:t>
                  </w:r>
                  <w:r>
                    <w:rPr>
                      <w:rFonts w:hint="eastAsia" w:ascii="宋体" w:hAnsi="宋体" w:eastAsia="宋体" w:cs="宋体"/>
                      <w:color w:val="000000"/>
                      <w:kern w:val="0"/>
                      <w:sz w:val="22"/>
                      <w:szCs w:val="22"/>
                      <w:lang w:eastAsia="zh-CN"/>
                    </w:rPr>
                    <w:t>。</w:t>
                  </w:r>
                </w:p>
              </w:tc>
            </w:tr>
            <w:tr w14:paraId="6FE0E9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4F4F57CB">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环境温度</w:t>
                  </w:r>
                </w:p>
              </w:tc>
              <w:tc>
                <w:tcPr>
                  <w:tcW w:w="3669" w:type="pct"/>
                  <w:tcBorders>
                    <w:top w:val="single" w:color="auto" w:sz="4" w:space="0"/>
                    <w:left w:val="single" w:color="auto" w:sz="4" w:space="0"/>
                    <w:bottom w:val="single" w:color="auto" w:sz="4" w:space="0"/>
                    <w:right w:val="single" w:color="auto" w:sz="4" w:space="0"/>
                  </w:tcBorders>
                  <w:shd w:val="clear" w:color="auto" w:fill="auto"/>
                  <w:vAlign w:val="center"/>
                </w:tcPr>
                <w:p w14:paraId="4E69E8D5">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工作：至少0℃～40℃，储藏：-20℃～70℃</w:t>
                  </w:r>
                  <w:r>
                    <w:rPr>
                      <w:rFonts w:hint="eastAsia" w:ascii="宋体" w:hAnsi="宋体" w:eastAsia="宋体" w:cs="宋体"/>
                      <w:color w:val="000000"/>
                      <w:kern w:val="0"/>
                      <w:sz w:val="22"/>
                      <w:szCs w:val="22"/>
                      <w:lang w:eastAsia="zh-CN"/>
                    </w:rPr>
                    <w:t>。</w:t>
                  </w:r>
                </w:p>
              </w:tc>
            </w:tr>
            <w:tr w14:paraId="16A952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439DB31D">
                  <w:pPr>
                    <w:pageBreakBefore w:val="0"/>
                    <w:widowControl/>
                    <w:shd w:val="clea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环境湿度</w:t>
                  </w:r>
                </w:p>
              </w:tc>
              <w:tc>
                <w:tcPr>
                  <w:tcW w:w="3669" w:type="pct"/>
                  <w:tcBorders>
                    <w:top w:val="single" w:color="auto" w:sz="4" w:space="0"/>
                    <w:left w:val="single" w:color="auto" w:sz="4" w:space="0"/>
                    <w:bottom w:val="single" w:color="auto" w:sz="4" w:space="0"/>
                    <w:right w:val="single" w:color="auto" w:sz="4" w:space="0"/>
                  </w:tcBorders>
                  <w:shd w:val="clear" w:color="auto" w:fill="auto"/>
                  <w:vAlign w:val="center"/>
                </w:tcPr>
                <w:p w14:paraId="300B3158">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 xml:space="preserve">工作：20%～80%RH（无结冰、无凝露） </w:t>
                  </w:r>
                  <w:r>
                    <w:rPr>
                      <w:rFonts w:hint="eastAsia" w:ascii="宋体" w:hAnsi="宋体" w:eastAsia="宋体" w:cs="宋体"/>
                      <w:color w:val="000000"/>
                      <w:kern w:val="0"/>
                      <w:sz w:val="22"/>
                      <w:szCs w:val="22"/>
                      <w:lang w:eastAsia="zh-CN"/>
                    </w:rPr>
                    <w:t>。</w:t>
                  </w:r>
                </w:p>
                <w:p w14:paraId="30A9CDC8">
                  <w:pPr>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储藏：5%～90%RH  （无结冰、无凝露）</w:t>
                  </w:r>
                  <w:r>
                    <w:rPr>
                      <w:rFonts w:hint="eastAsia" w:ascii="宋体" w:hAnsi="宋体" w:eastAsia="宋体" w:cs="宋体"/>
                      <w:color w:val="000000"/>
                      <w:kern w:val="0"/>
                      <w:sz w:val="22"/>
                      <w:szCs w:val="22"/>
                      <w:lang w:eastAsia="zh-CN"/>
                    </w:rPr>
                    <w:t>。</w:t>
                  </w:r>
                </w:p>
              </w:tc>
            </w:tr>
          </w:tbl>
          <w:p w14:paraId="762BE5CE">
            <w:pPr>
              <w:pageBreakBefore w:val="0"/>
              <w:widowControl w:val="0"/>
              <w:numPr>
                <w:ilvl w:val="0"/>
                <w:numId w:val="0"/>
              </w:numPr>
              <w:kinsoku/>
              <w:wordWrap/>
              <w:overflowPunct/>
              <w:topLinePunct w:val="0"/>
              <w:autoSpaceDE/>
              <w:autoSpaceDN/>
              <w:bidi w:val="0"/>
              <w:adjustRightInd/>
              <w:spacing w:beforeAutospacing="0" w:afterAutospacing="0" w:line="360" w:lineRule="auto"/>
              <w:ind w:left="420" w:leftChars="199" w:hanging="2" w:hangingChars="1"/>
              <w:textAlignment w:val="auto"/>
              <w:rPr>
                <w:rFonts w:hint="eastAsia" w:ascii="宋体" w:hAnsi="宋体" w:eastAsia="宋体" w:cs="宋体"/>
                <w:b/>
                <w:bCs/>
                <w:color w:val="auto"/>
                <w:sz w:val="22"/>
                <w:szCs w:val="22"/>
                <w:highlight w:val="none"/>
                <w:shd w:val="clear" w:color="FFFFFF" w:fill="D9D9D9"/>
                <w:lang w:bidi="ar"/>
              </w:rPr>
            </w:pPr>
          </w:p>
        </w:tc>
        <w:tc>
          <w:tcPr>
            <w:tcW w:w="1208" w:type="dxa"/>
          </w:tcPr>
          <w:p w14:paraId="19B4E941">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757D39C2">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1175E881">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7F397588">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275B4F19">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7B45E5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0" w:type="dxa"/>
            <w:vAlign w:val="center"/>
          </w:tcPr>
          <w:p w14:paraId="1E511526">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27</w:t>
            </w:r>
          </w:p>
        </w:tc>
        <w:tc>
          <w:tcPr>
            <w:tcW w:w="660" w:type="dxa"/>
          </w:tcPr>
          <w:p w14:paraId="0B5E121F">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099E645F">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1797CDDE">
            <w:pPr>
              <w:pStyle w:val="4"/>
              <w:pageBreakBefore w:val="0"/>
              <w:numPr>
                <w:ilvl w:val="1"/>
                <w:numId w:val="0"/>
              </w:numPr>
              <w:kinsoku/>
              <w:wordWrap/>
              <w:overflowPunct/>
              <w:topLinePunct w:val="0"/>
              <w:autoSpaceDE/>
              <w:autoSpaceDN/>
              <w:bidi w:val="0"/>
              <w:adjustRightInd/>
              <w:snapToGrid/>
              <w:spacing w:before="0" w:line="360" w:lineRule="auto"/>
              <w:ind w:left="0" w:leftChars="0" w:firstLine="0" w:firstLineChars="0"/>
              <w:textAlignment w:val="auto"/>
              <w:rPr>
                <w:rFonts w:hint="eastAsia" w:ascii="宋体" w:hAnsi="宋体" w:eastAsia="宋体" w:cs="宋体"/>
                <w:sz w:val="22"/>
                <w:szCs w:val="22"/>
              </w:rPr>
            </w:pPr>
            <w:bookmarkStart w:id="47" w:name="_Toc173501830"/>
            <w:r>
              <w:rPr>
                <w:rFonts w:hint="eastAsia" w:ascii="宋体" w:hAnsi="宋体" w:cs="宋体"/>
                <w:b/>
                <w:bCs/>
                <w:kern w:val="44"/>
                <w:sz w:val="22"/>
                <w:szCs w:val="22"/>
                <w:lang w:val="en-US" w:eastAsia="zh-CN" w:bidi="ar-SA"/>
              </w:rPr>
              <w:t>四</w:t>
            </w:r>
            <w:r>
              <w:rPr>
                <w:rFonts w:hint="eastAsia" w:ascii="宋体" w:hAnsi="宋体" w:eastAsia="宋体" w:cs="宋体"/>
                <w:b/>
                <w:bCs/>
                <w:kern w:val="44"/>
                <w:sz w:val="22"/>
                <w:szCs w:val="22"/>
                <w:lang w:val="en-US" w:eastAsia="zh-CN" w:bidi="ar-SA"/>
              </w:rPr>
              <w:t>、</w:t>
            </w:r>
            <w:bookmarkEnd w:id="47"/>
            <w:bookmarkStart w:id="48" w:name="_Toc173501841"/>
            <w:r>
              <w:rPr>
                <w:rFonts w:hint="eastAsia" w:ascii="宋体" w:hAnsi="宋体" w:eastAsia="宋体" w:cs="宋体"/>
                <w:b/>
                <w:bCs w:val="0"/>
                <w:sz w:val="22"/>
                <w:szCs w:val="22"/>
              </w:rPr>
              <w:t>培训方案</w:t>
            </w:r>
            <w:bookmarkEnd w:id="48"/>
          </w:p>
          <w:p w14:paraId="6DC4214B">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为了使</w:t>
            </w:r>
            <w:r>
              <w:rPr>
                <w:rFonts w:hint="eastAsia" w:ascii="宋体" w:hAnsi="宋体" w:eastAsia="宋体" w:cs="宋体"/>
                <w:sz w:val="22"/>
                <w:szCs w:val="22"/>
                <w:lang w:val="en-US" w:eastAsia="zh-CN"/>
              </w:rPr>
              <w:t>采购人</w:t>
            </w:r>
            <w:r>
              <w:rPr>
                <w:rFonts w:hint="eastAsia" w:ascii="宋体" w:hAnsi="宋体" w:eastAsia="宋体" w:cs="宋体"/>
                <w:sz w:val="22"/>
                <w:szCs w:val="22"/>
              </w:rPr>
              <w:t>技术人员能熟练掌握各种产品的操作和维护系统正常</w:t>
            </w:r>
            <w:r>
              <w:rPr>
                <w:rFonts w:hint="eastAsia" w:ascii="宋体" w:hAnsi="宋体" w:eastAsia="宋体" w:cs="宋体"/>
                <w:sz w:val="22"/>
                <w:szCs w:val="22"/>
                <w:lang w:eastAsia="zh-CN"/>
              </w:rPr>
              <w:t>地</w:t>
            </w:r>
            <w:r>
              <w:rPr>
                <w:rFonts w:hint="eastAsia" w:ascii="宋体" w:hAnsi="宋体" w:eastAsia="宋体" w:cs="宋体"/>
                <w:sz w:val="22"/>
                <w:szCs w:val="22"/>
              </w:rPr>
              <w:t>运行，了解产品新的发展方向和加强双方的合作</w:t>
            </w:r>
            <w:r>
              <w:rPr>
                <w:rFonts w:hint="eastAsia" w:ascii="宋体" w:hAnsi="宋体" w:eastAsia="宋体" w:cs="宋体"/>
                <w:sz w:val="22"/>
                <w:szCs w:val="22"/>
                <w:lang w:eastAsia="zh-CN"/>
              </w:rPr>
              <w:t>，</w:t>
            </w:r>
            <w:r>
              <w:rPr>
                <w:rFonts w:hint="eastAsia" w:ascii="宋体" w:hAnsi="宋体" w:eastAsia="宋体" w:cs="宋体"/>
                <w:sz w:val="22"/>
                <w:szCs w:val="22"/>
              </w:rPr>
              <w:t>在</w:t>
            </w:r>
            <w:r>
              <w:rPr>
                <w:rFonts w:hint="eastAsia" w:ascii="宋体" w:hAnsi="宋体" w:eastAsia="宋体" w:cs="宋体"/>
                <w:sz w:val="22"/>
                <w:szCs w:val="22"/>
                <w:lang w:val="en-US" w:eastAsia="zh-CN"/>
              </w:rPr>
              <w:t>本项目合同（协议）</w:t>
            </w:r>
            <w:r>
              <w:rPr>
                <w:rFonts w:hint="eastAsia" w:ascii="宋体" w:hAnsi="宋体" w:eastAsia="宋体" w:cs="宋体"/>
                <w:sz w:val="22"/>
                <w:szCs w:val="22"/>
              </w:rPr>
              <w:t>生效之后，</w:t>
            </w:r>
            <w:r>
              <w:rPr>
                <w:rFonts w:hint="eastAsia" w:ascii="宋体" w:hAnsi="宋体" w:eastAsia="宋体" w:cs="宋体"/>
                <w:sz w:val="22"/>
                <w:szCs w:val="22"/>
                <w:lang w:val="en-US" w:eastAsia="zh-CN"/>
              </w:rPr>
              <w:t>成交供应商</w:t>
            </w:r>
            <w:r>
              <w:rPr>
                <w:rFonts w:hint="eastAsia" w:ascii="宋体" w:hAnsi="宋体" w:eastAsia="宋体" w:cs="宋体"/>
                <w:sz w:val="22"/>
                <w:szCs w:val="22"/>
              </w:rPr>
              <w:t>必须根据</w:t>
            </w:r>
            <w:r>
              <w:rPr>
                <w:rFonts w:hint="eastAsia" w:ascii="宋体" w:hAnsi="宋体" w:eastAsia="宋体" w:cs="宋体"/>
                <w:sz w:val="22"/>
                <w:szCs w:val="22"/>
                <w:lang w:val="en-US" w:eastAsia="zh-CN"/>
              </w:rPr>
              <w:t>采购人</w:t>
            </w:r>
            <w:r>
              <w:rPr>
                <w:rFonts w:hint="eastAsia" w:ascii="宋体" w:hAnsi="宋体" w:eastAsia="宋体" w:cs="宋体"/>
                <w:sz w:val="22"/>
                <w:szCs w:val="22"/>
              </w:rPr>
              <w:t>的需求就本项目所涉及的具体技术和基础知识为</w:t>
            </w:r>
            <w:r>
              <w:rPr>
                <w:rFonts w:hint="eastAsia" w:ascii="宋体" w:hAnsi="宋体" w:eastAsia="宋体" w:cs="宋体"/>
                <w:sz w:val="22"/>
                <w:szCs w:val="22"/>
                <w:lang w:val="en-US" w:eastAsia="zh-CN"/>
              </w:rPr>
              <w:t>采购人</w:t>
            </w:r>
            <w:r>
              <w:rPr>
                <w:rFonts w:hint="eastAsia" w:ascii="宋体" w:hAnsi="宋体" w:eastAsia="宋体" w:cs="宋体"/>
                <w:sz w:val="22"/>
                <w:szCs w:val="22"/>
              </w:rPr>
              <w:t>技术人员安排一系列的培训。培训的具体内容及形式可以根据用户需求协商确定。</w:t>
            </w:r>
          </w:p>
          <w:p w14:paraId="1761B88E">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为使本</w:t>
            </w:r>
            <w:r>
              <w:rPr>
                <w:rFonts w:hint="eastAsia" w:ascii="宋体" w:hAnsi="宋体" w:eastAsia="宋体" w:cs="宋体"/>
                <w:sz w:val="22"/>
                <w:szCs w:val="22"/>
                <w:lang w:val="en-US" w:eastAsia="zh-CN"/>
              </w:rPr>
              <w:t>项目涉及的</w:t>
            </w:r>
            <w:r>
              <w:rPr>
                <w:rFonts w:hint="eastAsia" w:ascii="宋体" w:hAnsi="宋体" w:eastAsia="宋体" w:cs="宋体"/>
                <w:sz w:val="22"/>
                <w:szCs w:val="22"/>
              </w:rPr>
              <w:t>系统安全有效地运行，</w:t>
            </w:r>
            <w:r>
              <w:rPr>
                <w:rFonts w:hint="eastAsia" w:ascii="宋体" w:hAnsi="宋体" w:eastAsia="宋体" w:cs="宋体"/>
                <w:sz w:val="22"/>
                <w:szCs w:val="22"/>
                <w:lang w:val="en-US" w:eastAsia="zh-CN"/>
              </w:rPr>
              <w:t>成交供应商</w:t>
            </w:r>
            <w:r>
              <w:rPr>
                <w:rFonts w:hint="eastAsia" w:ascii="宋体" w:hAnsi="宋体" w:eastAsia="宋体" w:cs="宋体"/>
                <w:sz w:val="22"/>
                <w:szCs w:val="22"/>
              </w:rPr>
              <w:t>须对</w:t>
            </w:r>
            <w:r>
              <w:rPr>
                <w:rFonts w:hint="eastAsia" w:ascii="宋体" w:hAnsi="宋体" w:eastAsia="宋体" w:cs="宋体"/>
                <w:sz w:val="22"/>
                <w:szCs w:val="22"/>
                <w:lang w:val="en-US" w:eastAsia="zh-CN"/>
              </w:rPr>
              <w:t>采购人</w:t>
            </w:r>
            <w:r>
              <w:rPr>
                <w:rFonts w:hint="eastAsia" w:ascii="宋体" w:hAnsi="宋体" w:eastAsia="宋体" w:cs="宋体"/>
                <w:sz w:val="22"/>
                <w:szCs w:val="22"/>
              </w:rPr>
              <w:t>技术人员进行长期的、多种形式的技术辅导和培训，让技术人员对系统有一个较为全面的了解和认识，可以</w:t>
            </w:r>
            <w:r>
              <w:rPr>
                <w:rFonts w:hint="eastAsia" w:ascii="宋体" w:hAnsi="宋体" w:eastAsia="宋体" w:cs="宋体"/>
                <w:sz w:val="22"/>
                <w:szCs w:val="22"/>
                <w:lang w:val="en-US" w:eastAsia="zh-CN"/>
              </w:rPr>
              <w:t>进行</w:t>
            </w:r>
            <w:r>
              <w:rPr>
                <w:rFonts w:hint="eastAsia" w:ascii="宋体" w:hAnsi="宋体" w:eastAsia="宋体" w:cs="宋体"/>
                <w:sz w:val="22"/>
                <w:szCs w:val="22"/>
              </w:rPr>
              <w:t>简单维护、熟练操作。相关的设备、平台在原厂服务体系的基础上提供设备、平台的培训。</w:t>
            </w:r>
          </w:p>
          <w:p w14:paraId="3D430A3B">
            <w:pPr>
              <w:pStyle w:val="5"/>
              <w:pageBreakBefore w:val="0"/>
              <w:numPr>
                <w:ilvl w:val="2"/>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bookmarkStart w:id="49" w:name="_Toc173501842"/>
            <w:r>
              <w:rPr>
                <w:rFonts w:hint="eastAsia" w:ascii="宋体" w:hAnsi="宋体" w:eastAsia="宋体" w:cs="宋体"/>
                <w:b/>
                <w:bCs/>
                <w:kern w:val="2"/>
                <w:sz w:val="22"/>
                <w:szCs w:val="22"/>
                <w:lang w:val="en-US" w:eastAsia="zh-CN" w:bidi="ar-SA"/>
              </w:rPr>
              <w:t>（一）</w:t>
            </w:r>
            <w:r>
              <w:rPr>
                <w:rFonts w:hint="eastAsia" w:ascii="宋体" w:hAnsi="宋体" w:eastAsia="宋体" w:cs="宋体"/>
                <w:sz w:val="22"/>
                <w:szCs w:val="22"/>
              </w:rPr>
              <w:t>培训要求</w:t>
            </w:r>
            <w:bookmarkEnd w:id="49"/>
          </w:p>
          <w:p w14:paraId="62656617">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1.成交供应商</w:t>
            </w:r>
            <w:r>
              <w:rPr>
                <w:rFonts w:hint="eastAsia" w:ascii="宋体" w:hAnsi="宋体" w:eastAsia="宋体" w:cs="宋体"/>
                <w:sz w:val="22"/>
                <w:szCs w:val="22"/>
              </w:rPr>
              <w:t>须为用户提供高质量的技术培训和辅导，使用户能够加深了解安防技术、视频监控技术，能掌握基本的视频监控技术知识、视频监控管理平台使用知识。</w:t>
            </w:r>
            <w:r>
              <w:rPr>
                <w:rFonts w:hint="eastAsia" w:ascii="宋体" w:hAnsi="宋体" w:eastAsia="宋体" w:cs="宋体"/>
                <w:sz w:val="22"/>
                <w:szCs w:val="22"/>
                <w:lang w:val="en-US" w:eastAsia="zh-CN"/>
              </w:rPr>
              <w:t>成交供应商</w:t>
            </w:r>
            <w:r>
              <w:rPr>
                <w:rFonts w:hint="eastAsia" w:ascii="宋体" w:hAnsi="宋体" w:eastAsia="宋体" w:cs="宋体"/>
                <w:sz w:val="22"/>
                <w:szCs w:val="22"/>
              </w:rPr>
              <w:t>应为用户提供详细的培训资料。</w:t>
            </w:r>
          </w:p>
          <w:p w14:paraId="2153A71D">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2.</w:t>
            </w:r>
            <w:r>
              <w:rPr>
                <w:rFonts w:hint="eastAsia" w:ascii="宋体" w:hAnsi="宋体" w:eastAsia="宋体" w:cs="宋体"/>
                <w:sz w:val="22"/>
                <w:szCs w:val="22"/>
              </w:rPr>
              <w:t>用户培训课程中，</w:t>
            </w:r>
            <w:r>
              <w:rPr>
                <w:rFonts w:hint="eastAsia" w:ascii="宋体" w:hAnsi="宋体" w:eastAsia="宋体" w:cs="宋体"/>
                <w:sz w:val="22"/>
                <w:szCs w:val="22"/>
                <w:lang w:val="en-US" w:eastAsia="zh-CN"/>
              </w:rPr>
              <w:t>成交供应商</w:t>
            </w:r>
            <w:r>
              <w:rPr>
                <w:rFonts w:hint="eastAsia" w:ascii="宋体" w:hAnsi="宋体" w:eastAsia="宋体" w:cs="宋体"/>
                <w:sz w:val="22"/>
                <w:szCs w:val="22"/>
              </w:rPr>
              <w:t>应派出专业的、拥有丰富的实践经验和教学经验的</w:t>
            </w:r>
            <w:r>
              <w:rPr>
                <w:rFonts w:hint="eastAsia" w:ascii="宋体" w:hAnsi="宋体" w:eastAsia="宋体" w:cs="宋体"/>
                <w:sz w:val="22"/>
                <w:szCs w:val="22"/>
                <w:lang w:val="en-US" w:eastAsia="zh-CN"/>
              </w:rPr>
              <w:t>培训讲师</w:t>
            </w:r>
            <w:r>
              <w:rPr>
                <w:rFonts w:hint="eastAsia" w:ascii="宋体" w:hAnsi="宋体" w:eastAsia="宋体" w:cs="宋体"/>
                <w:sz w:val="22"/>
                <w:szCs w:val="22"/>
              </w:rPr>
              <w:t>。</w:t>
            </w:r>
          </w:p>
          <w:p w14:paraId="76CA13FD">
            <w:pPr>
              <w:pStyle w:val="5"/>
              <w:pageBreakBefore w:val="0"/>
              <w:numPr>
                <w:ilvl w:val="2"/>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bookmarkStart w:id="50" w:name="_Toc173501843"/>
            <w:r>
              <w:rPr>
                <w:rFonts w:hint="eastAsia" w:ascii="宋体" w:hAnsi="宋体" w:eastAsia="宋体" w:cs="宋体"/>
                <w:b/>
                <w:bCs/>
                <w:kern w:val="2"/>
                <w:sz w:val="22"/>
                <w:szCs w:val="22"/>
                <w:lang w:val="en-US" w:eastAsia="zh-CN" w:bidi="ar-SA"/>
              </w:rPr>
              <w:t>（二）</w:t>
            </w:r>
            <w:r>
              <w:rPr>
                <w:rFonts w:hint="eastAsia" w:ascii="宋体" w:hAnsi="宋体" w:eastAsia="宋体" w:cs="宋体"/>
                <w:sz w:val="22"/>
                <w:szCs w:val="22"/>
              </w:rPr>
              <w:t>培训对象</w:t>
            </w:r>
            <w:bookmarkEnd w:id="50"/>
          </w:p>
          <w:p w14:paraId="010D8F88">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1.翠亨新区</w:t>
            </w:r>
            <w:r>
              <w:rPr>
                <w:rFonts w:hint="eastAsia" w:ascii="宋体" w:hAnsi="宋体" w:eastAsia="宋体" w:cs="宋体"/>
                <w:sz w:val="22"/>
                <w:szCs w:val="22"/>
              </w:rPr>
              <w:t>公安分局项目负责人、民警及工作人员、接警台工作人员等。</w:t>
            </w:r>
          </w:p>
          <w:p w14:paraId="288350EC">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2.翠亨新区</w:t>
            </w:r>
            <w:r>
              <w:rPr>
                <w:rFonts w:hint="eastAsia" w:ascii="宋体" w:hAnsi="宋体" w:eastAsia="宋体" w:cs="宋体"/>
                <w:sz w:val="22"/>
                <w:szCs w:val="22"/>
              </w:rPr>
              <w:t>公安分局业务相关的民警、工作人员等。</w:t>
            </w:r>
          </w:p>
          <w:p w14:paraId="23195168">
            <w:pPr>
              <w:pStyle w:val="5"/>
              <w:pageBreakBefore w:val="0"/>
              <w:numPr>
                <w:ilvl w:val="2"/>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bookmarkStart w:id="51" w:name="_Toc173501844"/>
            <w:r>
              <w:rPr>
                <w:rFonts w:hint="eastAsia" w:ascii="宋体" w:hAnsi="宋体" w:eastAsia="宋体" w:cs="宋体"/>
                <w:b/>
                <w:bCs/>
                <w:kern w:val="2"/>
                <w:sz w:val="22"/>
                <w:szCs w:val="22"/>
                <w:lang w:val="en-US" w:eastAsia="zh-CN" w:bidi="ar-SA"/>
              </w:rPr>
              <w:t>（三）</w:t>
            </w:r>
            <w:r>
              <w:rPr>
                <w:rFonts w:hint="eastAsia" w:ascii="宋体" w:hAnsi="宋体" w:eastAsia="宋体" w:cs="宋体"/>
                <w:sz w:val="22"/>
                <w:szCs w:val="22"/>
              </w:rPr>
              <w:t>培训方式</w:t>
            </w:r>
            <w:bookmarkEnd w:id="51"/>
          </w:p>
          <w:p w14:paraId="7E3CEF42">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sz w:val="22"/>
                <w:szCs w:val="22"/>
              </w:rPr>
              <w:t>培训采用现场培训和集中培训相结合的方式</w:t>
            </w:r>
            <w:r>
              <w:rPr>
                <w:rFonts w:hint="eastAsia" w:ascii="宋体" w:hAnsi="宋体" w:eastAsia="宋体" w:cs="宋体"/>
                <w:sz w:val="22"/>
                <w:szCs w:val="22"/>
                <w:lang w:eastAsia="zh-CN"/>
              </w:rPr>
              <w:t>。</w:t>
            </w:r>
          </w:p>
          <w:p w14:paraId="5B879429">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1.</w:t>
            </w:r>
            <w:r>
              <w:rPr>
                <w:rFonts w:hint="eastAsia" w:ascii="宋体" w:hAnsi="宋体" w:eastAsia="宋体" w:cs="宋体"/>
                <w:b/>
                <w:bCs/>
                <w:sz w:val="22"/>
                <w:szCs w:val="22"/>
              </w:rPr>
              <w:t>现场辅导和培训</w:t>
            </w:r>
          </w:p>
          <w:p w14:paraId="3496F118">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不定期按需进行，培训地点在用户现场。由</w:t>
            </w:r>
            <w:r>
              <w:rPr>
                <w:rFonts w:hint="eastAsia" w:ascii="宋体" w:hAnsi="宋体" w:eastAsia="宋体" w:cs="宋体"/>
                <w:sz w:val="22"/>
                <w:szCs w:val="22"/>
                <w:lang w:val="en-US" w:eastAsia="zh-CN"/>
              </w:rPr>
              <w:t>成交供应商</w:t>
            </w:r>
            <w:r>
              <w:rPr>
                <w:rFonts w:hint="eastAsia" w:ascii="宋体" w:hAnsi="宋体" w:eastAsia="宋体" w:cs="宋体"/>
                <w:sz w:val="22"/>
                <w:szCs w:val="22"/>
              </w:rPr>
              <w:t>派出专业的</w:t>
            </w:r>
            <w:r>
              <w:rPr>
                <w:rFonts w:hint="eastAsia" w:ascii="宋体" w:hAnsi="宋体" w:eastAsia="宋体" w:cs="宋体"/>
                <w:sz w:val="22"/>
                <w:szCs w:val="22"/>
                <w:lang w:val="en-US" w:eastAsia="zh-CN"/>
              </w:rPr>
              <w:t>培训讲师</w:t>
            </w:r>
            <w:r>
              <w:rPr>
                <w:rFonts w:hint="eastAsia" w:ascii="宋体" w:hAnsi="宋体" w:eastAsia="宋体" w:cs="宋体"/>
                <w:sz w:val="22"/>
                <w:szCs w:val="22"/>
              </w:rPr>
              <w:t>在系统安装、系统定期巡查、故障上门服务、用户临时请求培训服务时，</w:t>
            </w:r>
            <w:r>
              <w:rPr>
                <w:rFonts w:hint="eastAsia" w:ascii="宋体" w:hAnsi="宋体" w:eastAsia="宋体" w:cs="宋体"/>
                <w:sz w:val="22"/>
                <w:szCs w:val="22"/>
                <w:lang w:val="en-US" w:eastAsia="zh-CN"/>
              </w:rPr>
              <w:t>按采购人</w:t>
            </w:r>
            <w:r>
              <w:rPr>
                <w:rFonts w:hint="eastAsia" w:ascii="宋体" w:hAnsi="宋体" w:eastAsia="宋体" w:cs="宋体"/>
                <w:sz w:val="22"/>
                <w:szCs w:val="22"/>
              </w:rPr>
              <w:t>的要求安排时间进行现场手把手培训，通过理论与实践相结合，使参加培训人员更容易掌握知识。</w:t>
            </w:r>
          </w:p>
          <w:p w14:paraId="4BC0156D">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2.</w:t>
            </w:r>
            <w:r>
              <w:rPr>
                <w:rFonts w:hint="eastAsia" w:ascii="宋体" w:hAnsi="宋体" w:eastAsia="宋体" w:cs="宋体"/>
                <w:b/>
                <w:bCs/>
                <w:sz w:val="22"/>
                <w:szCs w:val="22"/>
              </w:rPr>
              <w:t>集中培训</w:t>
            </w:r>
          </w:p>
          <w:p w14:paraId="56DFB533">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集中培训每次受训人员数量</w:t>
            </w:r>
            <w:r>
              <w:rPr>
                <w:rFonts w:hint="eastAsia" w:ascii="宋体" w:hAnsi="宋体" w:eastAsia="宋体" w:cs="宋体"/>
                <w:sz w:val="22"/>
                <w:szCs w:val="22"/>
                <w:lang w:val="en-US" w:eastAsia="zh-CN"/>
              </w:rPr>
              <w:t>应</w:t>
            </w:r>
            <w:r>
              <w:rPr>
                <w:rFonts w:hint="eastAsia" w:ascii="宋体" w:hAnsi="宋体" w:eastAsia="宋体" w:cs="宋体"/>
                <w:sz w:val="22"/>
                <w:szCs w:val="22"/>
              </w:rPr>
              <w:t>不少于10人，</w:t>
            </w:r>
            <w:r>
              <w:rPr>
                <w:rFonts w:hint="eastAsia" w:ascii="宋体" w:hAnsi="宋体" w:eastAsia="宋体" w:cs="宋体"/>
                <w:sz w:val="22"/>
                <w:szCs w:val="22"/>
                <w:lang w:val="en-US" w:eastAsia="zh-CN"/>
              </w:rPr>
              <w:t>合同履行</w:t>
            </w:r>
            <w:r>
              <w:rPr>
                <w:rFonts w:hint="eastAsia" w:ascii="宋体" w:hAnsi="宋体" w:eastAsia="宋体" w:cs="宋体"/>
                <w:sz w:val="22"/>
                <w:szCs w:val="22"/>
              </w:rPr>
              <w:t>期内每季度提供不少于1次集中培训。</w:t>
            </w:r>
            <w:r>
              <w:rPr>
                <w:rFonts w:hint="eastAsia" w:ascii="宋体" w:hAnsi="宋体" w:eastAsia="宋体" w:cs="宋体"/>
                <w:sz w:val="22"/>
                <w:szCs w:val="22"/>
                <w:lang w:val="en-US" w:eastAsia="zh-CN"/>
              </w:rPr>
              <w:t>成交供应商</w:t>
            </w:r>
            <w:r>
              <w:rPr>
                <w:rFonts w:hint="eastAsia" w:ascii="宋体" w:hAnsi="宋体" w:eastAsia="宋体" w:cs="宋体"/>
                <w:sz w:val="22"/>
                <w:szCs w:val="22"/>
              </w:rPr>
              <w:t>须按实际需要</w:t>
            </w:r>
            <w:r>
              <w:rPr>
                <w:rFonts w:hint="eastAsia" w:ascii="宋体" w:hAnsi="宋体" w:eastAsia="宋体" w:cs="宋体"/>
                <w:sz w:val="22"/>
                <w:szCs w:val="22"/>
                <w:lang w:val="en-US" w:eastAsia="zh-CN"/>
              </w:rPr>
              <w:t>开展</w:t>
            </w:r>
            <w:r>
              <w:rPr>
                <w:rFonts w:hint="eastAsia" w:ascii="宋体" w:hAnsi="宋体" w:eastAsia="宋体" w:cs="宋体"/>
                <w:sz w:val="22"/>
                <w:szCs w:val="22"/>
              </w:rPr>
              <w:t>集中培训，培训内容以安防技术、视频监控技术知识为主，培训师资、设备、场地、教材等培训费用由</w:t>
            </w:r>
            <w:r>
              <w:rPr>
                <w:rFonts w:hint="eastAsia" w:ascii="宋体" w:hAnsi="宋体" w:eastAsia="宋体" w:cs="宋体"/>
                <w:sz w:val="22"/>
                <w:szCs w:val="22"/>
                <w:lang w:val="en-US" w:eastAsia="zh-CN"/>
              </w:rPr>
              <w:t>成交供应商</w:t>
            </w:r>
            <w:r>
              <w:rPr>
                <w:rFonts w:hint="eastAsia" w:ascii="宋体" w:hAnsi="宋体" w:eastAsia="宋体" w:cs="宋体"/>
                <w:sz w:val="22"/>
                <w:szCs w:val="22"/>
              </w:rPr>
              <w:t>负责。</w:t>
            </w:r>
            <w:r>
              <w:rPr>
                <w:rFonts w:hint="eastAsia" w:ascii="宋体" w:hAnsi="宋体" w:eastAsia="宋体" w:cs="宋体"/>
                <w:sz w:val="22"/>
                <w:szCs w:val="22"/>
                <w:lang w:val="en-US" w:eastAsia="zh-CN"/>
              </w:rPr>
              <w:t>成交供应商</w:t>
            </w:r>
            <w:r>
              <w:rPr>
                <w:rFonts w:hint="eastAsia" w:ascii="宋体" w:hAnsi="宋体" w:eastAsia="宋体" w:cs="宋体"/>
                <w:sz w:val="22"/>
                <w:szCs w:val="22"/>
              </w:rPr>
              <w:t>应提前1个星期向</w:t>
            </w:r>
            <w:r>
              <w:rPr>
                <w:rFonts w:hint="eastAsia" w:ascii="宋体" w:hAnsi="宋体" w:eastAsia="宋体" w:cs="宋体"/>
                <w:sz w:val="22"/>
                <w:szCs w:val="22"/>
                <w:lang w:val="en-US" w:eastAsia="zh-CN"/>
              </w:rPr>
              <w:t>翠亨新区公安</w:t>
            </w:r>
            <w:r>
              <w:rPr>
                <w:rFonts w:hint="eastAsia" w:ascii="宋体" w:hAnsi="宋体" w:eastAsia="宋体" w:cs="宋体"/>
                <w:sz w:val="22"/>
                <w:szCs w:val="22"/>
              </w:rPr>
              <w:t>分局主管部门提交相应的培训计划，包括培训时间安排、人员（或单位）安排、培训内容、培训场地等事项。</w:t>
            </w:r>
          </w:p>
          <w:p w14:paraId="23EA3518">
            <w:pPr>
              <w:pStyle w:val="5"/>
              <w:pageBreakBefore w:val="0"/>
              <w:numPr>
                <w:ilvl w:val="2"/>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bookmarkStart w:id="52" w:name="_Toc173501845"/>
            <w:r>
              <w:rPr>
                <w:rFonts w:hint="eastAsia" w:ascii="宋体" w:hAnsi="宋体" w:eastAsia="宋体" w:cs="宋体"/>
                <w:b/>
                <w:bCs/>
                <w:kern w:val="2"/>
                <w:sz w:val="22"/>
                <w:szCs w:val="22"/>
                <w:lang w:val="en-US" w:eastAsia="zh-CN" w:bidi="ar-SA"/>
              </w:rPr>
              <w:t>（四）</w:t>
            </w:r>
            <w:r>
              <w:rPr>
                <w:rFonts w:hint="eastAsia" w:ascii="宋体" w:hAnsi="宋体" w:eastAsia="宋体" w:cs="宋体"/>
                <w:sz w:val="22"/>
                <w:szCs w:val="22"/>
              </w:rPr>
              <w:t>培训内容</w:t>
            </w:r>
            <w:bookmarkEnd w:id="52"/>
          </w:p>
          <w:p w14:paraId="572E2D6D">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成交供应商</w:t>
            </w:r>
            <w:r>
              <w:rPr>
                <w:rFonts w:hint="eastAsia" w:ascii="宋体" w:hAnsi="宋体" w:eastAsia="宋体" w:cs="宋体"/>
                <w:sz w:val="22"/>
                <w:szCs w:val="22"/>
              </w:rPr>
              <w:t>应为用户提供视频监控系统技术相关的培训内容，用户可以根据需要选择：</w:t>
            </w:r>
          </w:p>
          <w:p w14:paraId="3D88E4C3">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1.</w:t>
            </w:r>
            <w:r>
              <w:rPr>
                <w:rFonts w:hint="eastAsia" w:ascii="宋体" w:hAnsi="宋体" w:eastAsia="宋体" w:cs="宋体"/>
                <w:b/>
                <w:bCs/>
                <w:sz w:val="22"/>
                <w:szCs w:val="22"/>
              </w:rPr>
              <w:t>网络知识培训</w:t>
            </w:r>
          </w:p>
          <w:p w14:paraId="122D3019">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网络基础及网络设备的配置和管理维护。包括网络基础知识TCP/IP协议，综合布线，路由器、交换机等的基本原理、安装配置和管理维护，网络安全。</w:t>
            </w:r>
          </w:p>
          <w:p w14:paraId="2CA03A57">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2.</w:t>
            </w:r>
            <w:r>
              <w:rPr>
                <w:rFonts w:hint="eastAsia" w:ascii="宋体" w:hAnsi="宋体" w:eastAsia="宋体" w:cs="宋体"/>
                <w:b/>
                <w:bCs/>
                <w:sz w:val="22"/>
                <w:szCs w:val="22"/>
              </w:rPr>
              <w:t>计算机基本知识培训</w:t>
            </w:r>
          </w:p>
          <w:p w14:paraId="360FC883">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计算机基本知识，包括计算机系统的组成</w:t>
            </w:r>
            <w:r>
              <w:rPr>
                <w:rFonts w:hint="eastAsia" w:ascii="宋体" w:hAnsi="宋体" w:eastAsia="宋体" w:cs="宋体"/>
                <w:sz w:val="22"/>
                <w:szCs w:val="22"/>
                <w:lang w:eastAsia="zh-CN"/>
              </w:rPr>
              <w:t>、</w:t>
            </w:r>
            <w:r>
              <w:rPr>
                <w:rFonts w:hint="eastAsia" w:ascii="宋体" w:hAnsi="宋体" w:eastAsia="宋体" w:cs="宋体"/>
                <w:sz w:val="22"/>
                <w:szCs w:val="22"/>
              </w:rPr>
              <w:t>软硬件知识</w:t>
            </w:r>
            <w:r>
              <w:rPr>
                <w:rFonts w:hint="eastAsia" w:ascii="宋体" w:hAnsi="宋体" w:eastAsia="宋体" w:cs="宋体"/>
                <w:sz w:val="22"/>
                <w:szCs w:val="22"/>
                <w:lang w:eastAsia="zh-CN"/>
              </w:rPr>
              <w:t>、</w:t>
            </w:r>
            <w:r>
              <w:rPr>
                <w:rFonts w:hint="eastAsia" w:ascii="宋体" w:hAnsi="宋体" w:eastAsia="宋体" w:cs="宋体"/>
                <w:sz w:val="22"/>
                <w:szCs w:val="22"/>
              </w:rPr>
              <w:t>计算机工作原理</w:t>
            </w:r>
            <w:r>
              <w:rPr>
                <w:rFonts w:hint="eastAsia" w:ascii="宋体" w:hAnsi="宋体" w:eastAsia="宋体" w:cs="宋体"/>
                <w:sz w:val="22"/>
                <w:szCs w:val="22"/>
                <w:lang w:eastAsia="zh-CN"/>
              </w:rPr>
              <w:t>、</w:t>
            </w:r>
            <w:r>
              <w:rPr>
                <w:rFonts w:hint="eastAsia" w:ascii="宋体" w:hAnsi="宋体" w:eastAsia="宋体" w:cs="宋体"/>
                <w:sz w:val="22"/>
                <w:szCs w:val="22"/>
              </w:rPr>
              <w:t>网络基本知识</w:t>
            </w:r>
            <w:r>
              <w:rPr>
                <w:rFonts w:hint="eastAsia" w:ascii="宋体" w:hAnsi="宋体" w:eastAsia="宋体" w:cs="宋体"/>
                <w:sz w:val="22"/>
                <w:szCs w:val="22"/>
                <w:lang w:eastAsia="zh-CN"/>
              </w:rPr>
              <w:t>、</w:t>
            </w:r>
            <w:r>
              <w:rPr>
                <w:rFonts w:hint="eastAsia" w:ascii="宋体" w:hAnsi="宋体" w:eastAsia="宋体" w:cs="宋体"/>
                <w:sz w:val="22"/>
                <w:szCs w:val="22"/>
              </w:rPr>
              <w:t>计算机病毒和木马的防护常识，操作系统安装使用等。</w:t>
            </w:r>
          </w:p>
          <w:p w14:paraId="60A1AFB3">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3.</w:t>
            </w:r>
            <w:r>
              <w:rPr>
                <w:rFonts w:hint="eastAsia" w:ascii="宋体" w:hAnsi="宋体" w:eastAsia="宋体" w:cs="宋体"/>
                <w:b/>
                <w:bCs/>
                <w:sz w:val="22"/>
                <w:szCs w:val="22"/>
              </w:rPr>
              <w:t>视频监控系统技术</w:t>
            </w:r>
          </w:p>
          <w:p w14:paraId="7CEB9D27">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主要包括基础知识、行业动态、前沿技术、系统配置、系统使用等知识，重点是视频监控管理平台的使用、配置和管理，前端摄像机的操作，存储设备的使用配置等关键设备的介绍和使用。</w:t>
            </w:r>
          </w:p>
          <w:p w14:paraId="65E796BD">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以上仅是培训内容纲要，在培训之前应按</w:t>
            </w:r>
            <w:r>
              <w:rPr>
                <w:rFonts w:hint="eastAsia" w:ascii="宋体" w:hAnsi="宋体" w:eastAsia="宋体" w:cs="宋体"/>
                <w:sz w:val="22"/>
                <w:szCs w:val="22"/>
                <w:lang w:val="en-US" w:eastAsia="zh-CN"/>
              </w:rPr>
              <w:t>采购人</w:t>
            </w:r>
            <w:r>
              <w:rPr>
                <w:rFonts w:hint="eastAsia" w:ascii="宋体" w:hAnsi="宋体" w:eastAsia="宋体" w:cs="宋体"/>
                <w:sz w:val="22"/>
                <w:szCs w:val="22"/>
              </w:rPr>
              <w:t>实际需求制订详细的培训方案，整理、编写培训教材，收集培训意见，对每期培训</w:t>
            </w:r>
            <w:r>
              <w:rPr>
                <w:rFonts w:hint="eastAsia" w:ascii="宋体" w:hAnsi="宋体" w:eastAsia="宋体" w:cs="宋体"/>
                <w:sz w:val="22"/>
                <w:szCs w:val="22"/>
                <w:lang w:eastAsia="zh-CN"/>
              </w:rPr>
              <w:t>作出</w:t>
            </w:r>
            <w:r>
              <w:rPr>
                <w:rFonts w:hint="eastAsia" w:ascii="宋体" w:hAnsi="宋体" w:eastAsia="宋体" w:cs="宋体"/>
                <w:sz w:val="22"/>
                <w:szCs w:val="22"/>
              </w:rPr>
              <w:t>总结和改进。</w:t>
            </w:r>
          </w:p>
          <w:p w14:paraId="5B1320E6">
            <w:pPr>
              <w:pStyle w:val="4"/>
              <w:pageBreakBefore w:val="0"/>
              <w:numPr>
                <w:ilvl w:val="1"/>
                <w:numId w:val="0"/>
              </w:numPr>
              <w:kinsoku/>
              <w:wordWrap/>
              <w:overflowPunct/>
              <w:topLinePunct w:val="0"/>
              <w:autoSpaceDE/>
              <w:autoSpaceDN/>
              <w:bidi w:val="0"/>
              <w:adjustRightInd/>
              <w:snapToGrid/>
              <w:spacing w:before="0" w:line="360" w:lineRule="auto"/>
              <w:ind w:left="0" w:leftChars="0" w:firstLine="0" w:firstLineChars="0"/>
              <w:textAlignment w:val="auto"/>
              <w:rPr>
                <w:rFonts w:hint="eastAsia" w:ascii="宋体" w:hAnsi="宋体" w:eastAsia="宋体" w:cs="宋体"/>
                <w:sz w:val="22"/>
                <w:szCs w:val="22"/>
                <w:lang w:val="en-US" w:eastAsia="zh-CN"/>
              </w:rPr>
            </w:pPr>
            <w:bookmarkStart w:id="53" w:name="_Toc173501848"/>
            <w:r>
              <w:rPr>
                <w:rFonts w:hint="eastAsia" w:ascii="宋体" w:hAnsi="宋体" w:cs="宋体"/>
                <w:b/>
                <w:bCs/>
                <w:kern w:val="2"/>
                <w:sz w:val="22"/>
                <w:szCs w:val="22"/>
                <w:lang w:val="en-US" w:eastAsia="zh-CN" w:bidi="ar-SA"/>
              </w:rPr>
              <w:t>五</w:t>
            </w:r>
            <w:r>
              <w:rPr>
                <w:rFonts w:hint="eastAsia" w:ascii="宋体" w:hAnsi="宋体" w:eastAsia="宋体" w:cs="宋体"/>
                <w:b/>
                <w:bCs/>
                <w:kern w:val="2"/>
                <w:sz w:val="22"/>
                <w:szCs w:val="22"/>
                <w:lang w:val="en-US" w:eastAsia="zh-CN" w:bidi="ar-SA"/>
              </w:rPr>
              <w:t>、</w:t>
            </w:r>
            <w:r>
              <w:rPr>
                <w:rFonts w:hint="eastAsia" w:ascii="宋体" w:hAnsi="宋体" w:eastAsia="宋体" w:cs="宋体"/>
                <w:b/>
                <w:bCs w:val="0"/>
                <w:sz w:val="22"/>
                <w:szCs w:val="22"/>
              </w:rPr>
              <w:t>试运行</w:t>
            </w:r>
            <w:bookmarkEnd w:id="53"/>
            <w:r>
              <w:rPr>
                <w:rFonts w:hint="eastAsia" w:ascii="宋体" w:hAnsi="宋体" w:eastAsia="宋体" w:cs="宋体"/>
                <w:b/>
                <w:bCs w:val="0"/>
                <w:sz w:val="22"/>
                <w:szCs w:val="22"/>
                <w:lang w:val="en-US" w:eastAsia="zh-CN"/>
              </w:rPr>
              <w:t>要求</w:t>
            </w:r>
          </w:p>
          <w:p w14:paraId="7B37278B">
            <w:pPr>
              <w:pStyle w:val="5"/>
              <w:pageBreakBefore w:val="0"/>
              <w:numPr>
                <w:ilvl w:val="2"/>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bookmarkStart w:id="54" w:name="_Toc173501849"/>
            <w:r>
              <w:rPr>
                <w:rFonts w:hint="eastAsia" w:ascii="宋体" w:hAnsi="宋体" w:eastAsia="宋体" w:cs="宋体"/>
                <w:b/>
                <w:bCs/>
                <w:kern w:val="2"/>
                <w:sz w:val="22"/>
                <w:szCs w:val="22"/>
                <w:lang w:val="en-US" w:eastAsia="zh-CN" w:bidi="ar-SA"/>
              </w:rPr>
              <w:t>（一）</w:t>
            </w:r>
            <w:r>
              <w:rPr>
                <w:rFonts w:hint="eastAsia" w:ascii="宋体" w:hAnsi="宋体" w:eastAsia="宋体" w:cs="宋体"/>
                <w:sz w:val="22"/>
                <w:szCs w:val="22"/>
                <w:lang w:val="en-US" w:eastAsia="zh-CN"/>
              </w:rPr>
              <w:t>总体</w:t>
            </w:r>
            <w:r>
              <w:rPr>
                <w:rFonts w:hint="eastAsia" w:ascii="宋体" w:hAnsi="宋体" w:eastAsia="宋体" w:cs="宋体"/>
                <w:sz w:val="22"/>
                <w:szCs w:val="22"/>
              </w:rPr>
              <w:t>要求</w:t>
            </w:r>
            <w:bookmarkEnd w:id="54"/>
          </w:p>
          <w:p w14:paraId="1BD05FC4">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1.</w:t>
            </w:r>
            <w:r>
              <w:rPr>
                <w:rFonts w:hint="eastAsia" w:ascii="宋体" w:hAnsi="宋体" w:eastAsia="宋体" w:cs="宋体"/>
                <w:sz w:val="22"/>
                <w:szCs w:val="22"/>
              </w:rPr>
              <w:t>系统长期通电运行考核</w:t>
            </w:r>
          </w:p>
          <w:p w14:paraId="4DFD8711">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系统试运行一旦开始，应至少保持72小时以上连续通电运行，</w:t>
            </w:r>
            <w:r>
              <w:rPr>
                <w:rFonts w:hint="eastAsia" w:ascii="宋体" w:hAnsi="宋体" w:eastAsia="宋体" w:cs="宋体"/>
                <w:sz w:val="22"/>
                <w:szCs w:val="22"/>
                <w:lang w:val="en-US" w:eastAsia="zh-CN"/>
              </w:rPr>
              <w:t>期</w:t>
            </w:r>
            <w:r>
              <w:rPr>
                <w:rFonts w:hint="eastAsia" w:ascii="宋体" w:hAnsi="宋体" w:eastAsia="宋体" w:cs="宋体"/>
                <w:sz w:val="22"/>
                <w:szCs w:val="22"/>
              </w:rPr>
              <w:t>间系统应正常</w:t>
            </w:r>
            <w:r>
              <w:rPr>
                <w:rFonts w:hint="eastAsia" w:ascii="宋体" w:hAnsi="宋体" w:eastAsia="宋体" w:cs="宋体"/>
                <w:sz w:val="22"/>
                <w:szCs w:val="22"/>
                <w:lang w:val="en-US" w:eastAsia="zh-CN"/>
              </w:rPr>
              <w:t>运行</w:t>
            </w:r>
            <w:r>
              <w:rPr>
                <w:rFonts w:hint="eastAsia" w:ascii="宋体" w:hAnsi="宋体" w:eastAsia="宋体" w:cs="宋体"/>
                <w:sz w:val="22"/>
                <w:szCs w:val="22"/>
              </w:rPr>
              <w:t>，无故障和异常</w:t>
            </w:r>
            <w:r>
              <w:rPr>
                <w:rFonts w:hint="eastAsia" w:ascii="宋体" w:hAnsi="宋体" w:eastAsia="宋体" w:cs="宋体"/>
                <w:sz w:val="22"/>
                <w:szCs w:val="22"/>
                <w:lang w:val="en-US" w:eastAsia="zh-CN"/>
              </w:rPr>
              <w:t>情况</w:t>
            </w:r>
            <w:r>
              <w:rPr>
                <w:rFonts w:hint="eastAsia" w:ascii="宋体" w:hAnsi="宋体" w:eastAsia="宋体" w:cs="宋体"/>
                <w:sz w:val="22"/>
                <w:szCs w:val="22"/>
              </w:rPr>
              <w:t>出现。</w:t>
            </w:r>
          </w:p>
          <w:p w14:paraId="3438E501">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2.</w:t>
            </w:r>
            <w:r>
              <w:rPr>
                <w:rFonts w:hint="eastAsia" w:ascii="宋体" w:hAnsi="宋体" w:eastAsia="宋体" w:cs="宋体"/>
                <w:sz w:val="22"/>
                <w:szCs w:val="22"/>
              </w:rPr>
              <w:t>系统功能及性能的长期稳定性。</w:t>
            </w:r>
          </w:p>
          <w:p w14:paraId="44401B8D">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3.</w:t>
            </w:r>
            <w:r>
              <w:rPr>
                <w:rFonts w:hint="eastAsia" w:ascii="宋体" w:hAnsi="宋体" w:eastAsia="宋体" w:cs="宋体"/>
                <w:sz w:val="22"/>
                <w:szCs w:val="22"/>
              </w:rPr>
              <w:t>监测数据的完整性指数据记录的完整性。监测数据的完整性，在试运行期间</w:t>
            </w:r>
            <w:r>
              <w:rPr>
                <w:rFonts w:hint="eastAsia" w:ascii="宋体" w:hAnsi="宋体" w:eastAsia="宋体" w:cs="宋体"/>
                <w:sz w:val="22"/>
                <w:szCs w:val="22"/>
                <w:lang w:val="en-US" w:eastAsia="zh-CN"/>
              </w:rPr>
              <w:t>需</w:t>
            </w:r>
            <w:r>
              <w:rPr>
                <w:rFonts w:hint="eastAsia" w:ascii="宋体" w:hAnsi="宋体" w:eastAsia="宋体" w:cs="宋体"/>
                <w:sz w:val="22"/>
                <w:szCs w:val="22"/>
              </w:rPr>
              <w:t>每天检查一次。</w:t>
            </w:r>
          </w:p>
          <w:p w14:paraId="4F8BD778">
            <w:pPr>
              <w:pStyle w:val="2"/>
              <w:spacing w:line="360" w:lineRule="auto"/>
              <w:ind w:firstLine="440" w:firstLineChars="20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4.试运行时间：</w:t>
            </w:r>
            <w:r>
              <w:rPr>
                <w:rFonts w:hint="eastAsia" w:ascii="宋体" w:hAnsi="宋体" w:eastAsia="宋体" w:cs="宋体"/>
                <w:sz w:val="22"/>
                <w:szCs w:val="22"/>
              </w:rPr>
              <w:t>30个日历天</w:t>
            </w:r>
            <w:r>
              <w:rPr>
                <w:rFonts w:hint="eastAsia" w:ascii="宋体" w:hAnsi="宋体" w:eastAsia="宋体" w:cs="宋体"/>
                <w:sz w:val="22"/>
                <w:szCs w:val="22"/>
                <w:lang w:eastAsia="zh-CN"/>
              </w:rPr>
              <w:t>。</w:t>
            </w:r>
          </w:p>
          <w:p w14:paraId="37932859">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kern w:val="2"/>
                <w:sz w:val="22"/>
                <w:szCs w:val="22"/>
                <w:lang w:val="en-US" w:eastAsia="zh-CN" w:bidi="ar-SA"/>
              </w:rPr>
            </w:pPr>
            <w:r>
              <w:rPr>
                <w:rFonts w:hint="eastAsia" w:ascii="宋体" w:hAnsi="宋体" w:eastAsia="宋体" w:cs="宋体"/>
                <w:b/>
                <w:bCs/>
                <w:kern w:val="2"/>
                <w:sz w:val="22"/>
                <w:szCs w:val="22"/>
                <w:lang w:val="en-US" w:eastAsia="zh-CN" w:bidi="ar-SA"/>
              </w:rPr>
              <w:t>（二）具体要求</w:t>
            </w:r>
          </w:p>
          <w:p w14:paraId="1F2BA312">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1.</w:t>
            </w:r>
            <w:r>
              <w:rPr>
                <w:rFonts w:hint="eastAsia" w:ascii="宋体" w:hAnsi="宋体" w:eastAsia="宋体" w:cs="宋体"/>
                <w:b/>
                <w:bCs/>
                <w:sz w:val="22"/>
                <w:szCs w:val="22"/>
              </w:rPr>
              <w:t>系统功能、性能与稳定性考核</w:t>
            </w:r>
          </w:p>
          <w:p w14:paraId="715E4F8D">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sz w:val="22"/>
                <w:szCs w:val="22"/>
                <w:lang w:val="en-US" w:eastAsia="zh-CN"/>
              </w:rPr>
              <w:t>1.1</w:t>
            </w:r>
            <w:r>
              <w:rPr>
                <w:rFonts w:hint="eastAsia" w:ascii="宋体" w:hAnsi="宋体" w:eastAsia="宋体" w:cs="宋体"/>
                <w:sz w:val="22"/>
                <w:szCs w:val="22"/>
              </w:rPr>
              <w:t>系统功能及性能的实际应用考核</w:t>
            </w:r>
            <w:r>
              <w:rPr>
                <w:rFonts w:hint="eastAsia" w:ascii="宋体" w:hAnsi="宋体" w:eastAsia="宋体" w:cs="宋体"/>
                <w:sz w:val="22"/>
                <w:szCs w:val="22"/>
                <w:lang w:eastAsia="zh-CN"/>
              </w:rPr>
              <w:t>。</w:t>
            </w:r>
          </w:p>
          <w:p w14:paraId="24520988">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sz w:val="22"/>
                <w:szCs w:val="22"/>
                <w:lang w:val="en-US" w:eastAsia="zh-CN"/>
              </w:rPr>
              <w:t>1.2</w:t>
            </w:r>
            <w:r>
              <w:rPr>
                <w:rFonts w:hint="eastAsia" w:ascii="宋体" w:hAnsi="宋体" w:eastAsia="宋体" w:cs="宋体"/>
                <w:sz w:val="22"/>
                <w:szCs w:val="22"/>
              </w:rPr>
              <w:t>系统应用软件、软件支撑平台的长期稳定性和可靠性</w:t>
            </w:r>
            <w:r>
              <w:rPr>
                <w:rFonts w:hint="eastAsia" w:ascii="宋体" w:hAnsi="宋体" w:eastAsia="宋体" w:cs="宋体"/>
                <w:sz w:val="22"/>
                <w:szCs w:val="22"/>
                <w:lang w:eastAsia="zh-CN"/>
              </w:rPr>
              <w:t>。</w:t>
            </w:r>
          </w:p>
          <w:p w14:paraId="1274EB88">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sz w:val="22"/>
                <w:szCs w:val="22"/>
                <w:lang w:val="en-US" w:eastAsia="zh-CN"/>
              </w:rPr>
              <w:t>1.3</w:t>
            </w:r>
            <w:r>
              <w:rPr>
                <w:rFonts w:hint="eastAsia" w:ascii="宋体" w:hAnsi="宋体" w:eastAsia="宋体" w:cs="宋体"/>
                <w:sz w:val="22"/>
                <w:szCs w:val="22"/>
              </w:rPr>
              <w:t>系统主要硬件设备、辅助设备的长期稳定性和可靠性</w:t>
            </w:r>
            <w:r>
              <w:rPr>
                <w:rFonts w:hint="eastAsia" w:ascii="宋体" w:hAnsi="宋体" w:eastAsia="宋体" w:cs="宋体"/>
                <w:sz w:val="22"/>
                <w:szCs w:val="22"/>
                <w:lang w:eastAsia="zh-CN"/>
              </w:rPr>
              <w:t>。</w:t>
            </w:r>
          </w:p>
          <w:p w14:paraId="697E3F52">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sz w:val="22"/>
                <w:szCs w:val="22"/>
                <w:lang w:val="en-US" w:eastAsia="zh-CN"/>
              </w:rPr>
              <w:t>1.4</w:t>
            </w:r>
            <w:r>
              <w:rPr>
                <w:rFonts w:hint="eastAsia" w:ascii="宋体" w:hAnsi="宋体" w:eastAsia="宋体" w:cs="宋体"/>
                <w:sz w:val="22"/>
                <w:szCs w:val="22"/>
              </w:rPr>
              <w:t>数据通信系统的长期稳定性和可靠性</w:t>
            </w:r>
            <w:r>
              <w:rPr>
                <w:rFonts w:hint="eastAsia" w:ascii="宋体" w:hAnsi="宋体" w:eastAsia="宋体" w:cs="宋体"/>
                <w:sz w:val="22"/>
                <w:szCs w:val="22"/>
                <w:lang w:eastAsia="zh-CN"/>
              </w:rPr>
              <w:t>。</w:t>
            </w:r>
          </w:p>
          <w:p w14:paraId="219C68B9">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sz w:val="22"/>
                <w:szCs w:val="22"/>
                <w:lang w:val="en-US" w:eastAsia="zh-CN"/>
              </w:rPr>
              <w:t>1.5</w:t>
            </w:r>
            <w:r>
              <w:rPr>
                <w:rFonts w:hint="eastAsia" w:ascii="宋体" w:hAnsi="宋体" w:eastAsia="宋体" w:cs="宋体"/>
                <w:sz w:val="22"/>
                <w:szCs w:val="22"/>
              </w:rPr>
              <w:t>检测数据的长期准确性和完整性</w:t>
            </w:r>
            <w:r>
              <w:rPr>
                <w:rFonts w:hint="eastAsia" w:ascii="宋体" w:hAnsi="宋体" w:eastAsia="宋体" w:cs="宋体"/>
                <w:sz w:val="22"/>
                <w:szCs w:val="22"/>
                <w:lang w:eastAsia="zh-CN"/>
              </w:rPr>
              <w:t>。</w:t>
            </w:r>
          </w:p>
          <w:p w14:paraId="4130AB1F">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sz w:val="22"/>
                <w:szCs w:val="22"/>
                <w:lang w:val="en-US" w:eastAsia="zh-CN"/>
              </w:rPr>
              <w:t>1.6</w:t>
            </w:r>
            <w:r>
              <w:rPr>
                <w:rFonts w:hint="eastAsia" w:ascii="宋体" w:hAnsi="宋体" w:eastAsia="宋体" w:cs="宋体"/>
                <w:sz w:val="22"/>
                <w:szCs w:val="22"/>
              </w:rPr>
              <w:t>系统长期安全性能</w:t>
            </w:r>
            <w:r>
              <w:rPr>
                <w:rFonts w:hint="eastAsia" w:ascii="宋体" w:hAnsi="宋体" w:eastAsia="宋体" w:cs="宋体"/>
                <w:sz w:val="22"/>
                <w:szCs w:val="22"/>
                <w:lang w:eastAsia="zh-CN"/>
              </w:rPr>
              <w:t>。</w:t>
            </w:r>
          </w:p>
          <w:p w14:paraId="5EEBD639">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1.7</w:t>
            </w:r>
            <w:r>
              <w:rPr>
                <w:rFonts w:hint="eastAsia" w:ascii="宋体" w:hAnsi="宋体" w:eastAsia="宋体" w:cs="宋体"/>
                <w:sz w:val="22"/>
                <w:szCs w:val="22"/>
              </w:rPr>
              <w:t>网络连接的可靠性。</w:t>
            </w:r>
          </w:p>
          <w:p w14:paraId="77436639">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2.</w:t>
            </w:r>
            <w:r>
              <w:rPr>
                <w:rFonts w:hint="eastAsia" w:ascii="宋体" w:hAnsi="宋体" w:eastAsia="宋体" w:cs="宋体"/>
                <w:b/>
                <w:bCs/>
                <w:sz w:val="22"/>
                <w:szCs w:val="22"/>
              </w:rPr>
              <w:t>系统稳定性和可靠性</w:t>
            </w:r>
          </w:p>
          <w:p w14:paraId="3924D149">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sz w:val="22"/>
                <w:szCs w:val="22"/>
                <w:lang w:val="en-US" w:eastAsia="zh-CN"/>
              </w:rPr>
              <w:t>2.1</w:t>
            </w:r>
            <w:r>
              <w:rPr>
                <w:rFonts w:hint="eastAsia" w:ascii="宋体" w:hAnsi="宋体" w:eastAsia="宋体" w:cs="宋体"/>
                <w:sz w:val="22"/>
                <w:szCs w:val="22"/>
              </w:rPr>
              <w:t>不同天气等条件下，系统工作的稳定性、可靠性和功能、指标的正确性</w:t>
            </w:r>
            <w:r>
              <w:rPr>
                <w:rFonts w:hint="eastAsia" w:ascii="宋体" w:hAnsi="宋体" w:eastAsia="宋体" w:cs="宋体"/>
                <w:sz w:val="22"/>
                <w:szCs w:val="22"/>
                <w:lang w:eastAsia="zh-CN"/>
              </w:rPr>
              <w:t>。</w:t>
            </w:r>
          </w:p>
          <w:p w14:paraId="0D86A668">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sz w:val="22"/>
                <w:szCs w:val="22"/>
                <w:lang w:val="en-US" w:eastAsia="zh-CN"/>
              </w:rPr>
              <w:t>2.2</w:t>
            </w:r>
            <w:r>
              <w:rPr>
                <w:rFonts w:hint="eastAsia" w:ascii="宋体" w:hAnsi="宋体" w:eastAsia="宋体" w:cs="宋体"/>
                <w:sz w:val="22"/>
                <w:szCs w:val="22"/>
              </w:rPr>
              <w:t>在各种工况条件下，特别是在局部故障或个别设备故障时，系统整体功能的正确性</w:t>
            </w:r>
            <w:r>
              <w:rPr>
                <w:rFonts w:hint="eastAsia" w:ascii="宋体" w:hAnsi="宋体" w:eastAsia="宋体" w:cs="宋体"/>
                <w:sz w:val="22"/>
                <w:szCs w:val="22"/>
                <w:lang w:eastAsia="zh-CN"/>
              </w:rPr>
              <w:t>。</w:t>
            </w:r>
          </w:p>
          <w:p w14:paraId="3A2993BA">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sz w:val="22"/>
                <w:szCs w:val="22"/>
                <w:lang w:val="en-US" w:eastAsia="zh-CN"/>
              </w:rPr>
              <w:t>2.3</w:t>
            </w:r>
            <w:r>
              <w:rPr>
                <w:rFonts w:hint="eastAsia" w:ascii="宋体" w:hAnsi="宋体" w:eastAsia="宋体" w:cs="宋体"/>
                <w:sz w:val="22"/>
                <w:szCs w:val="22"/>
              </w:rPr>
              <w:t>各种环境、工况条件下，设备的安全保护性能和系统的工作性能</w:t>
            </w:r>
            <w:r>
              <w:rPr>
                <w:rFonts w:hint="eastAsia" w:ascii="宋体" w:hAnsi="宋体" w:eastAsia="宋体" w:cs="宋体"/>
                <w:sz w:val="22"/>
                <w:szCs w:val="22"/>
                <w:lang w:val="en-US" w:eastAsia="zh-CN"/>
              </w:rPr>
              <w:t>。</w:t>
            </w:r>
          </w:p>
          <w:p w14:paraId="7FACD2F4">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2.4</w:t>
            </w:r>
            <w:r>
              <w:rPr>
                <w:rFonts w:hint="eastAsia" w:ascii="宋体" w:hAnsi="宋体" w:eastAsia="宋体" w:cs="宋体"/>
                <w:sz w:val="22"/>
                <w:szCs w:val="22"/>
              </w:rPr>
              <w:t>各种环境、工况条件下，远程控制功能在实际操作中的安全性能。</w:t>
            </w:r>
          </w:p>
          <w:p w14:paraId="09DCA099">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w:t>
            </w:r>
            <w:r>
              <w:rPr>
                <w:rFonts w:hint="eastAsia" w:ascii="宋体" w:hAnsi="宋体" w:eastAsia="宋体" w:cs="宋体"/>
                <w:b/>
                <w:bCs/>
                <w:sz w:val="22"/>
                <w:szCs w:val="22"/>
              </w:rPr>
              <w:t>检验系统实际应用效果和应用功能的完善</w:t>
            </w:r>
          </w:p>
          <w:p w14:paraId="128B334A">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3.1</w:t>
            </w:r>
            <w:r>
              <w:rPr>
                <w:rFonts w:hint="eastAsia" w:ascii="宋体" w:hAnsi="宋体" w:eastAsia="宋体" w:cs="宋体"/>
                <w:sz w:val="22"/>
                <w:szCs w:val="22"/>
              </w:rPr>
              <w:t>硬件满足</w:t>
            </w:r>
            <w:r>
              <w:rPr>
                <w:rFonts w:hint="eastAsia" w:ascii="宋体" w:hAnsi="宋体" w:eastAsia="宋体" w:cs="宋体"/>
                <w:sz w:val="22"/>
                <w:szCs w:val="22"/>
                <w:lang w:val="en-US" w:eastAsia="zh-CN"/>
              </w:rPr>
              <w:t>磋商</w:t>
            </w:r>
            <w:r>
              <w:rPr>
                <w:rFonts w:hint="eastAsia" w:ascii="宋体" w:hAnsi="宋体" w:eastAsia="宋体" w:cs="宋体"/>
                <w:sz w:val="22"/>
                <w:szCs w:val="22"/>
              </w:rPr>
              <w:t>文件及合同要求。</w:t>
            </w:r>
          </w:p>
          <w:p w14:paraId="367FAFED">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3.2</w:t>
            </w:r>
            <w:r>
              <w:rPr>
                <w:rFonts w:hint="eastAsia" w:ascii="宋体" w:hAnsi="宋体" w:eastAsia="宋体" w:cs="宋体"/>
                <w:sz w:val="22"/>
                <w:szCs w:val="22"/>
              </w:rPr>
              <w:t>机房物理环境监控系统正常运作。</w:t>
            </w:r>
          </w:p>
          <w:p w14:paraId="5BEBA415">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3.3</w:t>
            </w:r>
            <w:r>
              <w:rPr>
                <w:rFonts w:hint="eastAsia" w:ascii="宋体" w:hAnsi="宋体" w:eastAsia="宋体" w:cs="宋体"/>
                <w:sz w:val="22"/>
                <w:szCs w:val="22"/>
              </w:rPr>
              <w:t>安全审计系统能够对经过处理区的数据进行审计，有效分析数据库安全事件。</w:t>
            </w:r>
          </w:p>
          <w:p w14:paraId="08996953">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3.4</w:t>
            </w:r>
            <w:r>
              <w:rPr>
                <w:rFonts w:hint="eastAsia" w:ascii="宋体" w:hAnsi="宋体" w:eastAsia="宋体" w:cs="宋体"/>
                <w:sz w:val="22"/>
                <w:szCs w:val="22"/>
              </w:rPr>
              <w:t>内网漏洞扫描系统</w:t>
            </w:r>
            <w:r>
              <w:rPr>
                <w:rFonts w:hint="eastAsia" w:ascii="宋体" w:hAnsi="宋体" w:eastAsia="宋体" w:cs="宋体"/>
                <w:sz w:val="22"/>
                <w:szCs w:val="22"/>
                <w:lang w:val="en-US" w:eastAsia="zh-CN"/>
              </w:rPr>
              <w:t>可</w:t>
            </w:r>
            <w:r>
              <w:rPr>
                <w:rFonts w:hint="eastAsia" w:ascii="宋体" w:hAnsi="宋体" w:eastAsia="宋体" w:cs="宋体"/>
                <w:sz w:val="22"/>
                <w:szCs w:val="22"/>
              </w:rPr>
              <w:t>有效解决当前系统中的各种安全漏洞。</w:t>
            </w:r>
          </w:p>
          <w:p w14:paraId="708B652D">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sz w:val="22"/>
                <w:szCs w:val="22"/>
                <w:lang w:val="en-US" w:eastAsia="zh-CN"/>
              </w:rPr>
              <w:t>3.5</w:t>
            </w:r>
            <w:r>
              <w:rPr>
                <w:rFonts w:hint="eastAsia" w:ascii="宋体" w:hAnsi="宋体" w:eastAsia="宋体" w:cs="宋体"/>
                <w:sz w:val="22"/>
                <w:szCs w:val="22"/>
              </w:rPr>
              <w:t>安全网关</w:t>
            </w:r>
            <w:r>
              <w:rPr>
                <w:rFonts w:hint="eastAsia" w:ascii="宋体" w:hAnsi="宋体" w:eastAsia="宋体" w:cs="宋体"/>
                <w:sz w:val="22"/>
                <w:szCs w:val="22"/>
                <w:lang w:val="en-US" w:eastAsia="zh-CN"/>
              </w:rPr>
              <w:t>可</w:t>
            </w:r>
            <w:r>
              <w:rPr>
                <w:rFonts w:hint="eastAsia" w:ascii="宋体" w:hAnsi="宋体" w:eastAsia="宋体" w:cs="宋体"/>
                <w:sz w:val="22"/>
                <w:szCs w:val="22"/>
              </w:rPr>
              <w:t>有效加强入侵防护和防病毒功能。</w:t>
            </w:r>
          </w:p>
          <w:p w14:paraId="0B061BB2">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3.6</w:t>
            </w:r>
            <w:r>
              <w:rPr>
                <w:rFonts w:hint="eastAsia" w:ascii="宋体" w:hAnsi="宋体" w:eastAsia="宋体" w:cs="宋体"/>
                <w:sz w:val="22"/>
                <w:szCs w:val="22"/>
                <w:lang w:eastAsia="zh-CN"/>
              </w:rPr>
              <w:t>其他应用</w:t>
            </w:r>
            <w:r>
              <w:rPr>
                <w:rFonts w:hint="eastAsia" w:ascii="宋体" w:hAnsi="宋体" w:eastAsia="宋体" w:cs="宋体"/>
                <w:sz w:val="22"/>
                <w:szCs w:val="22"/>
              </w:rPr>
              <w:t>。</w:t>
            </w:r>
          </w:p>
          <w:p w14:paraId="6694369B">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4.</w:t>
            </w:r>
            <w:r>
              <w:rPr>
                <w:rFonts w:hint="eastAsia" w:ascii="宋体" w:hAnsi="宋体" w:eastAsia="宋体" w:cs="宋体"/>
                <w:b/>
                <w:bCs/>
                <w:sz w:val="22"/>
                <w:szCs w:val="22"/>
              </w:rPr>
              <w:t>管理体制</w:t>
            </w:r>
            <w:r>
              <w:rPr>
                <w:rFonts w:hint="eastAsia" w:ascii="宋体" w:hAnsi="宋体" w:eastAsia="宋体" w:cs="宋体"/>
                <w:b/>
                <w:bCs/>
                <w:sz w:val="22"/>
                <w:szCs w:val="22"/>
                <w:lang w:eastAsia="zh-CN"/>
              </w:rPr>
              <w:t>、</w:t>
            </w:r>
            <w:r>
              <w:rPr>
                <w:rFonts w:hint="eastAsia" w:ascii="宋体" w:hAnsi="宋体" w:eastAsia="宋体" w:cs="宋体"/>
                <w:b/>
                <w:bCs/>
                <w:sz w:val="22"/>
                <w:szCs w:val="22"/>
              </w:rPr>
              <w:t>运行操作</w:t>
            </w:r>
            <w:r>
              <w:rPr>
                <w:rFonts w:hint="eastAsia" w:ascii="宋体" w:hAnsi="宋体" w:eastAsia="宋体" w:cs="宋体"/>
                <w:b/>
                <w:bCs/>
                <w:sz w:val="22"/>
                <w:szCs w:val="22"/>
                <w:lang w:val="en-US" w:eastAsia="zh-CN"/>
              </w:rPr>
              <w:t>和</w:t>
            </w:r>
            <w:r>
              <w:rPr>
                <w:rFonts w:hint="eastAsia" w:ascii="宋体" w:hAnsi="宋体" w:eastAsia="宋体" w:cs="宋体"/>
                <w:b/>
                <w:bCs/>
                <w:sz w:val="22"/>
                <w:szCs w:val="22"/>
              </w:rPr>
              <w:t>系统维护规范</w:t>
            </w:r>
          </w:p>
          <w:p w14:paraId="77BCBCDA">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4.1</w:t>
            </w:r>
            <w:r>
              <w:rPr>
                <w:rFonts w:hint="eastAsia" w:ascii="宋体" w:hAnsi="宋体" w:eastAsia="宋体" w:cs="宋体"/>
                <w:sz w:val="22"/>
                <w:szCs w:val="22"/>
              </w:rPr>
              <w:t>建立专责管理队伍。</w:t>
            </w:r>
          </w:p>
          <w:p w14:paraId="32967AC5">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4.2</w:t>
            </w:r>
            <w:r>
              <w:rPr>
                <w:rFonts w:hint="eastAsia" w:ascii="宋体" w:hAnsi="宋体" w:eastAsia="宋体" w:cs="宋体"/>
                <w:sz w:val="22"/>
                <w:szCs w:val="22"/>
              </w:rPr>
              <w:t>建立健全运行操作规程。</w:t>
            </w:r>
          </w:p>
          <w:p w14:paraId="345F6C8E">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4.3</w:t>
            </w:r>
            <w:r>
              <w:rPr>
                <w:rFonts w:hint="eastAsia" w:ascii="宋体" w:hAnsi="宋体" w:eastAsia="宋体" w:cs="宋体"/>
                <w:sz w:val="22"/>
                <w:szCs w:val="22"/>
              </w:rPr>
              <w:t>建立健全系统日常维护规范。</w:t>
            </w:r>
          </w:p>
          <w:p w14:paraId="2D7821C7">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4.4</w:t>
            </w:r>
            <w:r>
              <w:rPr>
                <w:rFonts w:hint="eastAsia" w:ascii="宋体" w:hAnsi="宋体" w:eastAsia="宋体" w:cs="宋体"/>
                <w:sz w:val="22"/>
                <w:szCs w:val="22"/>
              </w:rPr>
              <w:t>建立设备运行档案。</w:t>
            </w:r>
          </w:p>
          <w:p w14:paraId="75C2EE3B">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试运行期间，主要工作有</w:t>
            </w:r>
            <w:r>
              <w:rPr>
                <w:rFonts w:hint="eastAsia" w:ascii="宋体" w:hAnsi="宋体" w:eastAsia="宋体" w:cs="宋体"/>
                <w:sz w:val="22"/>
                <w:szCs w:val="22"/>
                <w:lang w:val="en-US" w:eastAsia="zh-CN"/>
              </w:rPr>
              <w:t>包括但不限于</w:t>
            </w:r>
            <w:r>
              <w:rPr>
                <w:rFonts w:hint="eastAsia" w:ascii="宋体" w:hAnsi="宋体" w:eastAsia="宋体" w:cs="宋体"/>
                <w:sz w:val="22"/>
                <w:szCs w:val="22"/>
              </w:rPr>
              <w:t>安排人员培训并进行实际操作；对系统进行日常操作，并予以记录；对系统发生的问题，分重点分层次地予以解决，并由此提出针对性的措施。发现并总结系统运行中的管理和维护问题，总结经验，</w:t>
            </w:r>
            <w:r>
              <w:rPr>
                <w:rFonts w:hint="eastAsia" w:ascii="宋体" w:hAnsi="宋体" w:eastAsia="宋体" w:cs="宋体"/>
                <w:sz w:val="22"/>
                <w:szCs w:val="22"/>
                <w:lang w:val="en-US" w:eastAsia="zh-CN"/>
              </w:rPr>
              <w:t>为</w:t>
            </w:r>
            <w:r>
              <w:rPr>
                <w:rFonts w:hint="eastAsia" w:ascii="宋体" w:hAnsi="宋体" w:eastAsia="宋体" w:cs="宋体"/>
                <w:sz w:val="22"/>
                <w:szCs w:val="22"/>
              </w:rPr>
              <w:t>系统正常运行</w:t>
            </w:r>
            <w:r>
              <w:rPr>
                <w:rFonts w:hint="eastAsia" w:ascii="宋体" w:hAnsi="宋体" w:eastAsia="宋体" w:cs="宋体"/>
                <w:sz w:val="22"/>
                <w:szCs w:val="22"/>
                <w:lang w:val="en-US" w:eastAsia="zh-CN"/>
              </w:rPr>
              <w:t>提供参考依据</w:t>
            </w:r>
            <w:r>
              <w:rPr>
                <w:rFonts w:hint="eastAsia" w:ascii="宋体" w:hAnsi="宋体" w:eastAsia="宋体" w:cs="宋体"/>
                <w:sz w:val="22"/>
                <w:szCs w:val="22"/>
              </w:rPr>
              <w:t>。</w:t>
            </w:r>
          </w:p>
          <w:p w14:paraId="1B1C55C5">
            <w:pPr>
              <w:pStyle w:val="5"/>
              <w:pageBreakBefore w:val="0"/>
              <w:numPr>
                <w:ilvl w:val="2"/>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bookmarkStart w:id="55" w:name="_Toc173501850"/>
            <w:r>
              <w:rPr>
                <w:rFonts w:hint="eastAsia" w:ascii="宋体" w:hAnsi="宋体" w:eastAsia="宋体" w:cs="宋体"/>
                <w:b/>
                <w:bCs/>
                <w:kern w:val="2"/>
                <w:sz w:val="22"/>
                <w:szCs w:val="22"/>
                <w:lang w:val="en-US" w:eastAsia="zh-CN" w:bidi="ar-SA"/>
              </w:rPr>
              <w:t>（三）</w:t>
            </w:r>
            <w:r>
              <w:rPr>
                <w:rFonts w:hint="eastAsia" w:ascii="宋体" w:hAnsi="宋体" w:eastAsia="宋体" w:cs="宋体"/>
                <w:sz w:val="22"/>
                <w:szCs w:val="22"/>
              </w:rPr>
              <w:t>试运行制度</w:t>
            </w:r>
            <w:bookmarkEnd w:id="55"/>
          </w:p>
          <w:p w14:paraId="01FC02A6">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试运行</w:t>
            </w:r>
            <w:r>
              <w:rPr>
                <w:rFonts w:hint="eastAsia" w:ascii="宋体" w:hAnsi="宋体" w:eastAsia="宋体" w:cs="宋体"/>
                <w:sz w:val="22"/>
                <w:szCs w:val="22"/>
                <w:lang w:val="en-US" w:eastAsia="zh-CN"/>
              </w:rPr>
              <w:t>期间</w:t>
            </w:r>
            <w:r>
              <w:rPr>
                <w:rFonts w:hint="eastAsia" w:ascii="宋体" w:hAnsi="宋体" w:eastAsia="宋体" w:cs="宋体"/>
                <w:sz w:val="22"/>
                <w:szCs w:val="22"/>
              </w:rPr>
              <w:t>，</w:t>
            </w:r>
            <w:r>
              <w:rPr>
                <w:rFonts w:hint="eastAsia" w:ascii="宋体" w:hAnsi="宋体" w:eastAsia="宋体" w:cs="宋体"/>
                <w:sz w:val="22"/>
                <w:szCs w:val="22"/>
                <w:lang w:val="en-US" w:eastAsia="zh-CN"/>
              </w:rPr>
              <w:t>成交供应商</w:t>
            </w:r>
            <w:r>
              <w:rPr>
                <w:rFonts w:hint="eastAsia" w:ascii="宋体" w:hAnsi="宋体" w:eastAsia="宋体" w:cs="宋体"/>
                <w:sz w:val="22"/>
                <w:szCs w:val="22"/>
              </w:rPr>
              <w:t>需要有固定的人员安排、可操作的规章制度、实际</w:t>
            </w:r>
            <w:r>
              <w:rPr>
                <w:rFonts w:hint="eastAsia" w:ascii="宋体" w:hAnsi="宋体" w:eastAsia="宋体" w:cs="宋体"/>
                <w:sz w:val="22"/>
                <w:szCs w:val="22"/>
                <w:lang w:val="en-US" w:eastAsia="zh-CN"/>
              </w:rPr>
              <w:t>运行</w:t>
            </w:r>
            <w:r>
              <w:rPr>
                <w:rFonts w:hint="eastAsia" w:ascii="宋体" w:hAnsi="宋体" w:eastAsia="宋体" w:cs="宋体"/>
                <w:sz w:val="22"/>
                <w:szCs w:val="22"/>
              </w:rPr>
              <w:t>记录内容</w:t>
            </w:r>
            <w:r>
              <w:rPr>
                <w:rFonts w:hint="eastAsia" w:ascii="宋体" w:hAnsi="宋体" w:eastAsia="宋体" w:cs="宋体"/>
                <w:sz w:val="22"/>
                <w:szCs w:val="22"/>
                <w:lang w:val="en-US" w:eastAsia="zh-CN"/>
              </w:rPr>
              <w:t>并制定完善的</w:t>
            </w:r>
            <w:r>
              <w:rPr>
                <w:rFonts w:hint="eastAsia" w:ascii="宋体" w:hAnsi="宋体" w:eastAsia="宋体" w:cs="宋体"/>
                <w:sz w:val="22"/>
                <w:szCs w:val="22"/>
              </w:rPr>
              <w:t>问题处理流程和方法。</w:t>
            </w:r>
          </w:p>
          <w:p w14:paraId="05487230">
            <w:pPr>
              <w:pStyle w:val="5"/>
              <w:pageBreakBefore w:val="0"/>
              <w:numPr>
                <w:ilvl w:val="2"/>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bookmarkStart w:id="56" w:name="_Toc173501862"/>
            <w:r>
              <w:rPr>
                <w:rFonts w:hint="eastAsia" w:ascii="宋体" w:hAnsi="宋体" w:eastAsia="宋体" w:cs="宋体"/>
                <w:b/>
                <w:bCs/>
                <w:kern w:val="2"/>
                <w:sz w:val="22"/>
                <w:szCs w:val="22"/>
                <w:lang w:val="en-US" w:eastAsia="zh-CN" w:bidi="ar-SA"/>
              </w:rPr>
              <w:t>六、</w:t>
            </w:r>
            <w:r>
              <w:rPr>
                <w:rFonts w:hint="eastAsia" w:ascii="宋体" w:hAnsi="宋体" w:eastAsia="宋体" w:cs="宋体"/>
                <w:sz w:val="22"/>
                <w:szCs w:val="22"/>
              </w:rPr>
              <w:t>工程移交</w:t>
            </w:r>
            <w:bookmarkEnd w:id="56"/>
          </w:p>
          <w:p w14:paraId="434E5822">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b w:val="0"/>
                <w:bCs w:val="0"/>
                <w:kern w:val="2"/>
                <w:sz w:val="22"/>
                <w:szCs w:val="22"/>
                <w:lang w:val="en-US" w:eastAsia="zh-CN" w:bidi="ar-SA"/>
              </w:rPr>
              <w:t>（一）</w:t>
            </w:r>
            <w:r>
              <w:rPr>
                <w:rFonts w:hint="eastAsia" w:ascii="宋体" w:hAnsi="宋体" w:eastAsia="宋体" w:cs="宋体"/>
                <w:sz w:val="22"/>
                <w:szCs w:val="22"/>
                <w:lang w:val="en-US" w:eastAsia="zh-CN"/>
              </w:rPr>
              <w:t>本项目验收通过或基本通过后，设计单位和成交供应商需按规定整理编制竣工资料（一式三份），经采购人签收盖章后归档。</w:t>
            </w:r>
          </w:p>
          <w:p w14:paraId="4DEE787C">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（二）资料归档与移交应符合下列规定：</w:t>
            </w:r>
          </w:p>
          <w:p w14:paraId="2530B9B4">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1.提供经修改、校对的验收资料。</w:t>
            </w:r>
          </w:p>
          <w:p w14:paraId="79A41393">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2.提供验收结论汇总表及其附表（含验收会与会人员名单与验收机构名单）。</w:t>
            </w:r>
          </w:p>
          <w:p w14:paraId="78F36F6F">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3.提供根据验收结论提出的且经采购人认可的整改措施。</w:t>
            </w:r>
          </w:p>
          <w:p w14:paraId="2B8AAEDC">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4.采购人应有专人负责操作、维护，并建立完善的数据管理等制度。设计单位和成交供应商应履行售后服务承诺。</w:t>
            </w:r>
          </w:p>
          <w:p w14:paraId="5E5D7F8C">
            <w:pPr>
              <w:pStyle w:val="5"/>
              <w:pageBreakBefore w:val="0"/>
              <w:numPr>
                <w:ilvl w:val="2"/>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bookmarkStart w:id="57" w:name="_Toc173501863"/>
            <w:r>
              <w:rPr>
                <w:rFonts w:hint="eastAsia" w:ascii="宋体" w:hAnsi="宋体" w:eastAsia="宋体" w:cs="宋体"/>
                <w:b/>
                <w:bCs/>
                <w:kern w:val="2"/>
                <w:sz w:val="22"/>
                <w:szCs w:val="22"/>
                <w:lang w:val="en-US" w:eastAsia="zh-CN" w:bidi="ar-SA"/>
              </w:rPr>
              <w:t>七、</w:t>
            </w:r>
            <w:r>
              <w:rPr>
                <w:rFonts w:hint="eastAsia" w:ascii="宋体" w:hAnsi="宋体" w:eastAsia="宋体" w:cs="宋体"/>
                <w:sz w:val="22"/>
                <w:szCs w:val="22"/>
              </w:rPr>
              <w:t>项目交付</w:t>
            </w:r>
            <w:bookmarkEnd w:id="57"/>
          </w:p>
          <w:p w14:paraId="29102D7E">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
                <w:bCs/>
                <w:color w:val="auto"/>
                <w:sz w:val="22"/>
                <w:szCs w:val="22"/>
                <w:highlight w:val="none"/>
                <w:shd w:val="clear" w:color="FFFFFF" w:fill="D9D9D9"/>
                <w:lang w:bidi="ar"/>
              </w:rPr>
            </w:pPr>
            <w:r>
              <w:rPr>
                <w:rFonts w:hint="eastAsia" w:ascii="宋体" w:hAnsi="宋体" w:eastAsia="宋体" w:cs="宋体"/>
                <w:sz w:val="22"/>
                <w:szCs w:val="22"/>
                <w:lang w:val="en-US" w:eastAsia="zh-CN"/>
              </w:rPr>
              <w:t>综合验收通过后，系统正式交付采购人，最终交付时间为整个项目正式交付采购人使用的时间。</w:t>
            </w:r>
          </w:p>
        </w:tc>
        <w:tc>
          <w:tcPr>
            <w:tcW w:w="1208" w:type="dxa"/>
          </w:tcPr>
          <w:p w14:paraId="02641E8E">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3215604C">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0730BE55">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013130CE">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30971975">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r w14:paraId="74F613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0" w:type="dxa"/>
            <w:vAlign w:val="center"/>
          </w:tcPr>
          <w:p w14:paraId="3B0898DF">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28</w:t>
            </w:r>
          </w:p>
        </w:tc>
        <w:tc>
          <w:tcPr>
            <w:tcW w:w="660" w:type="dxa"/>
          </w:tcPr>
          <w:p w14:paraId="241C4984">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596" w:type="dxa"/>
          </w:tcPr>
          <w:p w14:paraId="37E124BF">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2"/>
                <w:szCs w:val="22"/>
                <w:highlight w:val="none"/>
              </w:rPr>
            </w:pPr>
          </w:p>
        </w:tc>
        <w:tc>
          <w:tcPr>
            <w:tcW w:w="8236" w:type="dxa"/>
          </w:tcPr>
          <w:p w14:paraId="3E49EFCB">
            <w:pPr>
              <w:pStyle w:val="3"/>
              <w:pageBreakBefore w:val="0"/>
              <w:numPr>
                <w:ilvl w:val="0"/>
                <w:numId w:val="0"/>
              </w:numPr>
              <w:kinsoku/>
              <w:wordWrap/>
              <w:overflowPunct/>
              <w:topLinePunct w:val="0"/>
              <w:autoSpaceDE/>
              <w:autoSpaceDN/>
              <w:bidi w:val="0"/>
              <w:adjustRightInd/>
              <w:snapToGrid/>
              <w:spacing w:before="0" w:after="0" w:line="360" w:lineRule="auto"/>
              <w:ind w:left="0" w:leftChars="0" w:firstLine="0" w:firstLineChars="0"/>
              <w:textAlignment w:val="auto"/>
              <w:rPr>
                <w:rFonts w:hint="eastAsia" w:ascii="宋体" w:hAnsi="宋体" w:eastAsia="宋体" w:cs="宋体"/>
                <w:sz w:val="22"/>
                <w:szCs w:val="22"/>
                <w:lang w:eastAsia="zh-CN"/>
              </w:rPr>
            </w:pPr>
            <w:bookmarkStart w:id="58" w:name="_Toc173501864"/>
            <w:r>
              <w:rPr>
                <w:rFonts w:hint="eastAsia" w:ascii="宋体" w:hAnsi="宋体" w:eastAsia="宋体" w:cs="宋体"/>
                <w:b/>
                <w:bCs/>
                <w:kern w:val="44"/>
                <w:sz w:val="22"/>
                <w:szCs w:val="22"/>
                <w:lang w:val="en-US" w:eastAsia="zh-CN" w:bidi="ar-SA"/>
              </w:rPr>
              <w:t>八、</w:t>
            </w:r>
            <w:r>
              <w:rPr>
                <w:rFonts w:hint="eastAsia" w:ascii="宋体" w:hAnsi="宋体" w:eastAsia="宋体" w:cs="宋体"/>
                <w:sz w:val="22"/>
                <w:szCs w:val="22"/>
              </w:rPr>
              <w:t>项目运行维护</w:t>
            </w:r>
            <w:bookmarkEnd w:id="58"/>
            <w:r>
              <w:rPr>
                <w:rFonts w:hint="eastAsia" w:ascii="宋体" w:hAnsi="宋体" w:eastAsia="宋体" w:cs="宋体"/>
                <w:sz w:val="22"/>
                <w:szCs w:val="22"/>
                <w:lang w:val="en-US" w:eastAsia="zh-CN"/>
              </w:rPr>
              <w:t>要求</w:t>
            </w:r>
          </w:p>
          <w:p w14:paraId="7EB9DA93">
            <w:pPr>
              <w:pStyle w:val="4"/>
              <w:pageBreakBefore w:val="0"/>
              <w:numPr>
                <w:ilvl w:val="1"/>
                <w:numId w:val="0"/>
              </w:numPr>
              <w:kinsoku/>
              <w:wordWrap/>
              <w:overflowPunct/>
              <w:topLinePunct w:val="0"/>
              <w:autoSpaceDE/>
              <w:autoSpaceDN/>
              <w:bidi w:val="0"/>
              <w:adjustRightInd/>
              <w:snapToGrid/>
              <w:spacing w:before="0" w:line="360" w:lineRule="auto"/>
              <w:ind w:left="0" w:leftChars="0" w:firstLine="0" w:firstLineChars="0"/>
              <w:textAlignment w:val="auto"/>
              <w:rPr>
                <w:rFonts w:hint="eastAsia" w:ascii="宋体" w:hAnsi="宋体" w:eastAsia="宋体" w:cs="宋体"/>
                <w:sz w:val="22"/>
                <w:szCs w:val="22"/>
              </w:rPr>
            </w:pPr>
            <w:bookmarkStart w:id="59" w:name="_Toc173501865"/>
            <w:r>
              <w:rPr>
                <w:rFonts w:hint="eastAsia" w:ascii="宋体" w:hAnsi="宋体" w:eastAsia="宋体" w:cs="宋体"/>
                <w:b/>
                <w:bCs/>
                <w:kern w:val="2"/>
                <w:sz w:val="22"/>
                <w:szCs w:val="22"/>
                <w:lang w:val="en-US" w:eastAsia="zh-CN" w:bidi="ar-SA"/>
              </w:rPr>
              <w:t>（一）</w:t>
            </w:r>
            <w:r>
              <w:rPr>
                <w:rFonts w:hint="eastAsia" w:ascii="宋体" w:hAnsi="宋体" w:eastAsia="宋体" w:cs="宋体"/>
                <w:b/>
                <w:bCs w:val="0"/>
                <w:sz w:val="22"/>
                <w:szCs w:val="22"/>
              </w:rPr>
              <w:t>总体要求</w:t>
            </w:r>
            <w:bookmarkEnd w:id="59"/>
          </w:p>
          <w:p w14:paraId="1F485E93">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根据实际情况，为了保障</w:t>
            </w:r>
            <w:r>
              <w:rPr>
                <w:rFonts w:hint="eastAsia" w:ascii="宋体" w:hAnsi="宋体" w:eastAsia="宋体" w:cs="宋体"/>
                <w:sz w:val="22"/>
                <w:szCs w:val="22"/>
                <w:lang w:val="en-US" w:eastAsia="zh-CN"/>
              </w:rPr>
              <w:t>本项目交付后</w:t>
            </w:r>
            <w:r>
              <w:rPr>
                <w:rFonts w:hint="eastAsia" w:ascii="宋体" w:hAnsi="宋体" w:eastAsia="宋体" w:cs="宋体"/>
                <w:sz w:val="22"/>
                <w:szCs w:val="22"/>
              </w:rPr>
              <w:t>的系统正常稳定运行，</w:t>
            </w:r>
            <w:r>
              <w:rPr>
                <w:rFonts w:hint="eastAsia" w:ascii="宋体" w:hAnsi="宋体" w:eastAsia="宋体" w:cs="宋体"/>
                <w:sz w:val="22"/>
                <w:szCs w:val="22"/>
                <w:lang w:val="en-US" w:eastAsia="zh-CN"/>
              </w:rPr>
              <w:t>本项目内容包含3年运维服务，</w:t>
            </w:r>
            <w:r>
              <w:rPr>
                <w:rFonts w:hint="eastAsia" w:ascii="宋体" w:hAnsi="宋体" w:eastAsia="宋体" w:cs="宋体"/>
                <w:sz w:val="22"/>
                <w:szCs w:val="22"/>
              </w:rPr>
              <w:t>由</w:t>
            </w:r>
            <w:r>
              <w:rPr>
                <w:rFonts w:hint="eastAsia" w:ascii="宋体" w:hAnsi="宋体" w:eastAsia="宋体" w:cs="宋体"/>
                <w:sz w:val="22"/>
                <w:szCs w:val="22"/>
                <w:lang w:val="en-US" w:eastAsia="zh-CN"/>
              </w:rPr>
              <w:t>成交供应商提供</w:t>
            </w:r>
            <w:r>
              <w:rPr>
                <w:rFonts w:hint="eastAsia" w:ascii="宋体" w:hAnsi="宋体" w:eastAsia="宋体" w:cs="宋体"/>
                <w:sz w:val="22"/>
                <w:szCs w:val="22"/>
              </w:rPr>
              <w:t>。总体要求如下：</w:t>
            </w:r>
          </w:p>
          <w:p w14:paraId="43A917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1.</w:t>
            </w:r>
            <w:r>
              <w:rPr>
                <w:rFonts w:hint="eastAsia" w:ascii="宋体" w:hAnsi="宋体" w:eastAsia="宋体" w:cs="宋体"/>
                <w:sz w:val="22"/>
                <w:szCs w:val="22"/>
              </w:rPr>
              <w:t>本项目</w:t>
            </w:r>
            <w:r>
              <w:rPr>
                <w:rFonts w:hint="eastAsia" w:ascii="宋体" w:hAnsi="宋体" w:eastAsia="宋体" w:cs="宋体"/>
                <w:sz w:val="22"/>
                <w:szCs w:val="22"/>
                <w:lang w:val="en-US" w:eastAsia="zh-CN"/>
              </w:rPr>
              <w:t>运维</w:t>
            </w:r>
            <w:r>
              <w:rPr>
                <w:rFonts w:hint="eastAsia" w:ascii="宋体" w:hAnsi="宋体" w:eastAsia="宋体" w:cs="宋体"/>
                <w:sz w:val="22"/>
                <w:szCs w:val="22"/>
              </w:rPr>
              <w:t>期为3年，自项目通过</w:t>
            </w:r>
            <w:r>
              <w:rPr>
                <w:rFonts w:hint="eastAsia" w:ascii="宋体" w:hAnsi="宋体" w:eastAsia="宋体" w:cs="宋体"/>
                <w:sz w:val="22"/>
                <w:szCs w:val="22"/>
                <w:lang w:val="en-US" w:eastAsia="zh-CN"/>
              </w:rPr>
              <w:t>综合</w:t>
            </w:r>
            <w:r>
              <w:rPr>
                <w:rFonts w:hint="eastAsia" w:ascii="宋体" w:hAnsi="宋体" w:eastAsia="宋体" w:cs="宋体"/>
                <w:sz w:val="22"/>
                <w:szCs w:val="22"/>
              </w:rPr>
              <w:t>验收之日起计算。</w:t>
            </w:r>
          </w:p>
          <w:p w14:paraId="25C962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highlight w:val="none"/>
              </w:rPr>
            </w:pPr>
            <w:r>
              <w:rPr>
                <w:rFonts w:hint="eastAsia" w:ascii="宋体" w:hAnsi="宋体" w:eastAsia="宋体" w:cs="宋体"/>
                <w:kern w:val="2"/>
                <w:sz w:val="22"/>
                <w:szCs w:val="22"/>
                <w:lang w:val="en-US" w:eastAsia="zh-CN" w:bidi="ar-SA"/>
              </w:rPr>
              <w:t>2.</w:t>
            </w:r>
            <w:r>
              <w:rPr>
                <w:rFonts w:hint="eastAsia" w:ascii="宋体" w:hAnsi="宋体" w:eastAsia="宋体" w:cs="宋体"/>
                <w:sz w:val="22"/>
                <w:szCs w:val="22"/>
              </w:rPr>
              <w:t>设备故障报修的响应时间</w:t>
            </w:r>
            <w:r>
              <w:rPr>
                <w:rFonts w:hint="eastAsia" w:ascii="宋体" w:hAnsi="宋体" w:eastAsia="宋体" w:cs="宋体"/>
                <w:sz w:val="22"/>
                <w:szCs w:val="22"/>
                <w:lang w:val="en-US" w:eastAsia="zh-CN"/>
              </w:rPr>
              <w:t>要求</w:t>
            </w:r>
            <w:r>
              <w:rPr>
                <w:rFonts w:hint="eastAsia" w:ascii="宋体" w:hAnsi="宋体" w:eastAsia="宋体" w:cs="宋体"/>
                <w:sz w:val="22"/>
                <w:szCs w:val="22"/>
              </w:rPr>
              <w:t>：1小时</w:t>
            </w:r>
            <w:r>
              <w:rPr>
                <w:rFonts w:hint="eastAsia" w:ascii="宋体" w:hAnsi="宋体" w:eastAsia="宋体" w:cs="宋体"/>
                <w:sz w:val="22"/>
                <w:szCs w:val="22"/>
                <w:lang w:val="en-US" w:eastAsia="zh-CN"/>
              </w:rPr>
              <w:t>内响应</w:t>
            </w:r>
            <w:r>
              <w:rPr>
                <w:rFonts w:hint="eastAsia" w:ascii="宋体" w:hAnsi="宋体" w:eastAsia="宋体" w:cs="宋体"/>
                <w:sz w:val="22"/>
                <w:szCs w:val="22"/>
              </w:rPr>
              <w:t>，若电话无法解决</w:t>
            </w:r>
            <w:r>
              <w:rPr>
                <w:rFonts w:hint="eastAsia" w:ascii="宋体" w:hAnsi="宋体" w:eastAsia="宋体" w:cs="宋体"/>
                <w:sz w:val="22"/>
                <w:szCs w:val="22"/>
                <w:lang w:val="en-US" w:eastAsia="zh-CN"/>
              </w:rPr>
              <w:t>的</w:t>
            </w:r>
            <w:r>
              <w:rPr>
                <w:rFonts w:hint="eastAsia" w:ascii="宋体" w:hAnsi="宋体" w:eastAsia="宋体" w:cs="宋体"/>
                <w:sz w:val="22"/>
                <w:szCs w:val="22"/>
              </w:rPr>
              <w:t>，运维人员应到达现场进行维护，</w:t>
            </w:r>
            <w:r>
              <w:rPr>
                <w:rFonts w:hint="eastAsia" w:ascii="宋体" w:hAnsi="宋体" w:eastAsia="宋体" w:cs="宋体"/>
                <w:sz w:val="22"/>
                <w:szCs w:val="22"/>
                <w:lang w:val="en-US" w:eastAsia="zh-CN"/>
              </w:rPr>
              <w:t>一般情况在24小时内</w:t>
            </w:r>
            <w:r>
              <w:rPr>
                <w:rFonts w:hint="eastAsia" w:ascii="宋体" w:hAnsi="宋体" w:eastAsia="宋体" w:cs="宋体"/>
                <w:sz w:val="22"/>
                <w:szCs w:val="22"/>
                <w:highlight w:val="none"/>
              </w:rPr>
              <w:t>排除故障。</w:t>
            </w:r>
          </w:p>
          <w:p w14:paraId="47E1FF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highlight w:val="none"/>
              </w:rPr>
            </w:pPr>
            <w:r>
              <w:rPr>
                <w:rFonts w:hint="eastAsia" w:ascii="宋体" w:hAnsi="宋体" w:eastAsia="宋体" w:cs="宋体"/>
                <w:kern w:val="2"/>
                <w:sz w:val="22"/>
                <w:szCs w:val="22"/>
                <w:highlight w:val="none"/>
                <w:lang w:val="en-US" w:eastAsia="zh-CN" w:bidi="ar-SA"/>
              </w:rPr>
              <w:t>3.</w:t>
            </w:r>
            <w:r>
              <w:rPr>
                <w:rFonts w:hint="eastAsia" w:ascii="宋体" w:hAnsi="宋体" w:eastAsia="宋体" w:cs="宋体"/>
                <w:sz w:val="22"/>
                <w:szCs w:val="22"/>
                <w:highlight w:val="none"/>
              </w:rPr>
              <w:t>设备故障报修的到场时间</w:t>
            </w:r>
            <w:r>
              <w:rPr>
                <w:rFonts w:hint="eastAsia" w:ascii="宋体" w:hAnsi="宋体" w:eastAsia="宋体" w:cs="宋体"/>
                <w:sz w:val="22"/>
                <w:szCs w:val="22"/>
                <w:highlight w:val="none"/>
                <w:lang w:val="en-US" w:eastAsia="zh-CN"/>
              </w:rPr>
              <w:t>要求</w:t>
            </w:r>
            <w:r>
              <w:rPr>
                <w:rFonts w:hint="eastAsia" w:ascii="宋体" w:hAnsi="宋体" w:eastAsia="宋体" w:cs="宋体"/>
                <w:sz w:val="22"/>
                <w:szCs w:val="22"/>
                <w:highlight w:val="none"/>
              </w:rPr>
              <w:t>：周一至周五8：30～18:00期间为2小时</w:t>
            </w:r>
            <w:r>
              <w:rPr>
                <w:rFonts w:hint="eastAsia" w:ascii="宋体" w:hAnsi="宋体" w:eastAsia="宋体" w:cs="宋体"/>
                <w:sz w:val="22"/>
                <w:szCs w:val="22"/>
                <w:highlight w:val="none"/>
                <w:lang w:val="en-US" w:eastAsia="zh-CN"/>
              </w:rPr>
              <w:t>内</w:t>
            </w:r>
            <w:r>
              <w:rPr>
                <w:rFonts w:hint="eastAsia" w:ascii="宋体" w:hAnsi="宋体" w:eastAsia="宋体" w:cs="宋体"/>
                <w:sz w:val="22"/>
                <w:szCs w:val="22"/>
                <w:highlight w:val="none"/>
              </w:rPr>
              <w:t>，其余时间为4小时</w:t>
            </w:r>
            <w:r>
              <w:rPr>
                <w:rFonts w:hint="eastAsia" w:ascii="宋体" w:hAnsi="宋体" w:eastAsia="宋体" w:cs="宋体"/>
                <w:sz w:val="22"/>
                <w:szCs w:val="22"/>
                <w:highlight w:val="none"/>
                <w:lang w:val="en-US" w:eastAsia="zh-CN"/>
              </w:rPr>
              <w:t>内</w:t>
            </w:r>
            <w:r>
              <w:rPr>
                <w:rFonts w:hint="eastAsia" w:ascii="宋体" w:hAnsi="宋体" w:eastAsia="宋体" w:cs="宋体"/>
                <w:sz w:val="22"/>
                <w:szCs w:val="22"/>
                <w:highlight w:val="none"/>
              </w:rPr>
              <w:t>，紧急情况下应2小时</w:t>
            </w:r>
            <w:r>
              <w:rPr>
                <w:rFonts w:hint="eastAsia" w:ascii="宋体" w:hAnsi="宋体" w:eastAsia="宋体" w:cs="宋体"/>
                <w:sz w:val="22"/>
                <w:szCs w:val="22"/>
                <w:highlight w:val="none"/>
                <w:lang w:val="en-US" w:eastAsia="zh-CN"/>
              </w:rPr>
              <w:t>内</w:t>
            </w:r>
            <w:r>
              <w:rPr>
                <w:rFonts w:hint="eastAsia" w:ascii="宋体" w:hAnsi="宋体" w:eastAsia="宋体" w:cs="宋体"/>
                <w:sz w:val="22"/>
                <w:szCs w:val="22"/>
                <w:highlight w:val="none"/>
              </w:rPr>
              <w:t>到场，并在</w:t>
            </w:r>
            <w:r>
              <w:rPr>
                <w:rFonts w:hint="eastAsia" w:ascii="宋体" w:hAnsi="宋体" w:eastAsia="宋体" w:cs="宋体"/>
                <w:sz w:val="22"/>
                <w:szCs w:val="22"/>
                <w:highlight w:val="none"/>
                <w:lang w:eastAsia="zh-CN"/>
              </w:rPr>
              <w:t>8</w:t>
            </w:r>
            <w:r>
              <w:rPr>
                <w:rFonts w:hint="eastAsia" w:ascii="宋体" w:hAnsi="宋体" w:eastAsia="宋体" w:cs="宋体"/>
                <w:sz w:val="22"/>
                <w:szCs w:val="22"/>
                <w:highlight w:val="none"/>
              </w:rPr>
              <w:t>小时内排除故障。</w:t>
            </w:r>
          </w:p>
          <w:p w14:paraId="501F25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4.</w:t>
            </w:r>
            <w:r>
              <w:rPr>
                <w:rFonts w:hint="eastAsia" w:ascii="宋体" w:hAnsi="宋体" w:eastAsia="宋体" w:cs="宋体"/>
                <w:sz w:val="22"/>
                <w:szCs w:val="22"/>
              </w:rPr>
              <w:t>如果设备故障</w:t>
            </w:r>
            <w:r>
              <w:rPr>
                <w:rFonts w:hint="eastAsia" w:ascii="宋体" w:hAnsi="宋体" w:eastAsia="宋体" w:cs="宋体"/>
                <w:sz w:val="22"/>
                <w:szCs w:val="22"/>
                <w:lang w:val="en-US" w:eastAsia="zh-CN"/>
              </w:rPr>
              <w:t>在规定时间内</w:t>
            </w:r>
            <w:r>
              <w:rPr>
                <w:rFonts w:hint="eastAsia" w:ascii="宋体" w:hAnsi="宋体" w:eastAsia="宋体" w:cs="宋体"/>
                <w:sz w:val="22"/>
                <w:szCs w:val="22"/>
              </w:rPr>
              <w:t>仍无法排除，</w:t>
            </w:r>
            <w:r>
              <w:rPr>
                <w:rFonts w:hint="eastAsia" w:ascii="宋体" w:hAnsi="宋体" w:eastAsia="宋体" w:cs="宋体"/>
                <w:sz w:val="22"/>
                <w:szCs w:val="22"/>
                <w:lang w:val="en-US" w:eastAsia="zh-CN"/>
              </w:rPr>
              <w:t>成交供应商</w:t>
            </w:r>
            <w:r>
              <w:rPr>
                <w:rFonts w:hint="eastAsia" w:ascii="宋体" w:hAnsi="宋体" w:eastAsia="宋体" w:cs="宋体"/>
                <w:sz w:val="22"/>
                <w:szCs w:val="22"/>
              </w:rPr>
              <w:t>应在24小时内</w:t>
            </w:r>
            <w:r>
              <w:rPr>
                <w:rFonts w:hint="eastAsia" w:ascii="宋体" w:hAnsi="宋体" w:eastAsia="宋体" w:cs="宋体"/>
                <w:sz w:val="22"/>
                <w:szCs w:val="22"/>
                <w:lang w:val="en-US" w:eastAsia="zh-CN"/>
              </w:rPr>
              <w:t>提供</w:t>
            </w:r>
            <w:r>
              <w:rPr>
                <w:rFonts w:hint="eastAsia" w:ascii="宋体" w:hAnsi="宋体" w:eastAsia="宋体" w:cs="宋体"/>
                <w:sz w:val="22"/>
                <w:szCs w:val="22"/>
              </w:rPr>
              <w:t>不低于故障设备规格型号档次的备用设备</w:t>
            </w:r>
            <w:r>
              <w:rPr>
                <w:rFonts w:hint="eastAsia" w:ascii="宋体" w:hAnsi="宋体" w:eastAsia="宋体" w:cs="宋体"/>
                <w:sz w:val="22"/>
                <w:szCs w:val="22"/>
                <w:lang w:val="en-US" w:eastAsia="zh-CN"/>
              </w:rPr>
              <w:t>供采购人</w:t>
            </w:r>
            <w:r>
              <w:rPr>
                <w:rFonts w:hint="eastAsia" w:ascii="宋体" w:hAnsi="宋体" w:eastAsia="宋体" w:cs="宋体"/>
                <w:sz w:val="22"/>
                <w:szCs w:val="22"/>
              </w:rPr>
              <w:t>使用，直至故障设备修复。</w:t>
            </w:r>
            <w:r>
              <w:rPr>
                <w:rFonts w:hint="eastAsia" w:ascii="宋体" w:hAnsi="宋体" w:eastAsia="宋体" w:cs="宋体"/>
                <w:sz w:val="22"/>
                <w:szCs w:val="22"/>
                <w:lang w:val="en-US" w:eastAsia="zh-CN"/>
              </w:rPr>
              <w:t>运维</w:t>
            </w:r>
            <w:r>
              <w:rPr>
                <w:rFonts w:hint="eastAsia" w:ascii="宋体" w:hAnsi="宋体" w:eastAsia="宋体" w:cs="宋体"/>
                <w:sz w:val="22"/>
                <w:szCs w:val="22"/>
              </w:rPr>
              <w:t>期内，</w:t>
            </w:r>
            <w:r>
              <w:rPr>
                <w:rFonts w:hint="eastAsia" w:ascii="宋体" w:hAnsi="宋体" w:eastAsia="宋体" w:cs="宋体"/>
                <w:sz w:val="22"/>
                <w:szCs w:val="22"/>
                <w:lang w:val="en-US" w:eastAsia="zh-CN"/>
              </w:rPr>
              <w:t>成交供应商</w:t>
            </w:r>
            <w:r>
              <w:rPr>
                <w:rFonts w:hint="eastAsia" w:ascii="宋体" w:hAnsi="宋体" w:eastAsia="宋体" w:cs="宋体"/>
                <w:sz w:val="22"/>
                <w:szCs w:val="22"/>
              </w:rPr>
              <w:t>应设置备品备件库，</w:t>
            </w:r>
            <w:r>
              <w:rPr>
                <w:rFonts w:hint="eastAsia" w:ascii="宋体" w:hAnsi="宋体" w:eastAsia="宋体" w:cs="宋体"/>
                <w:sz w:val="22"/>
                <w:szCs w:val="22"/>
                <w:lang w:val="en-US" w:eastAsia="zh-CN"/>
              </w:rPr>
              <w:t>确保</w:t>
            </w:r>
            <w:r>
              <w:rPr>
                <w:rFonts w:hint="eastAsia" w:ascii="宋体" w:hAnsi="宋体" w:eastAsia="宋体" w:cs="宋体"/>
                <w:sz w:val="22"/>
                <w:szCs w:val="22"/>
              </w:rPr>
              <w:t>主要设备</w:t>
            </w:r>
            <w:r>
              <w:rPr>
                <w:rFonts w:hint="eastAsia" w:ascii="宋体" w:hAnsi="宋体" w:eastAsia="宋体" w:cs="宋体"/>
                <w:sz w:val="22"/>
                <w:szCs w:val="22"/>
                <w:lang w:val="en-US" w:eastAsia="zh-CN"/>
              </w:rPr>
              <w:t>均有</w:t>
            </w:r>
            <w:r>
              <w:rPr>
                <w:rFonts w:hint="eastAsia" w:ascii="宋体" w:hAnsi="宋体" w:eastAsia="宋体" w:cs="宋体"/>
                <w:sz w:val="22"/>
                <w:szCs w:val="22"/>
              </w:rPr>
              <w:t>备件可供更换。</w:t>
            </w:r>
          </w:p>
          <w:p w14:paraId="79BE91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5.</w:t>
            </w:r>
            <w:r>
              <w:rPr>
                <w:rFonts w:hint="eastAsia" w:ascii="宋体" w:hAnsi="宋体" w:eastAsia="宋体" w:cs="宋体"/>
                <w:sz w:val="22"/>
                <w:szCs w:val="22"/>
              </w:rPr>
              <w:t>所有设备保修服务均</w:t>
            </w:r>
            <w:r>
              <w:rPr>
                <w:rFonts w:hint="eastAsia" w:ascii="宋体" w:hAnsi="宋体" w:eastAsia="宋体" w:cs="宋体"/>
                <w:sz w:val="22"/>
                <w:szCs w:val="22"/>
                <w:lang w:val="en-US" w:eastAsia="zh-CN"/>
              </w:rPr>
              <w:t>由成交供应商</w:t>
            </w:r>
            <w:r>
              <w:rPr>
                <w:rFonts w:hint="eastAsia" w:ascii="宋体" w:hAnsi="宋体" w:eastAsia="宋体" w:cs="宋体"/>
                <w:sz w:val="22"/>
                <w:szCs w:val="22"/>
              </w:rPr>
              <w:t>或原厂家</w:t>
            </w:r>
            <w:r>
              <w:rPr>
                <w:rFonts w:hint="eastAsia" w:ascii="宋体" w:hAnsi="宋体" w:eastAsia="宋体" w:cs="宋体"/>
                <w:sz w:val="22"/>
                <w:szCs w:val="22"/>
                <w:lang w:val="en-US" w:eastAsia="zh-CN"/>
              </w:rPr>
              <w:t>提供</w:t>
            </w:r>
            <w:r>
              <w:rPr>
                <w:rFonts w:hint="eastAsia" w:ascii="宋体" w:hAnsi="宋体" w:eastAsia="宋体" w:cs="宋体"/>
                <w:sz w:val="22"/>
                <w:szCs w:val="22"/>
              </w:rPr>
              <w:t>上门</w:t>
            </w:r>
            <w:r>
              <w:rPr>
                <w:rFonts w:hint="eastAsia" w:ascii="宋体" w:hAnsi="宋体" w:eastAsia="宋体" w:cs="宋体"/>
                <w:sz w:val="22"/>
                <w:szCs w:val="22"/>
                <w:lang w:val="en-US" w:eastAsia="zh-CN"/>
              </w:rPr>
              <w:t>服务</w:t>
            </w:r>
            <w:r>
              <w:rPr>
                <w:rFonts w:hint="eastAsia" w:ascii="宋体" w:hAnsi="宋体" w:eastAsia="宋体" w:cs="宋体"/>
                <w:sz w:val="22"/>
                <w:szCs w:val="22"/>
              </w:rPr>
              <w:t>。</w:t>
            </w:r>
          </w:p>
          <w:p w14:paraId="133913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6.</w:t>
            </w:r>
            <w:r>
              <w:rPr>
                <w:rFonts w:hint="eastAsia" w:ascii="宋体" w:hAnsi="宋体" w:eastAsia="宋体" w:cs="宋体"/>
                <w:sz w:val="22"/>
                <w:szCs w:val="22"/>
                <w:lang w:val="en-US" w:eastAsia="zh-CN"/>
              </w:rPr>
              <w:t>运维</w:t>
            </w:r>
            <w:r>
              <w:rPr>
                <w:rFonts w:hint="eastAsia" w:ascii="宋体" w:hAnsi="宋体" w:eastAsia="宋体" w:cs="宋体"/>
                <w:sz w:val="22"/>
                <w:szCs w:val="22"/>
              </w:rPr>
              <w:t>期内，</w:t>
            </w:r>
            <w:r>
              <w:rPr>
                <w:rFonts w:hint="eastAsia" w:ascii="宋体" w:hAnsi="宋体" w:eastAsia="宋体" w:cs="宋体"/>
                <w:sz w:val="22"/>
                <w:szCs w:val="22"/>
                <w:lang w:val="en-US" w:eastAsia="zh-CN"/>
              </w:rPr>
              <w:t>成交供应商应</w:t>
            </w:r>
            <w:r>
              <w:rPr>
                <w:rFonts w:hint="eastAsia" w:ascii="宋体" w:hAnsi="宋体" w:eastAsia="宋体" w:cs="宋体"/>
                <w:sz w:val="22"/>
                <w:szCs w:val="22"/>
              </w:rPr>
              <w:t>负责</w:t>
            </w:r>
            <w:r>
              <w:rPr>
                <w:rFonts w:hint="eastAsia" w:ascii="宋体" w:hAnsi="宋体" w:eastAsia="宋体" w:cs="宋体"/>
                <w:sz w:val="22"/>
                <w:szCs w:val="22"/>
                <w:lang w:val="en-US" w:eastAsia="zh-CN"/>
              </w:rPr>
              <w:t>所</w:t>
            </w:r>
            <w:r>
              <w:rPr>
                <w:rFonts w:hint="eastAsia" w:ascii="宋体" w:hAnsi="宋体" w:eastAsia="宋体" w:cs="宋体"/>
                <w:sz w:val="22"/>
                <w:szCs w:val="22"/>
              </w:rPr>
              <w:t>提供设备</w:t>
            </w:r>
            <w:r>
              <w:rPr>
                <w:rFonts w:hint="eastAsia" w:ascii="宋体" w:hAnsi="宋体" w:eastAsia="宋体" w:cs="宋体"/>
                <w:sz w:val="22"/>
                <w:szCs w:val="22"/>
                <w:lang w:val="en-US" w:eastAsia="zh-CN"/>
              </w:rPr>
              <w:t>的</w:t>
            </w:r>
            <w:r>
              <w:rPr>
                <w:rFonts w:hint="eastAsia" w:ascii="宋体" w:hAnsi="宋体" w:eastAsia="宋体" w:cs="宋体"/>
                <w:sz w:val="22"/>
                <w:szCs w:val="22"/>
              </w:rPr>
              <w:t>整机维修</w:t>
            </w:r>
            <w:r>
              <w:rPr>
                <w:rFonts w:hint="eastAsia" w:ascii="宋体" w:hAnsi="宋体" w:eastAsia="宋体" w:cs="宋体"/>
                <w:sz w:val="22"/>
                <w:szCs w:val="22"/>
                <w:lang w:eastAsia="zh-CN"/>
              </w:rPr>
              <w:t>、</w:t>
            </w:r>
            <w:r>
              <w:rPr>
                <w:rFonts w:hint="eastAsia" w:ascii="宋体" w:hAnsi="宋体" w:eastAsia="宋体" w:cs="宋体"/>
                <w:sz w:val="22"/>
                <w:szCs w:val="22"/>
              </w:rPr>
              <w:t>软件维护</w:t>
            </w:r>
            <w:r>
              <w:rPr>
                <w:rFonts w:hint="eastAsia" w:ascii="宋体" w:hAnsi="宋体" w:eastAsia="宋体" w:cs="宋体"/>
                <w:sz w:val="22"/>
                <w:szCs w:val="22"/>
                <w:lang w:val="en-US" w:eastAsia="zh-CN"/>
              </w:rPr>
              <w:t>和</w:t>
            </w:r>
            <w:r>
              <w:rPr>
                <w:rFonts w:hint="eastAsia" w:ascii="宋体" w:hAnsi="宋体" w:eastAsia="宋体" w:cs="宋体"/>
                <w:sz w:val="22"/>
                <w:szCs w:val="22"/>
              </w:rPr>
              <w:t>应用软件升级</w:t>
            </w:r>
            <w:r>
              <w:rPr>
                <w:rFonts w:hint="eastAsia" w:ascii="宋体" w:hAnsi="宋体" w:eastAsia="宋体" w:cs="宋体"/>
                <w:sz w:val="22"/>
                <w:szCs w:val="22"/>
                <w:lang w:val="en-US" w:eastAsia="zh-CN"/>
              </w:rPr>
              <w:t>服务</w:t>
            </w:r>
            <w:r>
              <w:rPr>
                <w:rFonts w:hint="eastAsia" w:ascii="宋体" w:hAnsi="宋体" w:eastAsia="宋体" w:cs="宋体"/>
                <w:sz w:val="22"/>
                <w:szCs w:val="22"/>
              </w:rPr>
              <w:t>。</w:t>
            </w:r>
          </w:p>
          <w:p w14:paraId="68A5BC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7.</w:t>
            </w:r>
            <w:r>
              <w:rPr>
                <w:rFonts w:hint="eastAsia" w:ascii="宋体" w:hAnsi="宋体" w:eastAsia="宋体" w:cs="宋体"/>
                <w:sz w:val="22"/>
                <w:szCs w:val="22"/>
                <w:lang w:val="en-US" w:eastAsia="zh-CN"/>
              </w:rPr>
              <w:t>运维</w:t>
            </w:r>
            <w:r>
              <w:rPr>
                <w:rFonts w:hint="eastAsia" w:ascii="宋体" w:hAnsi="宋体" w:eastAsia="宋体" w:cs="宋体"/>
                <w:sz w:val="22"/>
                <w:szCs w:val="22"/>
              </w:rPr>
              <w:t>期内，</w:t>
            </w:r>
            <w:r>
              <w:rPr>
                <w:rFonts w:hint="eastAsia" w:ascii="宋体" w:hAnsi="宋体" w:eastAsia="宋体" w:cs="宋体"/>
                <w:sz w:val="22"/>
                <w:szCs w:val="22"/>
                <w:lang w:val="en-US" w:eastAsia="zh-CN"/>
              </w:rPr>
              <w:t>成交供应商</w:t>
            </w:r>
            <w:r>
              <w:rPr>
                <w:rFonts w:hint="eastAsia" w:ascii="宋体" w:hAnsi="宋体" w:eastAsia="宋体" w:cs="宋体"/>
                <w:sz w:val="22"/>
                <w:szCs w:val="22"/>
              </w:rPr>
              <w:t>应在</w:t>
            </w:r>
            <w:r>
              <w:rPr>
                <w:rFonts w:hint="eastAsia" w:ascii="宋体" w:hAnsi="宋体" w:eastAsia="宋体" w:cs="宋体"/>
                <w:sz w:val="22"/>
                <w:szCs w:val="22"/>
                <w:lang w:val="en-US" w:eastAsia="zh-CN"/>
              </w:rPr>
              <w:t>采购人</w:t>
            </w:r>
            <w:r>
              <w:rPr>
                <w:rFonts w:hint="eastAsia" w:ascii="宋体" w:hAnsi="宋体" w:eastAsia="宋体" w:cs="宋体"/>
                <w:sz w:val="22"/>
                <w:szCs w:val="22"/>
              </w:rPr>
              <w:t>指定地点</w:t>
            </w:r>
            <w:r>
              <w:rPr>
                <w:rFonts w:hint="eastAsia" w:ascii="宋体" w:hAnsi="宋体" w:eastAsia="宋体" w:cs="宋体"/>
                <w:sz w:val="22"/>
                <w:szCs w:val="22"/>
                <w:lang w:val="en-US" w:eastAsia="zh-CN"/>
              </w:rPr>
              <w:t>安排</w:t>
            </w:r>
            <w:r>
              <w:rPr>
                <w:rFonts w:hint="eastAsia" w:ascii="宋体" w:hAnsi="宋体" w:eastAsia="宋体" w:cs="宋体"/>
                <w:sz w:val="22"/>
                <w:szCs w:val="22"/>
              </w:rPr>
              <w:t>稳定的专业技术</w:t>
            </w:r>
            <w:r>
              <w:rPr>
                <w:rFonts w:hint="eastAsia" w:ascii="宋体" w:hAnsi="宋体" w:eastAsia="宋体" w:cs="宋体"/>
                <w:sz w:val="22"/>
                <w:szCs w:val="22"/>
                <w:lang w:val="en-US" w:eastAsia="zh-CN"/>
              </w:rPr>
              <w:t>团队提供驻点服务</w:t>
            </w:r>
            <w:r>
              <w:rPr>
                <w:rFonts w:hint="eastAsia" w:ascii="宋体" w:hAnsi="宋体" w:eastAsia="宋体" w:cs="宋体"/>
                <w:sz w:val="22"/>
                <w:szCs w:val="22"/>
              </w:rPr>
              <w:t>，配备巡查车辆，负责本</w:t>
            </w:r>
            <w:r>
              <w:rPr>
                <w:rFonts w:hint="eastAsia" w:ascii="宋体" w:hAnsi="宋体" w:eastAsia="宋体" w:cs="宋体"/>
                <w:sz w:val="22"/>
                <w:szCs w:val="22"/>
                <w:lang w:val="en-US" w:eastAsia="zh-CN"/>
              </w:rPr>
              <w:t>项目</w:t>
            </w:r>
            <w:r>
              <w:rPr>
                <w:rFonts w:hint="eastAsia" w:ascii="宋体" w:hAnsi="宋体" w:eastAsia="宋体" w:cs="宋体"/>
                <w:sz w:val="22"/>
                <w:szCs w:val="22"/>
              </w:rPr>
              <w:t>的维护和后续设备升级服务，并开通报修</w:t>
            </w:r>
            <w:r>
              <w:rPr>
                <w:rFonts w:hint="eastAsia" w:ascii="宋体" w:hAnsi="宋体" w:eastAsia="宋体" w:cs="宋体"/>
                <w:sz w:val="22"/>
                <w:szCs w:val="22"/>
                <w:lang w:val="en-US" w:eastAsia="zh-CN"/>
              </w:rPr>
              <w:t>服务</w:t>
            </w:r>
            <w:r>
              <w:rPr>
                <w:rFonts w:hint="eastAsia" w:ascii="宋体" w:hAnsi="宋体" w:eastAsia="宋体" w:cs="宋体"/>
                <w:sz w:val="22"/>
                <w:szCs w:val="22"/>
              </w:rPr>
              <w:t>电话，确保每天24小时不间断接听系统故障报修（包括</w:t>
            </w:r>
            <w:r>
              <w:rPr>
                <w:rFonts w:hint="eastAsia" w:ascii="宋体" w:hAnsi="宋体" w:eastAsia="宋体" w:cs="宋体"/>
                <w:sz w:val="22"/>
                <w:szCs w:val="22"/>
                <w:lang w:val="en-US" w:eastAsia="zh-CN"/>
              </w:rPr>
              <w:t>法定</w:t>
            </w:r>
            <w:r>
              <w:rPr>
                <w:rFonts w:hint="eastAsia" w:ascii="宋体" w:hAnsi="宋体" w:eastAsia="宋体" w:cs="宋体"/>
                <w:sz w:val="22"/>
                <w:szCs w:val="22"/>
              </w:rPr>
              <w:t>节假日）。</w:t>
            </w:r>
          </w:p>
          <w:p w14:paraId="79CCEE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8.</w:t>
            </w:r>
            <w:r>
              <w:rPr>
                <w:rFonts w:hint="eastAsia" w:ascii="宋体" w:hAnsi="宋体" w:eastAsia="宋体" w:cs="宋体"/>
                <w:sz w:val="22"/>
                <w:szCs w:val="22"/>
                <w:lang w:val="en-US" w:eastAsia="zh-CN"/>
              </w:rPr>
              <w:t>成交供应商</w:t>
            </w:r>
            <w:r>
              <w:rPr>
                <w:rFonts w:hint="eastAsia" w:ascii="宋体" w:hAnsi="宋体" w:eastAsia="宋体" w:cs="宋体"/>
                <w:sz w:val="22"/>
                <w:szCs w:val="22"/>
              </w:rPr>
              <w:t>应制定</w:t>
            </w:r>
            <w:r>
              <w:rPr>
                <w:rFonts w:hint="eastAsia" w:ascii="宋体" w:hAnsi="宋体" w:eastAsia="宋体" w:cs="宋体"/>
                <w:sz w:val="22"/>
                <w:szCs w:val="22"/>
                <w:lang w:val="en-US" w:eastAsia="zh-CN"/>
              </w:rPr>
              <w:t>运维</w:t>
            </w:r>
            <w:r>
              <w:rPr>
                <w:rFonts w:hint="eastAsia" w:ascii="宋体" w:hAnsi="宋体" w:eastAsia="宋体" w:cs="宋体"/>
                <w:sz w:val="22"/>
                <w:szCs w:val="22"/>
              </w:rPr>
              <w:t>期内对系统的巡检制度，保证在责任维护期内的巡检维护工作，巡检内容包括外场设备运行状态、供电线路等</w:t>
            </w:r>
            <w:r>
              <w:rPr>
                <w:rFonts w:hint="eastAsia" w:ascii="宋体" w:hAnsi="宋体" w:eastAsia="宋体" w:cs="宋体"/>
                <w:sz w:val="22"/>
                <w:szCs w:val="22"/>
                <w:lang w:val="en-US" w:eastAsia="zh-CN"/>
              </w:rPr>
              <w:t>工作</w:t>
            </w:r>
            <w:r>
              <w:rPr>
                <w:rFonts w:hint="eastAsia" w:ascii="宋体" w:hAnsi="宋体" w:eastAsia="宋体" w:cs="宋体"/>
                <w:sz w:val="22"/>
                <w:szCs w:val="22"/>
              </w:rPr>
              <w:t>内容。</w:t>
            </w:r>
          </w:p>
          <w:p w14:paraId="61473B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sz w:val="22"/>
                <w:szCs w:val="22"/>
              </w:rPr>
            </w:pPr>
            <w:r>
              <w:rPr>
                <w:rFonts w:hint="eastAsia" w:ascii="宋体" w:hAnsi="宋体" w:eastAsia="宋体" w:cs="宋体"/>
                <w:kern w:val="2"/>
                <w:sz w:val="22"/>
                <w:szCs w:val="22"/>
                <w:lang w:val="en-US" w:eastAsia="zh-CN" w:bidi="ar-SA"/>
              </w:rPr>
              <w:t>9.</w:t>
            </w:r>
            <w:r>
              <w:rPr>
                <w:rFonts w:hint="eastAsia" w:ascii="宋体" w:hAnsi="宋体" w:eastAsia="宋体" w:cs="宋体"/>
                <w:sz w:val="22"/>
                <w:szCs w:val="22"/>
                <w:lang w:val="en-US" w:eastAsia="zh-CN"/>
              </w:rPr>
              <w:t>成交供应商</w:t>
            </w:r>
            <w:r>
              <w:rPr>
                <w:rFonts w:hint="eastAsia" w:ascii="宋体" w:hAnsi="宋体" w:eastAsia="宋体" w:cs="宋体"/>
                <w:sz w:val="22"/>
                <w:szCs w:val="22"/>
              </w:rPr>
              <w:t>在</w:t>
            </w:r>
            <w:r>
              <w:rPr>
                <w:rFonts w:hint="eastAsia" w:ascii="宋体" w:hAnsi="宋体" w:eastAsia="宋体" w:cs="宋体"/>
                <w:sz w:val="22"/>
                <w:szCs w:val="22"/>
                <w:lang w:val="en-US" w:eastAsia="zh-CN"/>
              </w:rPr>
              <w:t>运维</w:t>
            </w:r>
            <w:r>
              <w:rPr>
                <w:rFonts w:hint="eastAsia" w:ascii="宋体" w:hAnsi="宋体" w:eastAsia="宋体" w:cs="宋体"/>
                <w:sz w:val="22"/>
                <w:szCs w:val="22"/>
              </w:rPr>
              <w:t>期内负责为本项目的测速设备提供定期检定服务。</w:t>
            </w:r>
          </w:p>
          <w:p w14:paraId="1F2175DA">
            <w:pPr>
              <w:pStyle w:val="4"/>
              <w:pageBreakBefore w:val="0"/>
              <w:numPr>
                <w:ilvl w:val="1"/>
                <w:numId w:val="0"/>
              </w:numPr>
              <w:kinsoku/>
              <w:wordWrap/>
              <w:overflowPunct/>
              <w:topLinePunct w:val="0"/>
              <w:autoSpaceDE/>
              <w:autoSpaceDN/>
              <w:bidi w:val="0"/>
              <w:adjustRightInd/>
              <w:snapToGrid/>
              <w:spacing w:before="0" w:line="360" w:lineRule="auto"/>
              <w:ind w:left="0" w:leftChars="0" w:firstLine="0" w:firstLineChars="0"/>
              <w:textAlignment w:val="auto"/>
              <w:rPr>
                <w:rFonts w:hint="eastAsia" w:ascii="宋体" w:hAnsi="宋体" w:eastAsia="宋体" w:cs="宋体"/>
                <w:sz w:val="22"/>
                <w:szCs w:val="22"/>
              </w:rPr>
            </w:pPr>
            <w:bookmarkStart w:id="60" w:name="_Toc173501866"/>
            <w:r>
              <w:rPr>
                <w:rFonts w:hint="eastAsia" w:ascii="宋体" w:hAnsi="宋体" w:eastAsia="宋体" w:cs="宋体"/>
                <w:b/>
                <w:bCs/>
                <w:kern w:val="2"/>
                <w:sz w:val="22"/>
                <w:szCs w:val="22"/>
                <w:lang w:val="en-US" w:eastAsia="zh-CN" w:bidi="ar-SA"/>
              </w:rPr>
              <w:t>（二）</w:t>
            </w:r>
            <w:r>
              <w:rPr>
                <w:rFonts w:hint="eastAsia" w:ascii="宋体" w:hAnsi="宋体" w:eastAsia="宋体" w:cs="宋体"/>
                <w:b/>
                <w:bCs w:val="0"/>
                <w:sz w:val="22"/>
                <w:szCs w:val="22"/>
              </w:rPr>
              <w:t>运维服务要求</w:t>
            </w:r>
            <w:bookmarkEnd w:id="60"/>
          </w:p>
          <w:p w14:paraId="16D58D72">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系统运维服务由</w:t>
            </w:r>
            <w:r>
              <w:rPr>
                <w:rFonts w:hint="eastAsia" w:ascii="宋体" w:hAnsi="宋体" w:eastAsia="宋体" w:cs="宋体"/>
                <w:sz w:val="22"/>
                <w:szCs w:val="22"/>
                <w:lang w:val="en-US" w:eastAsia="zh-CN"/>
              </w:rPr>
              <w:t>成交供应商</w:t>
            </w:r>
            <w:r>
              <w:rPr>
                <w:rFonts w:hint="eastAsia" w:ascii="宋体" w:hAnsi="宋体" w:eastAsia="宋体" w:cs="宋体"/>
                <w:sz w:val="22"/>
                <w:szCs w:val="22"/>
              </w:rPr>
              <w:t>负责，包括项目的硬件关键消耗品更换服务、硬件设备可用性保障服务等，软件系统故障、业务需求变更，保障本项目的可用性和可持续运行要求。</w:t>
            </w:r>
            <w:r>
              <w:rPr>
                <w:rFonts w:hint="eastAsia" w:ascii="宋体" w:hAnsi="宋体" w:eastAsia="宋体" w:cs="宋体"/>
                <w:sz w:val="22"/>
                <w:szCs w:val="22"/>
                <w:lang w:val="en-US" w:eastAsia="zh-CN"/>
              </w:rPr>
              <w:t>成交供应商</w:t>
            </w:r>
            <w:r>
              <w:rPr>
                <w:rFonts w:hint="eastAsia" w:ascii="宋体" w:hAnsi="宋体" w:eastAsia="宋体" w:cs="宋体"/>
                <w:sz w:val="22"/>
                <w:szCs w:val="22"/>
              </w:rPr>
              <w:t>应提供详细的运维服务方案，根据硬件设备的种类、应用范围，明确服务范围、服务内容、服务方式、程度、响应时间等，并提出</w:t>
            </w:r>
            <w:r>
              <w:rPr>
                <w:rFonts w:hint="eastAsia" w:ascii="宋体" w:hAnsi="宋体" w:eastAsia="宋体" w:cs="宋体"/>
                <w:sz w:val="22"/>
                <w:szCs w:val="22"/>
                <w:lang w:val="en-US" w:eastAsia="zh-CN"/>
              </w:rPr>
              <w:t>个性化</w:t>
            </w:r>
            <w:r>
              <w:rPr>
                <w:rFonts w:hint="eastAsia" w:ascii="宋体" w:hAnsi="宋体" w:eastAsia="宋体" w:cs="宋体"/>
                <w:sz w:val="22"/>
                <w:szCs w:val="22"/>
              </w:rPr>
              <w:t>的服务措施。</w:t>
            </w:r>
          </w:p>
          <w:p w14:paraId="027732C7">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成交供应商</w:t>
            </w:r>
            <w:r>
              <w:rPr>
                <w:rFonts w:hint="eastAsia" w:ascii="宋体" w:hAnsi="宋体" w:eastAsia="宋体" w:cs="宋体"/>
                <w:sz w:val="22"/>
                <w:szCs w:val="22"/>
              </w:rPr>
              <w:t>应提供</w:t>
            </w:r>
            <w:r>
              <w:rPr>
                <w:rFonts w:hint="eastAsia" w:ascii="宋体" w:hAnsi="宋体" w:eastAsia="宋体" w:cs="宋体"/>
                <w:sz w:val="22"/>
                <w:szCs w:val="22"/>
                <w:lang w:val="en-US" w:eastAsia="zh-CN"/>
              </w:rPr>
              <w:t>全年7×</w:t>
            </w:r>
            <w:r>
              <w:rPr>
                <w:rFonts w:hint="eastAsia" w:ascii="宋体" w:hAnsi="宋体" w:eastAsia="宋体" w:cs="宋体"/>
                <w:sz w:val="22"/>
                <w:szCs w:val="22"/>
              </w:rPr>
              <w:t>24小时</w:t>
            </w:r>
            <w:r>
              <w:rPr>
                <w:rFonts w:hint="eastAsia" w:ascii="宋体" w:hAnsi="宋体" w:eastAsia="宋体" w:cs="宋体"/>
                <w:sz w:val="22"/>
                <w:szCs w:val="22"/>
                <w:lang w:val="en-US" w:eastAsia="zh-CN"/>
              </w:rPr>
              <w:t>不间断</w:t>
            </w:r>
            <w:r>
              <w:rPr>
                <w:rFonts w:hint="eastAsia" w:ascii="宋体" w:hAnsi="宋体" w:eastAsia="宋体" w:cs="宋体"/>
                <w:sz w:val="22"/>
                <w:szCs w:val="22"/>
              </w:rPr>
              <w:t>的</w:t>
            </w:r>
            <w:r>
              <w:rPr>
                <w:rFonts w:hint="eastAsia" w:ascii="宋体" w:hAnsi="宋体" w:eastAsia="宋体" w:cs="宋体"/>
                <w:sz w:val="22"/>
                <w:szCs w:val="22"/>
                <w:lang w:val="en-US" w:eastAsia="zh-CN"/>
              </w:rPr>
              <w:t>运维</w:t>
            </w:r>
            <w:r>
              <w:rPr>
                <w:rFonts w:hint="eastAsia" w:ascii="宋体" w:hAnsi="宋体" w:eastAsia="宋体" w:cs="宋体"/>
                <w:sz w:val="22"/>
                <w:szCs w:val="22"/>
              </w:rPr>
              <w:t>服务，提供技术业务咨询服务，并</w:t>
            </w:r>
            <w:r>
              <w:rPr>
                <w:rFonts w:hint="eastAsia" w:ascii="宋体" w:hAnsi="宋体" w:eastAsia="宋体" w:cs="宋体"/>
                <w:sz w:val="22"/>
                <w:szCs w:val="22"/>
                <w:lang w:val="en-US" w:eastAsia="zh-CN"/>
              </w:rPr>
              <w:t>需</w:t>
            </w:r>
            <w:r>
              <w:rPr>
                <w:rFonts w:hint="eastAsia" w:ascii="宋体" w:hAnsi="宋体" w:eastAsia="宋体" w:cs="宋体"/>
                <w:sz w:val="22"/>
                <w:szCs w:val="22"/>
              </w:rPr>
              <w:t>有专业的技术人员负责及时解决系统出现的任何故障。当业务中断时</w:t>
            </w:r>
            <w:r>
              <w:rPr>
                <w:rFonts w:hint="eastAsia" w:ascii="宋体" w:hAnsi="宋体" w:eastAsia="宋体" w:cs="宋体"/>
                <w:sz w:val="22"/>
                <w:szCs w:val="22"/>
                <w:highlight w:val="none"/>
              </w:rPr>
              <w:t>应</w:t>
            </w:r>
            <w:r>
              <w:rPr>
                <w:rFonts w:hint="eastAsia" w:ascii="宋体" w:hAnsi="宋体" w:eastAsia="宋体" w:cs="宋体"/>
                <w:sz w:val="22"/>
                <w:szCs w:val="22"/>
                <w:highlight w:val="none"/>
                <w:lang w:val="en-US" w:eastAsia="zh-CN"/>
              </w:rPr>
              <w:t>及时</w:t>
            </w:r>
            <w:r>
              <w:rPr>
                <w:rFonts w:hint="eastAsia" w:ascii="宋体" w:hAnsi="宋体" w:eastAsia="宋体" w:cs="宋体"/>
                <w:sz w:val="22"/>
                <w:szCs w:val="22"/>
                <w:highlight w:val="none"/>
              </w:rPr>
              <w:t>响应</w:t>
            </w:r>
            <w:r>
              <w:rPr>
                <w:rFonts w:hint="eastAsia" w:ascii="宋体" w:hAnsi="宋体" w:eastAsia="宋体" w:cs="宋体"/>
                <w:sz w:val="22"/>
                <w:szCs w:val="22"/>
              </w:rPr>
              <w:t>，业务中断申告采取“就近申告、首问负责”的原则。</w:t>
            </w:r>
          </w:p>
          <w:p w14:paraId="573F7A01">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lang w:val="en-US" w:eastAsia="zh-CN"/>
              </w:rPr>
            </w:pPr>
            <w:r>
              <w:rPr>
                <w:rFonts w:hint="eastAsia" w:ascii="宋体" w:hAnsi="宋体" w:eastAsia="宋体" w:cs="宋体"/>
                <w:b/>
                <w:bCs/>
                <w:sz w:val="22"/>
                <w:szCs w:val="22"/>
                <w:lang w:val="en-US" w:eastAsia="zh-CN"/>
              </w:rPr>
              <w:t>1.</w:t>
            </w:r>
            <w:r>
              <w:rPr>
                <w:rFonts w:hint="eastAsia" w:ascii="宋体" w:hAnsi="宋体" w:eastAsia="宋体" w:cs="宋体"/>
                <w:b/>
                <w:bCs/>
                <w:sz w:val="22"/>
                <w:szCs w:val="22"/>
              </w:rPr>
              <w:t>技术服务团队</w:t>
            </w:r>
            <w:r>
              <w:rPr>
                <w:rFonts w:hint="eastAsia" w:ascii="宋体" w:hAnsi="宋体" w:eastAsia="宋体" w:cs="宋体"/>
                <w:b/>
                <w:bCs/>
                <w:sz w:val="22"/>
                <w:szCs w:val="22"/>
                <w:lang w:val="en-US" w:eastAsia="zh-CN"/>
              </w:rPr>
              <w:t>要求</w:t>
            </w:r>
          </w:p>
          <w:p w14:paraId="155896F5">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sz w:val="22"/>
                <w:szCs w:val="22"/>
              </w:rPr>
              <w:t>针对本项目配置符合资质要求的</w:t>
            </w:r>
            <w:r>
              <w:rPr>
                <w:rFonts w:hint="eastAsia" w:ascii="宋体" w:hAnsi="宋体" w:eastAsia="宋体" w:cs="宋体"/>
                <w:b w:val="0"/>
                <w:bCs w:val="0"/>
                <w:sz w:val="22"/>
                <w:szCs w:val="22"/>
              </w:rPr>
              <w:t>技术服务团队</w:t>
            </w:r>
            <w:r>
              <w:rPr>
                <w:rFonts w:hint="eastAsia" w:ascii="宋体" w:hAnsi="宋体" w:eastAsia="宋体" w:cs="宋体"/>
                <w:b w:val="0"/>
                <w:bCs w:val="0"/>
                <w:sz w:val="22"/>
                <w:szCs w:val="22"/>
                <w:lang w:eastAsia="zh-CN"/>
              </w:rPr>
              <w:t>，</w:t>
            </w:r>
            <w:r>
              <w:rPr>
                <w:rFonts w:hint="eastAsia" w:ascii="宋体" w:hAnsi="宋体" w:eastAsia="宋体" w:cs="宋体"/>
                <w:b w:val="0"/>
                <w:bCs w:val="0"/>
                <w:sz w:val="22"/>
                <w:szCs w:val="22"/>
                <w:lang w:val="en-US" w:eastAsia="zh-CN"/>
              </w:rPr>
              <w:t>运维人员应包括：</w:t>
            </w:r>
            <w:r>
              <w:rPr>
                <w:rFonts w:hint="eastAsia" w:ascii="宋体" w:hAnsi="宋体" w:eastAsia="宋体" w:cs="宋体"/>
                <w:sz w:val="22"/>
                <w:szCs w:val="22"/>
              </w:rPr>
              <w:t>项目</w:t>
            </w:r>
            <w:r>
              <w:rPr>
                <w:rFonts w:hint="eastAsia" w:ascii="宋体" w:hAnsi="宋体" w:eastAsia="宋体" w:cs="宋体"/>
                <w:sz w:val="22"/>
                <w:szCs w:val="22"/>
                <w:lang w:val="en-US" w:eastAsia="zh-CN"/>
              </w:rPr>
              <w:t>负责人</w:t>
            </w:r>
            <w:r>
              <w:rPr>
                <w:rFonts w:hint="eastAsia" w:ascii="宋体" w:hAnsi="宋体" w:eastAsia="宋体" w:cs="宋体"/>
                <w:sz w:val="22"/>
                <w:szCs w:val="22"/>
              </w:rPr>
              <w:t>1</w:t>
            </w:r>
            <w:r>
              <w:rPr>
                <w:rFonts w:hint="eastAsia" w:ascii="宋体" w:hAnsi="宋体" w:eastAsia="宋体" w:cs="宋体"/>
                <w:sz w:val="22"/>
                <w:szCs w:val="22"/>
                <w:lang w:val="en-US" w:eastAsia="zh-CN"/>
              </w:rPr>
              <w:t>名、</w:t>
            </w:r>
            <w:r>
              <w:rPr>
                <w:rFonts w:hint="eastAsia" w:ascii="宋体" w:hAnsi="宋体" w:eastAsia="宋体" w:cs="宋体"/>
                <w:sz w:val="22"/>
                <w:szCs w:val="22"/>
              </w:rPr>
              <w:t>1名</w:t>
            </w:r>
            <w:r>
              <w:rPr>
                <w:rFonts w:hint="eastAsia" w:ascii="宋体" w:hAnsi="宋体" w:eastAsia="宋体" w:cs="宋体"/>
                <w:sz w:val="22"/>
                <w:szCs w:val="22"/>
                <w:lang w:val="en-US" w:eastAsia="zh-CN"/>
              </w:rPr>
              <w:t>驻场</w:t>
            </w:r>
            <w:r>
              <w:rPr>
                <w:rFonts w:hint="eastAsia" w:ascii="宋体" w:hAnsi="宋体" w:eastAsia="宋体" w:cs="宋体"/>
                <w:sz w:val="22"/>
                <w:szCs w:val="22"/>
              </w:rPr>
              <w:t>工程师</w:t>
            </w:r>
            <w:r>
              <w:rPr>
                <w:rFonts w:hint="eastAsia" w:ascii="宋体" w:hAnsi="宋体" w:eastAsia="宋体" w:cs="宋体"/>
                <w:sz w:val="22"/>
                <w:szCs w:val="22"/>
                <w:lang w:val="en-US" w:eastAsia="zh-CN"/>
              </w:rPr>
              <w:t>以及</w:t>
            </w:r>
            <w:r>
              <w:rPr>
                <w:rFonts w:hint="eastAsia" w:ascii="宋体" w:hAnsi="宋体" w:eastAsia="宋体" w:cs="宋体"/>
                <w:b w:val="0"/>
                <w:bCs w:val="0"/>
                <w:sz w:val="22"/>
                <w:szCs w:val="22"/>
                <w:lang w:val="en-US" w:eastAsia="zh-CN"/>
              </w:rPr>
              <w:t>其他</w:t>
            </w:r>
            <w:r>
              <w:rPr>
                <w:rFonts w:hint="eastAsia" w:ascii="宋体" w:hAnsi="宋体" w:eastAsia="宋体" w:cs="宋体"/>
                <w:b w:val="0"/>
                <w:bCs w:val="0"/>
                <w:sz w:val="22"/>
                <w:szCs w:val="22"/>
              </w:rPr>
              <w:t>运维</w:t>
            </w:r>
            <w:r>
              <w:rPr>
                <w:rFonts w:hint="eastAsia" w:ascii="宋体" w:hAnsi="宋体" w:eastAsia="宋体" w:cs="宋体"/>
                <w:b w:val="0"/>
                <w:bCs w:val="0"/>
                <w:sz w:val="22"/>
                <w:szCs w:val="22"/>
                <w:lang w:val="en-US" w:eastAsia="zh-CN"/>
              </w:rPr>
              <w:t>人员</w:t>
            </w:r>
            <w:r>
              <w:rPr>
                <w:rFonts w:hint="eastAsia" w:ascii="宋体" w:hAnsi="宋体" w:eastAsia="宋体" w:cs="宋体"/>
                <w:sz w:val="22"/>
                <w:szCs w:val="22"/>
                <w:lang w:eastAsia="zh-CN"/>
              </w:rPr>
              <w:t>。</w:t>
            </w:r>
          </w:p>
          <w:p w14:paraId="48C3B13F">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1.1 人员</w:t>
            </w:r>
            <w:r>
              <w:rPr>
                <w:rFonts w:hint="eastAsia" w:ascii="宋体" w:hAnsi="宋体" w:eastAsia="宋体" w:cs="宋体"/>
                <w:b/>
                <w:bCs/>
                <w:sz w:val="22"/>
                <w:szCs w:val="22"/>
              </w:rPr>
              <w:t>主要职责如下：</w:t>
            </w:r>
          </w:p>
          <w:p w14:paraId="6EC5AFC8">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lang w:val="en-US" w:eastAsia="zh-CN"/>
              </w:rPr>
            </w:pPr>
            <w:r>
              <w:rPr>
                <w:rFonts w:hint="eastAsia" w:ascii="宋体" w:hAnsi="宋体" w:eastAsia="宋体" w:cs="宋体"/>
                <w:b/>
                <w:bCs/>
                <w:sz w:val="22"/>
                <w:szCs w:val="22"/>
                <w:lang w:val="en-US" w:eastAsia="zh-CN"/>
              </w:rPr>
              <w:t>1.1.1</w:t>
            </w:r>
            <w:r>
              <w:rPr>
                <w:rFonts w:hint="eastAsia" w:ascii="宋体" w:hAnsi="宋体" w:eastAsia="宋体" w:cs="宋体"/>
                <w:b/>
                <w:bCs/>
                <w:sz w:val="22"/>
                <w:szCs w:val="22"/>
              </w:rPr>
              <w:t>项目</w:t>
            </w:r>
            <w:r>
              <w:rPr>
                <w:rFonts w:hint="eastAsia" w:ascii="宋体" w:hAnsi="宋体" w:eastAsia="宋体" w:cs="宋体"/>
                <w:b/>
                <w:bCs/>
                <w:sz w:val="22"/>
                <w:szCs w:val="22"/>
                <w:lang w:val="en-US" w:eastAsia="zh-CN"/>
              </w:rPr>
              <w:t>负责人</w:t>
            </w:r>
          </w:p>
          <w:p w14:paraId="756B3D3A">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具备3年以上计算机及网络维护服务经验；负责与</w:t>
            </w:r>
            <w:r>
              <w:rPr>
                <w:rFonts w:hint="eastAsia" w:ascii="宋体" w:hAnsi="宋体" w:eastAsia="宋体" w:cs="宋体"/>
                <w:sz w:val="22"/>
                <w:szCs w:val="22"/>
                <w:lang w:val="en-US" w:eastAsia="zh-CN"/>
              </w:rPr>
              <w:t>采购人</w:t>
            </w:r>
            <w:r>
              <w:rPr>
                <w:rFonts w:hint="eastAsia" w:ascii="宋体" w:hAnsi="宋体" w:eastAsia="宋体" w:cs="宋体"/>
                <w:sz w:val="22"/>
                <w:szCs w:val="22"/>
              </w:rPr>
              <w:t>沟通</w:t>
            </w:r>
            <w:r>
              <w:rPr>
                <w:rFonts w:hint="eastAsia" w:ascii="宋体" w:hAnsi="宋体" w:eastAsia="宋体" w:cs="宋体"/>
                <w:sz w:val="22"/>
                <w:szCs w:val="22"/>
                <w:lang w:val="en-US" w:eastAsia="zh-CN"/>
              </w:rPr>
              <w:t>本</w:t>
            </w:r>
            <w:r>
              <w:rPr>
                <w:rFonts w:hint="eastAsia" w:ascii="宋体" w:hAnsi="宋体" w:eastAsia="宋体" w:cs="宋体"/>
                <w:sz w:val="22"/>
                <w:szCs w:val="22"/>
              </w:rPr>
              <w:t>项目相关的所有事宜</w:t>
            </w:r>
            <w:r>
              <w:rPr>
                <w:rFonts w:hint="eastAsia" w:ascii="宋体" w:hAnsi="宋体" w:eastAsia="宋体" w:cs="宋体"/>
                <w:sz w:val="22"/>
                <w:szCs w:val="22"/>
                <w:lang w:eastAsia="zh-CN"/>
              </w:rPr>
              <w:t>、</w:t>
            </w:r>
            <w:r>
              <w:rPr>
                <w:rFonts w:hint="eastAsia" w:ascii="宋体" w:hAnsi="宋体" w:eastAsia="宋体" w:cs="宋体"/>
                <w:sz w:val="22"/>
                <w:szCs w:val="22"/>
              </w:rPr>
              <w:t>驻场人员的管理</w:t>
            </w:r>
            <w:r>
              <w:rPr>
                <w:rFonts w:hint="eastAsia" w:ascii="宋体" w:hAnsi="宋体" w:eastAsia="宋体" w:cs="宋体"/>
                <w:sz w:val="22"/>
                <w:szCs w:val="22"/>
                <w:lang w:eastAsia="zh-CN"/>
              </w:rPr>
              <w:t>、</w:t>
            </w:r>
            <w:r>
              <w:rPr>
                <w:rFonts w:hint="eastAsia" w:ascii="宋体" w:hAnsi="宋体" w:eastAsia="宋体" w:cs="宋体"/>
                <w:sz w:val="22"/>
                <w:szCs w:val="22"/>
              </w:rPr>
              <w:t>项目紧急事件的现场支持</w:t>
            </w:r>
            <w:r>
              <w:rPr>
                <w:rFonts w:hint="eastAsia" w:ascii="宋体" w:hAnsi="宋体" w:eastAsia="宋体" w:cs="宋体"/>
                <w:sz w:val="22"/>
                <w:szCs w:val="22"/>
                <w:lang w:eastAsia="zh-CN"/>
              </w:rPr>
              <w:t>、</w:t>
            </w:r>
            <w:r>
              <w:rPr>
                <w:rFonts w:hint="eastAsia" w:ascii="宋体" w:hAnsi="宋体" w:eastAsia="宋体" w:cs="宋体"/>
                <w:sz w:val="22"/>
                <w:szCs w:val="22"/>
              </w:rPr>
              <w:t>公司二线支持人员的申请等</w:t>
            </w:r>
            <w:r>
              <w:rPr>
                <w:rFonts w:hint="eastAsia" w:ascii="宋体" w:hAnsi="宋体" w:eastAsia="宋体" w:cs="宋体"/>
                <w:sz w:val="22"/>
                <w:szCs w:val="22"/>
                <w:lang w:val="en-US" w:eastAsia="zh-CN"/>
              </w:rPr>
              <w:t>事宜</w:t>
            </w:r>
            <w:r>
              <w:rPr>
                <w:rFonts w:hint="eastAsia" w:ascii="宋体" w:hAnsi="宋体" w:eastAsia="宋体" w:cs="宋体"/>
                <w:sz w:val="22"/>
                <w:szCs w:val="22"/>
              </w:rPr>
              <w:t>。</w:t>
            </w:r>
          </w:p>
          <w:p w14:paraId="5C0A2680">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1.1.2 驻场工程师</w:t>
            </w:r>
          </w:p>
          <w:p w14:paraId="56F3A185">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具备2年以上计算机及网络维护服务经验；具备一定的专业IT维护水平，配合</w:t>
            </w:r>
            <w:r>
              <w:rPr>
                <w:rFonts w:hint="eastAsia" w:ascii="宋体" w:hAnsi="宋体" w:eastAsia="宋体" w:cs="宋体"/>
                <w:sz w:val="22"/>
                <w:szCs w:val="22"/>
                <w:lang w:val="en-US" w:eastAsia="zh-CN"/>
              </w:rPr>
              <w:t>采购人</w:t>
            </w:r>
            <w:r>
              <w:rPr>
                <w:rFonts w:hint="eastAsia" w:ascii="宋体" w:hAnsi="宋体" w:eastAsia="宋体" w:cs="宋体"/>
                <w:sz w:val="22"/>
                <w:szCs w:val="22"/>
              </w:rPr>
              <w:t>日常</w:t>
            </w:r>
            <w:r>
              <w:rPr>
                <w:rFonts w:hint="eastAsia" w:ascii="宋体" w:hAnsi="宋体" w:eastAsia="宋体" w:cs="宋体"/>
                <w:sz w:val="22"/>
                <w:szCs w:val="22"/>
                <w:lang w:val="en-US" w:eastAsia="zh-CN"/>
              </w:rPr>
              <w:t>工作</w:t>
            </w:r>
            <w:r>
              <w:rPr>
                <w:rFonts w:hint="eastAsia" w:ascii="宋体" w:hAnsi="宋体" w:eastAsia="宋体" w:cs="宋体"/>
                <w:sz w:val="22"/>
                <w:szCs w:val="22"/>
              </w:rPr>
              <w:t>安排，分配人员完成</w:t>
            </w:r>
            <w:r>
              <w:rPr>
                <w:rFonts w:hint="eastAsia" w:ascii="宋体" w:hAnsi="宋体" w:eastAsia="宋体" w:cs="宋体"/>
                <w:sz w:val="22"/>
                <w:szCs w:val="22"/>
                <w:lang w:val="en-US" w:eastAsia="zh-CN"/>
              </w:rPr>
              <w:t>采购人</w:t>
            </w:r>
            <w:r>
              <w:rPr>
                <w:rFonts w:hint="eastAsia" w:ascii="宋体" w:hAnsi="宋体" w:eastAsia="宋体" w:cs="宋体"/>
                <w:sz w:val="22"/>
                <w:szCs w:val="22"/>
              </w:rPr>
              <w:t>信息化设备具体维护任务。协助整合IT资源，协调处理应急故障解决，实时向</w:t>
            </w:r>
            <w:r>
              <w:rPr>
                <w:rFonts w:hint="eastAsia" w:ascii="宋体" w:hAnsi="宋体" w:eastAsia="宋体" w:cs="宋体"/>
                <w:sz w:val="22"/>
                <w:szCs w:val="22"/>
                <w:lang w:val="en-US" w:eastAsia="zh-CN"/>
              </w:rPr>
              <w:t>采购人</w:t>
            </w:r>
            <w:r>
              <w:rPr>
                <w:rFonts w:hint="eastAsia" w:ascii="宋体" w:hAnsi="宋体" w:eastAsia="宋体" w:cs="宋体"/>
                <w:sz w:val="22"/>
                <w:szCs w:val="22"/>
              </w:rPr>
              <w:t>报告情况，并建立信息日志档案。</w:t>
            </w:r>
            <w:r>
              <w:rPr>
                <w:rFonts w:hint="eastAsia" w:ascii="宋体" w:hAnsi="宋体" w:eastAsia="宋体" w:cs="宋体"/>
                <w:sz w:val="22"/>
                <w:szCs w:val="22"/>
                <w:lang w:val="en-US" w:eastAsia="zh-CN"/>
              </w:rPr>
              <w:t>协助采购人开展</w:t>
            </w:r>
            <w:r>
              <w:rPr>
                <w:rFonts w:hint="eastAsia" w:ascii="宋体" w:hAnsi="宋体" w:eastAsia="宋体" w:cs="宋体"/>
                <w:sz w:val="22"/>
                <w:szCs w:val="22"/>
              </w:rPr>
              <w:t>机房的日常管理</w:t>
            </w:r>
            <w:r>
              <w:rPr>
                <w:rFonts w:hint="eastAsia" w:ascii="宋体" w:hAnsi="宋体" w:eastAsia="宋体" w:cs="宋体"/>
                <w:sz w:val="22"/>
                <w:szCs w:val="22"/>
                <w:lang w:val="en-US" w:eastAsia="zh-CN"/>
              </w:rPr>
              <w:t>工作，</w:t>
            </w:r>
            <w:r>
              <w:rPr>
                <w:rFonts w:hint="eastAsia" w:ascii="宋体" w:hAnsi="宋体" w:eastAsia="宋体" w:cs="宋体"/>
                <w:sz w:val="22"/>
                <w:szCs w:val="22"/>
              </w:rPr>
              <w:t>完善硬件与软件系统有效运作，确保</w:t>
            </w:r>
            <w:r>
              <w:rPr>
                <w:rFonts w:hint="eastAsia" w:ascii="宋体" w:hAnsi="宋体" w:eastAsia="宋体" w:cs="宋体"/>
                <w:sz w:val="22"/>
                <w:szCs w:val="22"/>
                <w:lang w:val="en-US" w:eastAsia="zh-CN"/>
              </w:rPr>
              <w:t>采购人</w:t>
            </w:r>
            <w:r>
              <w:rPr>
                <w:rFonts w:hint="eastAsia" w:ascii="宋体" w:hAnsi="宋体" w:eastAsia="宋体" w:cs="宋体"/>
                <w:sz w:val="22"/>
                <w:szCs w:val="22"/>
              </w:rPr>
              <w:t>网络系统畅通无阻。</w:t>
            </w:r>
          </w:p>
          <w:p w14:paraId="3AD48BE6">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lang w:val="en-US" w:eastAsia="zh-CN"/>
              </w:rPr>
            </w:pPr>
            <w:r>
              <w:rPr>
                <w:rFonts w:hint="eastAsia" w:ascii="宋体" w:hAnsi="宋体" w:eastAsia="宋体" w:cs="宋体"/>
                <w:b/>
                <w:bCs/>
                <w:sz w:val="22"/>
                <w:szCs w:val="22"/>
                <w:lang w:val="en-US" w:eastAsia="zh-CN"/>
              </w:rPr>
              <w:t>1.1.3其他</w:t>
            </w:r>
            <w:r>
              <w:rPr>
                <w:rFonts w:hint="eastAsia" w:ascii="宋体" w:hAnsi="宋体" w:eastAsia="宋体" w:cs="宋体"/>
                <w:b/>
                <w:bCs/>
                <w:sz w:val="22"/>
                <w:szCs w:val="22"/>
              </w:rPr>
              <w:t>运维</w:t>
            </w:r>
            <w:r>
              <w:rPr>
                <w:rFonts w:hint="eastAsia" w:ascii="宋体" w:hAnsi="宋体" w:eastAsia="宋体" w:cs="宋体"/>
                <w:b/>
                <w:bCs/>
                <w:sz w:val="22"/>
                <w:szCs w:val="22"/>
                <w:lang w:val="en-US" w:eastAsia="zh-CN"/>
              </w:rPr>
              <w:t>人员</w:t>
            </w:r>
          </w:p>
          <w:p w14:paraId="707A5B57">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具备2年以上视频监控系统维修经验的工程师，为本项目正常运行提供技术支持。</w:t>
            </w:r>
          </w:p>
          <w:p w14:paraId="425CF2FD">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442" w:firstLineChars="200"/>
              <w:textAlignment w:val="auto"/>
              <w:rPr>
                <w:rFonts w:hint="eastAsia" w:ascii="宋体" w:hAnsi="宋体" w:eastAsia="宋体" w:cs="宋体"/>
                <w:b/>
                <w:bCs/>
                <w:sz w:val="22"/>
                <w:szCs w:val="22"/>
                <w:lang w:val="en-US" w:eastAsia="zh-CN"/>
              </w:rPr>
            </w:pPr>
            <w:r>
              <w:rPr>
                <w:rFonts w:hint="eastAsia" w:ascii="宋体" w:hAnsi="宋体" w:eastAsia="宋体" w:cs="宋体"/>
                <w:b/>
                <w:bCs/>
                <w:kern w:val="2"/>
                <w:sz w:val="22"/>
                <w:szCs w:val="22"/>
                <w:lang w:val="en-US" w:eastAsia="zh-CN" w:bidi="ar-SA"/>
              </w:rPr>
              <w:t>1.2</w:t>
            </w:r>
            <w:r>
              <w:rPr>
                <w:rFonts w:hint="eastAsia" w:ascii="宋体" w:hAnsi="宋体" w:eastAsia="宋体" w:cs="宋体"/>
                <w:b/>
                <w:bCs/>
                <w:sz w:val="22"/>
                <w:szCs w:val="22"/>
              </w:rPr>
              <w:t>服务工具配备</w:t>
            </w:r>
            <w:r>
              <w:rPr>
                <w:rFonts w:hint="eastAsia" w:ascii="宋体" w:hAnsi="宋体" w:eastAsia="宋体" w:cs="宋体"/>
                <w:b/>
                <w:bCs/>
                <w:sz w:val="22"/>
                <w:szCs w:val="22"/>
                <w:lang w:val="en-US" w:eastAsia="zh-CN"/>
              </w:rPr>
              <w:t>要求</w:t>
            </w:r>
          </w:p>
          <w:p w14:paraId="72806890">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每名服务工程师</w:t>
            </w:r>
            <w:r>
              <w:rPr>
                <w:rFonts w:hint="eastAsia" w:ascii="宋体" w:hAnsi="宋体" w:eastAsia="宋体" w:cs="宋体"/>
                <w:sz w:val="22"/>
                <w:szCs w:val="22"/>
                <w:lang w:val="en-US" w:eastAsia="zh-CN"/>
              </w:rPr>
              <w:t>需</w:t>
            </w:r>
            <w:r>
              <w:rPr>
                <w:rFonts w:hint="eastAsia" w:ascii="宋体" w:hAnsi="宋体" w:eastAsia="宋体" w:cs="宋体"/>
                <w:sz w:val="22"/>
                <w:szCs w:val="22"/>
              </w:rPr>
              <w:t>配备专业的维护工具，在日常维护服务中采用依据ITIL国际标准对</w:t>
            </w:r>
            <w:r>
              <w:rPr>
                <w:rFonts w:hint="eastAsia" w:ascii="宋体" w:hAnsi="宋体" w:eastAsia="宋体" w:cs="宋体"/>
                <w:sz w:val="22"/>
                <w:szCs w:val="22"/>
                <w:lang w:val="en-US" w:eastAsia="zh-CN"/>
              </w:rPr>
              <w:t>运维</w:t>
            </w:r>
            <w:r>
              <w:rPr>
                <w:rFonts w:hint="eastAsia" w:ascii="宋体" w:hAnsi="宋体" w:eastAsia="宋体" w:cs="宋体"/>
                <w:sz w:val="22"/>
                <w:szCs w:val="22"/>
              </w:rPr>
              <w:t>服务</w:t>
            </w:r>
            <w:r>
              <w:rPr>
                <w:rFonts w:hint="eastAsia" w:ascii="宋体" w:hAnsi="宋体" w:eastAsia="宋体" w:cs="宋体"/>
                <w:sz w:val="22"/>
                <w:szCs w:val="22"/>
                <w:lang w:val="en-US" w:eastAsia="zh-CN"/>
              </w:rPr>
              <w:t>全</w:t>
            </w:r>
            <w:r>
              <w:rPr>
                <w:rFonts w:hint="eastAsia" w:ascii="宋体" w:hAnsi="宋体" w:eastAsia="宋体" w:cs="宋体"/>
                <w:sz w:val="22"/>
                <w:szCs w:val="22"/>
              </w:rPr>
              <w:t>过程进行规范管理。</w:t>
            </w:r>
          </w:p>
          <w:p w14:paraId="36AF6A33">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1.2.1</w:t>
            </w:r>
            <w:r>
              <w:rPr>
                <w:rFonts w:hint="eastAsia" w:ascii="宋体" w:hAnsi="宋体" w:eastAsia="宋体" w:cs="宋体"/>
                <w:b/>
                <w:bCs/>
                <w:sz w:val="22"/>
                <w:szCs w:val="22"/>
              </w:rPr>
              <w:t>日常技术服务所涉及的软硬件工具</w:t>
            </w:r>
          </w:p>
          <w:p w14:paraId="2F388A8C">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设置1台</w:t>
            </w:r>
            <w:r>
              <w:rPr>
                <w:rFonts w:hint="eastAsia" w:ascii="宋体" w:hAnsi="宋体" w:eastAsia="宋体" w:cs="宋体"/>
                <w:sz w:val="22"/>
                <w:szCs w:val="22"/>
                <w:lang w:val="en-US" w:eastAsia="zh-CN"/>
              </w:rPr>
              <w:t>专用</w:t>
            </w:r>
            <w:r>
              <w:rPr>
                <w:rFonts w:hint="eastAsia" w:ascii="宋体" w:hAnsi="宋体" w:eastAsia="宋体" w:cs="宋体"/>
                <w:sz w:val="22"/>
                <w:szCs w:val="22"/>
              </w:rPr>
              <w:t>移动电话，作为服务台与</w:t>
            </w:r>
            <w:r>
              <w:rPr>
                <w:rFonts w:hint="eastAsia" w:ascii="宋体" w:hAnsi="宋体" w:eastAsia="宋体" w:cs="宋体"/>
                <w:sz w:val="22"/>
                <w:szCs w:val="22"/>
                <w:lang w:val="en-US" w:eastAsia="zh-CN"/>
              </w:rPr>
              <w:t>采购人工作</w:t>
            </w:r>
            <w:r>
              <w:rPr>
                <w:rFonts w:hint="eastAsia" w:ascii="宋体" w:hAnsi="宋体" w:eastAsia="宋体" w:cs="宋体"/>
                <w:sz w:val="22"/>
                <w:szCs w:val="22"/>
              </w:rPr>
              <w:t>沟通</w:t>
            </w:r>
            <w:r>
              <w:rPr>
                <w:rFonts w:hint="eastAsia" w:ascii="宋体" w:hAnsi="宋体" w:eastAsia="宋体" w:cs="宋体"/>
                <w:sz w:val="22"/>
                <w:szCs w:val="22"/>
                <w:lang w:val="en-US" w:eastAsia="zh-CN"/>
              </w:rPr>
              <w:t>专线</w:t>
            </w:r>
            <w:r>
              <w:rPr>
                <w:rFonts w:hint="eastAsia" w:ascii="宋体" w:hAnsi="宋体" w:eastAsia="宋体" w:cs="宋体"/>
                <w:sz w:val="22"/>
                <w:szCs w:val="22"/>
              </w:rPr>
              <w:t>使用，24小时保持通话畅通，电话机</w:t>
            </w:r>
            <w:r>
              <w:rPr>
                <w:rFonts w:hint="eastAsia" w:ascii="宋体" w:hAnsi="宋体" w:eastAsia="宋体" w:cs="宋体"/>
                <w:sz w:val="22"/>
                <w:szCs w:val="22"/>
                <w:lang w:val="en-US" w:eastAsia="zh-CN"/>
              </w:rPr>
              <w:t>需</w:t>
            </w:r>
            <w:r>
              <w:rPr>
                <w:rFonts w:hint="eastAsia" w:ascii="宋体" w:hAnsi="宋体" w:eastAsia="宋体" w:cs="宋体"/>
                <w:sz w:val="22"/>
                <w:szCs w:val="22"/>
              </w:rPr>
              <w:t>具备免提、耳机等功能以</w:t>
            </w:r>
            <w:r>
              <w:rPr>
                <w:rFonts w:hint="eastAsia" w:ascii="宋体" w:hAnsi="宋体" w:eastAsia="宋体" w:cs="宋体"/>
                <w:sz w:val="22"/>
                <w:szCs w:val="22"/>
                <w:lang w:val="en-US" w:eastAsia="zh-CN"/>
              </w:rPr>
              <w:t>适应</w:t>
            </w:r>
            <w:r>
              <w:rPr>
                <w:rFonts w:hint="eastAsia" w:ascii="宋体" w:hAnsi="宋体" w:eastAsia="宋体" w:cs="宋体"/>
                <w:sz w:val="22"/>
                <w:szCs w:val="22"/>
              </w:rPr>
              <w:t>服务台工作。</w:t>
            </w:r>
          </w:p>
          <w:p w14:paraId="2AF78FBB">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在常驻的办公场所内，每名维护人员</w:t>
            </w:r>
            <w:r>
              <w:rPr>
                <w:rFonts w:hint="eastAsia" w:ascii="宋体" w:hAnsi="宋体" w:eastAsia="宋体" w:cs="宋体"/>
                <w:sz w:val="22"/>
                <w:szCs w:val="22"/>
                <w:lang w:val="en-US" w:eastAsia="zh-CN"/>
              </w:rPr>
              <w:t>均需</w:t>
            </w:r>
            <w:r>
              <w:rPr>
                <w:rFonts w:hint="eastAsia" w:ascii="宋体" w:hAnsi="宋体" w:eastAsia="宋体" w:cs="宋体"/>
                <w:sz w:val="22"/>
                <w:szCs w:val="22"/>
              </w:rPr>
              <w:t>配置1台台式电脑以及其他必要的维护设备和工具</w:t>
            </w:r>
            <w:r>
              <w:rPr>
                <w:rFonts w:hint="eastAsia" w:ascii="宋体" w:hAnsi="宋体" w:eastAsia="宋体" w:cs="宋体"/>
                <w:sz w:val="22"/>
                <w:szCs w:val="22"/>
                <w:lang w:eastAsia="zh-CN"/>
              </w:rPr>
              <w:t>，</w:t>
            </w:r>
            <w:r>
              <w:rPr>
                <w:rFonts w:hint="eastAsia" w:ascii="宋体" w:hAnsi="宋体" w:eastAsia="宋体" w:cs="宋体"/>
                <w:sz w:val="22"/>
                <w:szCs w:val="22"/>
              </w:rPr>
              <w:t>以供维护人员在</w:t>
            </w:r>
            <w:r>
              <w:rPr>
                <w:rFonts w:hint="eastAsia" w:ascii="宋体" w:hAnsi="宋体" w:eastAsia="宋体" w:cs="宋体"/>
                <w:sz w:val="22"/>
                <w:szCs w:val="22"/>
                <w:lang w:val="en-US" w:eastAsia="zh-CN"/>
              </w:rPr>
              <w:t>运维</w:t>
            </w:r>
            <w:r>
              <w:rPr>
                <w:rFonts w:hint="eastAsia" w:ascii="宋体" w:hAnsi="宋体" w:eastAsia="宋体" w:cs="宋体"/>
                <w:sz w:val="22"/>
                <w:szCs w:val="22"/>
              </w:rPr>
              <w:t>工作中使用。</w:t>
            </w:r>
          </w:p>
          <w:p w14:paraId="66B7770E">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为确保工程师能够及时有效的完成服务请求处理，</w:t>
            </w:r>
            <w:r>
              <w:rPr>
                <w:rFonts w:hint="eastAsia" w:ascii="宋体" w:hAnsi="宋体" w:eastAsia="宋体" w:cs="宋体"/>
                <w:sz w:val="22"/>
                <w:szCs w:val="22"/>
                <w:lang w:val="en-US" w:eastAsia="zh-CN"/>
              </w:rPr>
              <w:t>还需配置以下</w:t>
            </w:r>
            <w:r>
              <w:rPr>
                <w:rFonts w:hint="eastAsia" w:ascii="宋体" w:hAnsi="宋体" w:eastAsia="宋体" w:cs="宋体"/>
                <w:sz w:val="22"/>
                <w:szCs w:val="22"/>
              </w:rPr>
              <w:t>工具：</w:t>
            </w:r>
          </w:p>
          <w:tbl>
            <w:tblPr>
              <w:tblStyle w:val="18"/>
              <w:tblW w:w="6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850"/>
              <w:gridCol w:w="3587"/>
            </w:tblGrid>
            <w:tr w14:paraId="1DCB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blHeader/>
                <w:jc w:val="center"/>
              </w:trPr>
              <w:tc>
                <w:tcPr>
                  <w:tcW w:w="1041" w:type="dxa"/>
                  <w:vAlign w:val="center"/>
                </w:tcPr>
                <w:p w14:paraId="3F5E4753">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color w:val="000000"/>
                      <w:sz w:val="22"/>
                      <w:szCs w:val="22"/>
                    </w:rPr>
                  </w:pPr>
                  <w:r>
                    <w:rPr>
                      <w:rFonts w:hint="eastAsia" w:ascii="宋体" w:hAnsi="宋体" w:eastAsia="宋体" w:cs="宋体"/>
                      <w:b/>
                      <w:bCs/>
                      <w:color w:val="000000"/>
                      <w:sz w:val="22"/>
                      <w:szCs w:val="22"/>
                    </w:rPr>
                    <w:t>序号</w:t>
                  </w:r>
                </w:p>
              </w:tc>
              <w:tc>
                <w:tcPr>
                  <w:tcW w:w="1850" w:type="dxa"/>
                  <w:vAlign w:val="center"/>
                </w:tcPr>
                <w:p w14:paraId="303C39C2">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color w:val="000000"/>
                      <w:sz w:val="22"/>
                      <w:szCs w:val="22"/>
                    </w:rPr>
                  </w:pPr>
                  <w:r>
                    <w:rPr>
                      <w:rFonts w:hint="eastAsia" w:ascii="宋体" w:hAnsi="宋体" w:eastAsia="宋体" w:cs="宋体"/>
                      <w:b/>
                      <w:bCs/>
                      <w:color w:val="000000"/>
                      <w:sz w:val="22"/>
                      <w:szCs w:val="22"/>
                    </w:rPr>
                    <w:t>工具名称</w:t>
                  </w:r>
                </w:p>
              </w:tc>
              <w:tc>
                <w:tcPr>
                  <w:tcW w:w="3587" w:type="dxa"/>
                  <w:vAlign w:val="center"/>
                </w:tcPr>
                <w:p w14:paraId="6573BB67">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color w:val="000000"/>
                      <w:sz w:val="22"/>
                      <w:szCs w:val="22"/>
                    </w:rPr>
                  </w:pPr>
                  <w:r>
                    <w:rPr>
                      <w:rFonts w:hint="eastAsia" w:ascii="宋体" w:hAnsi="宋体" w:eastAsia="宋体" w:cs="宋体"/>
                      <w:b/>
                      <w:bCs/>
                      <w:color w:val="000000"/>
                      <w:sz w:val="22"/>
                      <w:szCs w:val="22"/>
                    </w:rPr>
                    <w:t>工具用途</w:t>
                  </w:r>
                </w:p>
              </w:tc>
            </w:tr>
            <w:tr w14:paraId="50A72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41" w:type="dxa"/>
                  <w:vAlign w:val="center"/>
                </w:tcPr>
                <w:p w14:paraId="543EB1A3">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1</w:t>
                  </w:r>
                </w:p>
              </w:tc>
              <w:tc>
                <w:tcPr>
                  <w:tcW w:w="1850" w:type="dxa"/>
                  <w:vAlign w:val="center"/>
                </w:tcPr>
                <w:p w14:paraId="004285C7">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笔记本电脑</w:t>
                  </w:r>
                </w:p>
              </w:tc>
              <w:tc>
                <w:tcPr>
                  <w:tcW w:w="3587" w:type="dxa"/>
                  <w:vAlign w:val="center"/>
                </w:tcPr>
                <w:p w14:paraId="3364FE99">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用于日常办公和网络测试</w:t>
                  </w:r>
                </w:p>
              </w:tc>
            </w:tr>
            <w:tr w14:paraId="7A03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41" w:type="dxa"/>
                  <w:vAlign w:val="center"/>
                </w:tcPr>
                <w:p w14:paraId="6B27A282">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2</w:t>
                  </w:r>
                </w:p>
              </w:tc>
              <w:tc>
                <w:tcPr>
                  <w:tcW w:w="1850" w:type="dxa"/>
                  <w:vAlign w:val="center"/>
                </w:tcPr>
                <w:p w14:paraId="455F5C1B">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4G U盘</w:t>
                  </w:r>
                </w:p>
              </w:tc>
              <w:tc>
                <w:tcPr>
                  <w:tcW w:w="3587" w:type="dxa"/>
                  <w:vAlign w:val="center"/>
                </w:tcPr>
                <w:p w14:paraId="57604EFD">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用于日常维护</w:t>
                  </w:r>
                </w:p>
              </w:tc>
            </w:tr>
            <w:tr w14:paraId="131E5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41" w:type="dxa"/>
                  <w:vAlign w:val="center"/>
                </w:tcPr>
                <w:p w14:paraId="75678804">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3</w:t>
                  </w:r>
                </w:p>
              </w:tc>
              <w:tc>
                <w:tcPr>
                  <w:tcW w:w="1850" w:type="dxa"/>
                  <w:vAlign w:val="center"/>
                </w:tcPr>
                <w:p w14:paraId="553133A7">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两用网线钳</w:t>
                  </w:r>
                </w:p>
              </w:tc>
              <w:tc>
                <w:tcPr>
                  <w:tcW w:w="3587" w:type="dxa"/>
                  <w:vAlign w:val="center"/>
                </w:tcPr>
                <w:p w14:paraId="247F191B">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制作电话、网线水晶头</w:t>
                  </w:r>
                </w:p>
              </w:tc>
            </w:tr>
            <w:tr w14:paraId="4E4BF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41" w:type="dxa"/>
                  <w:vAlign w:val="center"/>
                </w:tcPr>
                <w:p w14:paraId="2BF09CB4">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4</w:t>
                  </w:r>
                </w:p>
              </w:tc>
              <w:tc>
                <w:tcPr>
                  <w:tcW w:w="1850" w:type="dxa"/>
                  <w:vAlign w:val="center"/>
                </w:tcPr>
                <w:p w14:paraId="2C27C0FE">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大、小螺丝刀</w:t>
                  </w:r>
                </w:p>
              </w:tc>
              <w:tc>
                <w:tcPr>
                  <w:tcW w:w="3587" w:type="dxa"/>
                  <w:vAlign w:val="center"/>
                </w:tcPr>
                <w:p w14:paraId="5F2FCA92">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设备上架、拆迁等</w:t>
                  </w:r>
                </w:p>
              </w:tc>
            </w:tr>
            <w:tr w14:paraId="7B6C4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41" w:type="dxa"/>
                  <w:vAlign w:val="center"/>
                </w:tcPr>
                <w:p w14:paraId="673557EE">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5</w:t>
                  </w:r>
                </w:p>
              </w:tc>
              <w:tc>
                <w:tcPr>
                  <w:tcW w:w="1850" w:type="dxa"/>
                  <w:vAlign w:val="center"/>
                </w:tcPr>
                <w:p w14:paraId="7E400B3D">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镊子</w:t>
                  </w:r>
                </w:p>
              </w:tc>
              <w:tc>
                <w:tcPr>
                  <w:tcW w:w="3587" w:type="dxa"/>
                  <w:vAlign w:val="center"/>
                </w:tcPr>
                <w:p w14:paraId="5D3E8DB3">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杂物清除</w:t>
                  </w:r>
                </w:p>
              </w:tc>
            </w:tr>
            <w:tr w14:paraId="2425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41" w:type="dxa"/>
                  <w:vAlign w:val="center"/>
                </w:tcPr>
                <w:p w14:paraId="15477B31">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6</w:t>
                  </w:r>
                </w:p>
              </w:tc>
              <w:tc>
                <w:tcPr>
                  <w:tcW w:w="1850" w:type="dxa"/>
                  <w:vAlign w:val="center"/>
                </w:tcPr>
                <w:p w14:paraId="13CE82B8">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剥线钳</w:t>
                  </w:r>
                </w:p>
              </w:tc>
              <w:tc>
                <w:tcPr>
                  <w:tcW w:w="3587" w:type="dxa"/>
                  <w:vAlign w:val="center"/>
                </w:tcPr>
                <w:p w14:paraId="4DB43CF6">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制作网线、网线剥皮</w:t>
                  </w:r>
                </w:p>
              </w:tc>
            </w:tr>
            <w:tr w14:paraId="0E65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41" w:type="dxa"/>
                  <w:vAlign w:val="center"/>
                </w:tcPr>
                <w:p w14:paraId="4817D15B">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7</w:t>
                  </w:r>
                </w:p>
              </w:tc>
              <w:tc>
                <w:tcPr>
                  <w:tcW w:w="1850" w:type="dxa"/>
                  <w:vAlign w:val="center"/>
                </w:tcPr>
                <w:p w14:paraId="3878AC33">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尖嘴钳</w:t>
                  </w:r>
                </w:p>
              </w:tc>
              <w:tc>
                <w:tcPr>
                  <w:tcW w:w="3587" w:type="dxa"/>
                  <w:vAlign w:val="center"/>
                </w:tcPr>
                <w:p w14:paraId="2EE58544">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设备上架、拆迁等</w:t>
                  </w:r>
                </w:p>
              </w:tc>
            </w:tr>
            <w:tr w14:paraId="799F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41" w:type="dxa"/>
                  <w:vAlign w:val="center"/>
                </w:tcPr>
                <w:p w14:paraId="7A4CBCF1">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8</w:t>
                  </w:r>
                </w:p>
              </w:tc>
              <w:tc>
                <w:tcPr>
                  <w:tcW w:w="1850" w:type="dxa"/>
                  <w:vAlign w:val="center"/>
                </w:tcPr>
                <w:p w14:paraId="374BD47C">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斜口钳</w:t>
                  </w:r>
                </w:p>
              </w:tc>
              <w:tc>
                <w:tcPr>
                  <w:tcW w:w="3587" w:type="dxa"/>
                  <w:vAlign w:val="center"/>
                </w:tcPr>
                <w:p w14:paraId="7B28FF27">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剪线</w:t>
                  </w:r>
                </w:p>
              </w:tc>
            </w:tr>
            <w:tr w14:paraId="19702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41" w:type="dxa"/>
                  <w:vAlign w:val="center"/>
                </w:tcPr>
                <w:p w14:paraId="6A0B8157">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9</w:t>
                  </w:r>
                </w:p>
              </w:tc>
              <w:tc>
                <w:tcPr>
                  <w:tcW w:w="1850" w:type="dxa"/>
                  <w:vAlign w:val="center"/>
                </w:tcPr>
                <w:p w14:paraId="3E60DE1D">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万用表</w:t>
                  </w:r>
                </w:p>
              </w:tc>
              <w:tc>
                <w:tcPr>
                  <w:tcW w:w="3587" w:type="dxa"/>
                  <w:vAlign w:val="center"/>
                </w:tcPr>
                <w:p w14:paraId="21A8EDDA">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检查设备板卡线路、测试电压等</w:t>
                  </w:r>
                </w:p>
              </w:tc>
            </w:tr>
            <w:tr w14:paraId="6B7BA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41" w:type="dxa"/>
                  <w:vAlign w:val="center"/>
                </w:tcPr>
                <w:p w14:paraId="6FE98050">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10</w:t>
                  </w:r>
                </w:p>
              </w:tc>
              <w:tc>
                <w:tcPr>
                  <w:tcW w:w="1850" w:type="dxa"/>
                  <w:vAlign w:val="center"/>
                </w:tcPr>
                <w:p w14:paraId="5B550639">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三用测线仪</w:t>
                  </w:r>
                </w:p>
              </w:tc>
              <w:tc>
                <w:tcPr>
                  <w:tcW w:w="3587" w:type="dxa"/>
                  <w:vAlign w:val="center"/>
                </w:tcPr>
                <w:p w14:paraId="0EDA618A">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测试线路连通性（网线、电话线）</w:t>
                  </w:r>
                </w:p>
              </w:tc>
            </w:tr>
            <w:tr w14:paraId="3D29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41" w:type="dxa"/>
                  <w:vAlign w:val="center"/>
                </w:tcPr>
                <w:p w14:paraId="1786031E">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11</w:t>
                  </w:r>
                </w:p>
              </w:tc>
              <w:tc>
                <w:tcPr>
                  <w:tcW w:w="1850" w:type="dxa"/>
                  <w:vAlign w:val="center"/>
                </w:tcPr>
                <w:p w14:paraId="38254EE8">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电工胶布</w:t>
                  </w:r>
                </w:p>
              </w:tc>
              <w:tc>
                <w:tcPr>
                  <w:tcW w:w="3587" w:type="dxa"/>
                  <w:vAlign w:val="center"/>
                </w:tcPr>
                <w:p w14:paraId="318D4A17">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包扎裸露线路</w:t>
                  </w:r>
                </w:p>
              </w:tc>
            </w:tr>
            <w:tr w14:paraId="2252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41" w:type="dxa"/>
                  <w:vAlign w:val="center"/>
                </w:tcPr>
                <w:p w14:paraId="3B8F1457">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12</w:t>
                  </w:r>
                </w:p>
              </w:tc>
              <w:tc>
                <w:tcPr>
                  <w:tcW w:w="1850" w:type="dxa"/>
                  <w:vAlign w:val="center"/>
                </w:tcPr>
                <w:p w14:paraId="5A64C929">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毛刷子</w:t>
                  </w:r>
                </w:p>
              </w:tc>
              <w:tc>
                <w:tcPr>
                  <w:tcW w:w="3587" w:type="dxa"/>
                  <w:vAlign w:val="center"/>
                </w:tcPr>
                <w:p w14:paraId="268859EA">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巡检工具，清理灰尘</w:t>
                  </w:r>
                </w:p>
              </w:tc>
            </w:tr>
            <w:tr w14:paraId="23CDA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41" w:type="dxa"/>
                  <w:vAlign w:val="center"/>
                </w:tcPr>
                <w:p w14:paraId="0B918EF0">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13</w:t>
                  </w:r>
                </w:p>
              </w:tc>
              <w:tc>
                <w:tcPr>
                  <w:tcW w:w="1850" w:type="dxa"/>
                  <w:vAlign w:val="center"/>
                </w:tcPr>
                <w:p w14:paraId="7D347AB4">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吸水抹布</w:t>
                  </w:r>
                </w:p>
              </w:tc>
              <w:tc>
                <w:tcPr>
                  <w:tcW w:w="3587" w:type="dxa"/>
                  <w:vAlign w:val="center"/>
                </w:tcPr>
                <w:p w14:paraId="72850F42">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巡检工具，清理灰尘</w:t>
                  </w:r>
                </w:p>
              </w:tc>
            </w:tr>
            <w:tr w14:paraId="38B2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041" w:type="dxa"/>
                  <w:vAlign w:val="center"/>
                </w:tcPr>
                <w:p w14:paraId="467C948D">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14</w:t>
                  </w:r>
                </w:p>
              </w:tc>
              <w:tc>
                <w:tcPr>
                  <w:tcW w:w="1850" w:type="dxa"/>
                  <w:vAlign w:val="center"/>
                </w:tcPr>
                <w:p w14:paraId="2314D9E3">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标签纸</w:t>
                  </w:r>
                </w:p>
              </w:tc>
              <w:tc>
                <w:tcPr>
                  <w:tcW w:w="3587" w:type="dxa"/>
                  <w:vAlign w:val="center"/>
                </w:tcPr>
                <w:p w14:paraId="2872BF41">
                  <w:pPr>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设备线路临时标签</w:t>
                  </w:r>
                </w:p>
              </w:tc>
            </w:tr>
          </w:tbl>
          <w:p w14:paraId="51F042E6">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2.</w:t>
            </w:r>
            <w:r>
              <w:rPr>
                <w:rFonts w:hint="eastAsia" w:ascii="宋体" w:hAnsi="宋体" w:eastAsia="宋体" w:cs="宋体"/>
                <w:b/>
                <w:bCs/>
                <w:sz w:val="22"/>
                <w:szCs w:val="22"/>
              </w:rPr>
              <w:t>定期设备清洁和系统巡检</w:t>
            </w:r>
          </w:p>
          <w:p w14:paraId="5F31E531">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负责保障范围内的系统和设备的正常运行。每半年技术工程师</w:t>
            </w:r>
            <w:r>
              <w:rPr>
                <w:rFonts w:hint="eastAsia" w:ascii="宋体" w:hAnsi="宋体" w:eastAsia="宋体" w:cs="宋体"/>
                <w:sz w:val="22"/>
                <w:szCs w:val="22"/>
                <w:lang w:val="en-US" w:eastAsia="zh-CN"/>
              </w:rPr>
              <w:t>需</w:t>
            </w:r>
            <w:r>
              <w:rPr>
                <w:rFonts w:hint="eastAsia" w:ascii="宋体" w:hAnsi="宋体" w:eastAsia="宋体" w:cs="宋体"/>
                <w:sz w:val="22"/>
                <w:szCs w:val="22"/>
              </w:rPr>
              <w:t>对设备的灰尘进行清理，每个季度</w:t>
            </w:r>
            <w:r>
              <w:rPr>
                <w:rFonts w:hint="eastAsia" w:ascii="宋体" w:hAnsi="宋体" w:eastAsia="宋体" w:cs="宋体"/>
                <w:sz w:val="22"/>
                <w:szCs w:val="22"/>
                <w:lang w:val="en-US" w:eastAsia="zh-CN"/>
              </w:rPr>
              <w:t>需</w:t>
            </w:r>
            <w:r>
              <w:rPr>
                <w:rFonts w:hint="eastAsia" w:ascii="宋体" w:hAnsi="宋体" w:eastAsia="宋体" w:cs="宋体"/>
                <w:sz w:val="22"/>
                <w:szCs w:val="22"/>
              </w:rPr>
              <w:t>进行硬件设备和软件系统的预防性检查与维护，排除系统的隐患，提高系统安全性</w:t>
            </w:r>
            <w:r>
              <w:rPr>
                <w:rFonts w:hint="eastAsia" w:ascii="宋体" w:hAnsi="宋体" w:eastAsia="宋体" w:cs="宋体"/>
                <w:sz w:val="22"/>
                <w:szCs w:val="22"/>
                <w:lang w:val="en-US" w:eastAsia="zh-CN"/>
              </w:rPr>
              <w:t>和</w:t>
            </w:r>
            <w:r>
              <w:rPr>
                <w:rFonts w:hint="eastAsia" w:ascii="宋体" w:hAnsi="宋体" w:eastAsia="宋体" w:cs="宋体"/>
                <w:sz w:val="22"/>
                <w:szCs w:val="22"/>
              </w:rPr>
              <w:t>可用性。每天定期使用IT运维监控工具对应用系统资源和运行情况进行监控和报警，并提</w:t>
            </w:r>
            <w:r>
              <w:rPr>
                <w:rFonts w:hint="eastAsia" w:ascii="宋体" w:hAnsi="宋体" w:eastAsia="宋体" w:cs="宋体"/>
                <w:sz w:val="22"/>
                <w:szCs w:val="22"/>
                <w:lang w:val="en-US" w:eastAsia="zh-CN"/>
              </w:rPr>
              <w:t>交</w:t>
            </w:r>
            <w:r>
              <w:rPr>
                <w:rFonts w:hint="eastAsia" w:ascii="宋体" w:hAnsi="宋体" w:eastAsia="宋体" w:cs="宋体"/>
                <w:sz w:val="22"/>
                <w:szCs w:val="22"/>
              </w:rPr>
              <w:t>运行情况报告。</w:t>
            </w:r>
          </w:p>
          <w:p w14:paraId="48E82FA2">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3.</w:t>
            </w:r>
            <w:r>
              <w:rPr>
                <w:rFonts w:hint="eastAsia" w:ascii="宋体" w:hAnsi="宋体" w:eastAsia="宋体" w:cs="宋体"/>
                <w:b/>
                <w:bCs/>
                <w:sz w:val="22"/>
                <w:szCs w:val="22"/>
              </w:rPr>
              <w:t>故障修复</w:t>
            </w:r>
          </w:p>
          <w:p w14:paraId="517C0778">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3.1</w:t>
            </w:r>
            <w:r>
              <w:rPr>
                <w:rFonts w:hint="eastAsia" w:ascii="宋体" w:hAnsi="宋体" w:eastAsia="宋体" w:cs="宋体"/>
                <w:sz w:val="22"/>
                <w:szCs w:val="22"/>
              </w:rPr>
              <w:t>硬件设备排除故障服务</w:t>
            </w:r>
          </w:p>
          <w:p w14:paraId="671AA7A4">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如</w:t>
            </w:r>
            <w:r>
              <w:rPr>
                <w:rFonts w:hint="eastAsia" w:ascii="宋体" w:hAnsi="宋体" w:eastAsia="宋体" w:cs="宋体"/>
                <w:sz w:val="22"/>
                <w:szCs w:val="22"/>
                <w:lang w:val="en-US" w:eastAsia="zh-CN"/>
              </w:rPr>
              <w:t>采购人</w:t>
            </w:r>
            <w:r>
              <w:rPr>
                <w:rFonts w:hint="eastAsia" w:ascii="宋体" w:hAnsi="宋体" w:eastAsia="宋体" w:cs="宋体"/>
                <w:sz w:val="22"/>
                <w:szCs w:val="22"/>
              </w:rPr>
              <w:t>设备或系统出现故障，</w:t>
            </w:r>
            <w:r>
              <w:rPr>
                <w:rFonts w:hint="eastAsia" w:ascii="宋体" w:hAnsi="宋体" w:eastAsia="宋体" w:cs="宋体"/>
                <w:sz w:val="22"/>
                <w:szCs w:val="22"/>
                <w:lang w:val="en-US" w:eastAsia="zh-CN"/>
              </w:rPr>
              <w:t>成交供应商</w:t>
            </w:r>
            <w:r>
              <w:rPr>
                <w:rFonts w:hint="eastAsia" w:ascii="宋体" w:hAnsi="宋体" w:eastAsia="宋体" w:cs="宋体"/>
                <w:sz w:val="22"/>
                <w:szCs w:val="22"/>
              </w:rPr>
              <w:t>必须及时赶赴事故现场排除故障。</w:t>
            </w:r>
          </w:p>
          <w:p w14:paraId="11421E46">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3.2</w:t>
            </w:r>
            <w:r>
              <w:rPr>
                <w:rFonts w:hint="eastAsia" w:ascii="宋体" w:hAnsi="宋体" w:eastAsia="宋体" w:cs="宋体"/>
                <w:sz w:val="22"/>
                <w:szCs w:val="22"/>
              </w:rPr>
              <w:t>软件系统排除故障服务</w:t>
            </w:r>
          </w:p>
          <w:p w14:paraId="17FEE1E6">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如</w:t>
            </w:r>
            <w:r>
              <w:rPr>
                <w:rFonts w:hint="eastAsia" w:ascii="宋体" w:hAnsi="宋体" w:eastAsia="宋体" w:cs="宋体"/>
                <w:sz w:val="22"/>
                <w:szCs w:val="22"/>
                <w:lang w:val="en-US" w:eastAsia="zh-CN"/>
              </w:rPr>
              <w:t>采购人</w:t>
            </w:r>
            <w:r>
              <w:rPr>
                <w:rFonts w:hint="eastAsia" w:ascii="宋体" w:hAnsi="宋体" w:eastAsia="宋体" w:cs="宋体"/>
                <w:sz w:val="22"/>
                <w:szCs w:val="22"/>
              </w:rPr>
              <w:t>应用系统出现故障，</w:t>
            </w:r>
            <w:r>
              <w:rPr>
                <w:rFonts w:hint="eastAsia" w:ascii="宋体" w:hAnsi="宋体" w:eastAsia="宋体" w:cs="宋体"/>
                <w:sz w:val="22"/>
                <w:szCs w:val="22"/>
                <w:lang w:val="en-US" w:eastAsia="zh-CN"/>
              </w:rPr>
              <w:t>成交供应商</w:t>
            </w:r>
            <w:r>
              <w:rPr>
                <w:rFonts w:hint="eastAsia" w:ascii="宋体" w:hAnsi="宋体" w:eastAsia="宋体" w:cs="宋体"/>
                <w:sz w:val="22"/>
                <w:szCs w:val="22"/>
              </w:rPr>
              <w:t>必须及时赶赴事故现场排除故障。如需软件</w:t>
            </w:r>
            <w:r>
              <w:rPr>
                <w:rFonts w:hint="eastAsia" w:ascii="宋体" w:hAnsi="宋体" w:eastAsia="宋体" w:cs="宋体"/>
                <w:sz w:val="22"/>
                <w:szCs w:val="22"/>
                <w:lang w:eastAsia="zh-CN"/>
              </w:rPr>
              <w:t>开发商</w:t>
            </w:r>
            <w:r>
              <w:rPr>
                <w:rFonts w:hint="eastAsia" w:ascii="宋体" w:hAnsi="宋体" w:eastAsia="宋体" w:cs="宋体"/>
                <w:sz w:val="22"/>
                <w:szCs w:val="22"/>
              </w:rPr>
              <w:t>配合修复系统，成交供应商</w:t>
            </w:r>
            <w:r>
              <w:rPr>
                <w:rFonts w:hint="eastAsia" w:ascii="宋体" w:hAnsi="宋体" w:eastAsia="宋体" w:cs="宋体"/>
                <w:sz w:val="22"/>
                <w:szCs w:val="22"/>
                <w:lang w:val="en-US" w:eastAsia="zh-CN"/>
              </w:rPr>
              <w:t>应进行</w:t>
            </w:r>
            <w:r>
              <w:rPr>
                <w:rFonts w:hint="eastAsia" w:ascii="宋体" w:hAnsi="宋体" w:eastAsia="宋体" w:cs="宋体"/>
                <w:sz w:val="22"/>
                <w:szCs w:val="22"/>
              </w:rPr>
              <w:t>协助直至系统修复。</w:t>
            </w:r>
            <w:r>
              <w:rPr>
                <w:rFonts w:hint="eastAsia" w:ascii="宋体" w:hAnsi="宋体" w:eastAsia="宋体" w:cs="宋体"/>
                <w:sz w:val="22"/>
                <w:szCs w:val="22"/>
                <w:lang w:val="en-US" w:eastAsia="zh-CN"/>
              </w:rPr>
              <w:t>成交供应商还需</w:t>
            </w:r>
            <w:r>
              <w:rPr>
                <w:rFonts w:hint="eastAsia" w:ascii="宋体" w:hAnsi="宋体" w:eastAsia="宋体" w:cs="宋体"/>
                <w:sz w:val="22"/>
                <w:szCs w:val="22"/>
              </w:rPr>
              <w:t>每天通过IT服务管理系统填写工作事件报告。</w:t>
            </w:r>
          </w:p>
          <w:p w14:paraId="6DC18344">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4.</w:t>
            </w:r>
            <w:r>
              <w:rPr>
                <w:rFonts w:hint="eastAsia" w:ascii="宋体" w:hAnsi="宋体" w:eastAsia="宋体" w:cs="宋体"/>
                <w:b/>
                <w:bCs/>
                <w:sz w:val="22"/>
                <w:szCs w:val="22"/>
              </w:rPr>
              <w:t>网络突发事件应急响应</w:t>
            </w:r>
          </w:p>
          <w:p w14:paraId="7DCB6B3C">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sz w:val="22"/>
                <w:szCs w:val="22"/>
                <w:lang w:val="en-US" w:eastAsia="zh-CN"/>
              </w:rPr>
              <w:t>成交供应商</w:t>
            </w:r>
            <w:r>
              <w:rPr>
                <w:rFonts w:hint="eastAsia" w:ascii="宋体" w:hAnsi="宋体" w:eastAsia="宋体" w:cs="宋体"/>
                <w:sz w:val="22"/>
                <w:szCs w:val="22"/>
              </w:rPr>
              <w:t>必须提供全年</w:t>
            </w:r>
            <w:r>
              <w:rPr>
                <w:rFonts w:hint="eastAsia" w:ascii="宋体" w:hAnsi="宋体" w:eastAsia="宋体" w:cs="宋体"/>
                <w:sz w:val="22"/>
                <w:szCs w:val="22"/>
                <w:lang w:val="en-US" w:eastAsia="zh-CN"/>
              </w:rPr>
              <w:t>7×</w:t>
            </w:r>
            <w:r>
              <w:rPr>
                <w:rFonts w:hint="eastAsia" w:ascii="宋体" w:hAnsi="宋体" w:eastAsia="宋体" w:cs="宋体"/>
                <w:sz w:val="22"/>
                <w:szCs w:val="22"/>
              </w:rPr>
              <w:t>24小时网络故障</w:t>
            </w:r>
            <w:r>
              <w:rPr>
                <w:rFonts w:hint="eastAsia" w:ascii="宋体" w:hAnsi="宋体" w:eastAsia="宋体" w:cs="宋体"/>
                <w:sz w:val="22"/>
                <w:szCs w:val="22"/>
                <w:lang w:val="en-US" w:eastAsia="zh-CN"/>
              </w:rPr>
              <w:t>应急</w:t>
            </w:r>
            <w:r>
              <w:rPr>
                <w:rFonts w:hint="eastAsia" w:ascii="宋体" w:hAnsi="宋体" w:eastAsia="宋体" w:cs="宋体"/>
                <w:sz w:val="22"/>
                <w:szCs w:val="22"/>
              </w:rPr>
              <w:t>响应</w:t>
            </w:r>
            <w:r>
              <w:rPr>
                <w:rFonts w:hint="eastAsia" w:ascii="宋体" w:hAnsi="宋体" w:eastAsia="宋体" w:cs="宋体"/>
                <w:sz w:val="22"/>
                <w:szCs w:val="22"/>
                <w:lang w:val="en-US" w:eastAsia="zh-CN"/>
              </w:rPr>
              <w:t>服务</w:t>
            </w:r>
            <w:r>
              <w:rPr>
                <w:rFonts w:hint="eastAsia" w:ascii="宋体" w:hAnsi="宋体" w:eastAsia="宋体" w:cs="宋体"/>
                <w:sz w:val="22"/>
                <w:szCs w:val="22"/>
              </w:rPr>
              <w:t>。</w:t>
            </w:r>
            <w:r>
              <w:rPr>
                <w:rFonts w:hint="eastAsia" w:ascii="宋体" w:hAnsi="宋体" w:eastAsia="宋体" w:cs="宋体"/>
                <w:sz w:val="22"/>
                <w:szCs w:val="22"/>
                <w:lang w:val="en-US" w:eastAsia="zh-CN"/>
              </w:rPr>
              <w:t>无需</w:t>
            </w:r>
            <w:r>
              <w:rPr>
                <w:rFonts w:hint="eastAsia" w:ascii="宋体" w:hAnsi="宋体" w:eastAsia="宋体" w:cs="宋体"/>
                <w:sz w:val="22"/>
                <w:szCs w:val="22"/>
              </w:rPr>
              <w:t>更换备件的应在8小时内解除故障,需更换备件</w:t>
            </w:r>
            <w:r>
              <w:rPr>
                <w:rFonts w:hint="eastAsia" w:ascii="宋体" w:hAnsi="宋体" w:eastAsia="宋体" w:cs="宋体"/>
                <w:sz w:val="22"/>
                <w:szCs w:val="22"/>
                <w:lang w:val="en-US" w:eastAsia="zh-CN"/>
              </w:rPr>
              <w:t>的</w:t>
            </w:r>
            <w:r>
              <w:rPr>
                <w:rFonts w:hint="eastAsia" w:ascii="宋体" w:hAnsi="宋体" w:eastAsia="宋体" w:cs="宋体"/>
                <w:sz w:val="22"/>
                <w:szCs w:val="22"/>
              </w:rPr>
              <w:t>应在24小时内解除故障。如需网络运营商协调解决故障</w:t>
            </w:r>
            <w:r>
              <w:rPr>
                <w:rFonts w:hint="eastAsia" w:ascii="宋体" w:hAnsi="宋体" w:eastAsia="宋体" w:cs="宋体"/>
                <w:sz w:val="22"/>
                <w:szCs w:val="22"/>
                <w:lang w:val="en-US" w:eastAsia="zh-CN"/>
              </w:rPr>
              <w:t>的</w:t>
            </w:r>
            <w:r>
              <w:rPr>
                <w:rFonts w:hint="eastAsia" w:ascii="宋体" w:hAnsi="宋体" w:eastAsia="宋体" w:cs="宋体"/>
                <w:sz w:val="22"/>
                <w:szCs w:val="22"/>
              </w:rPr>
              <w:t>，</w:t>
            </w:r>
            <w:r>
              <w:rPr>
                <w:rFonts w:hint="eastAsia" w:ascii="宋体" w:hAnsi="宋体" w:eastAsia="宋体" w:cs="宋体"/>
                <w:sz w:val="22"/>
                <w:szCs w:val="22"/>
                <w:lang w:val="en-US" w:eastAsia="zh-CN"/>
              </w:rPr>
              <w:t>应</w:t>
            </w:r>
            <w:r>
              <w:rPr>
                <w:rFonts w:hint="eastAsia" w:ascii="宋体" w:hAnsi="宋体" w:eastAsia="宋体" w:cs="宋体"/>
                <w:sz w:val="22"/>
                <w:szCs w:val="22"/>
              </w:rPr>
              <w:t>及时</w:t>
            </w:r>
            <w:r>
              <w:rPr>
                <w:rFonts w:hint="eastAsia" w:ascii="宋体" w:hAnsi="宋体" w:eastAsia="宋体" w:cs="宋体"/>
                <w:sz w:val="22"/>
                <w:szCs w:val="22"/>
                <w:lang w:val="en-US" w:eastAsia="zh-CN"/>
              </w:rPr>
              <w:t>报备</w:t>
            </w:r>
            <w:r>
              <w:rPr>
                <w:rFonts w:hint="eastAsia" w:ascii="宋体" w:hAnsi="宋体" w:eastAsia="宋体" w:cs="宋体"/>
                <w:sz w:val="22"/>
                <w:szCs w:val="22"/>
              </w:rPr>
              <w:t>相关负责人</w:t>
            </w:r>
            <w:r>
              <w:rPr>
                <w:rFonts w:hint="eastAsia" w:ascii="宋体" w:hAnsi="宋体" w:eastAsia="宋体" w:cs="宋体"/>
                <w:sz w:val="22"/>
                <w:szCs w:val="22"/>
                <w:lang w:eastAsia="zh-CN"/>
              </w:rPr>
              <w:t>。</w:t>
            </w:r>
          </w:p>
          <w:p w14:paraId="79F12443">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5.</w:t>
            </w:r>
            <w:r>
              <w:rPr>
                <w:rFonts w:hint="eastAsia" w:ascii="宋体" w:hAnsi="宋体" w:eastAsia="宋体" w:cs="宋体"/>
                <w:b/>
                <w:bCs/>
                <w:sz w:val="22"/>
                <w:szCs w:val="22"/>
              </w:rPr>
              <w:t>关键业务运行保障</w:t>
            </w:r>
          </w:p>
          <w:p w14:paraId="06F72248">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成交供应商</w:t>
            </w:r>
            <w:r>
              <w:rPr>
                <w:rFonts w:hint="eastAsia" w:ascii="宋体" w:hAnsi="宋体" w:eastAsia="宋体" w:cs="宋体"/>
                <w:sz w:val="22"/>
                <w:szCs w:val="22"/>
              </w:rPr>
              <w:t>必须根据</w:t>
            </w:r>
            <w:r>
              <w:rPr>
                <w:rFonts w:hint="eastAsia" w:ascii="宋体" w:hAnsi="宋体" w:eastAsia="宋体" w:cs="宋体"/>
                <w:sz w:val="22"/>
                <w:szCs w:val="22"/>
                <w:lang w:val="en-US" w:eastAsia="zh-CN"/>
              </w:rPr>
              <w:t>采购人</w:t>
            </w:r>
            <w:r>
              <w:rPr>
                <w:rFonts w:hint="eastAsia" w:ascii="宋体" w:hAnsi="宋体" w:eastAsia="宋体" w:cs="宋体"/>
                <w:sz w:val="22"/>
                <w:szCs w:val="22"/>
              </w:rPr>
              <w:t>要求，在关键业务时段派遣工程师提供现场软硬件运行保障</w:t>
            </w:r>
            <w:r>
              <w:rPr>
                <w:rFonts w:hint="eastAsia" w:ascii="宋体" w:hAnsi="宋体" w:eastAsia="宋体" w:cs="宋体"/>
                <w:sz w:val="22"/>
                <w:szCs w:val="22"/>
                <w:lang w:val="en-US" w:eastAsia="zh-CN"/>
              </w:rPr>
              <w:t>服务</w:t>
            </w:r>
            <w:r>
              <w:rPr>
                <w:rFonts w:hint="eastAsia" w:ascii="宋体" w:hAnsi="宋体" w:eastAsia="宋体" w:cs="宋体"/>
                <w:sz w:val="22"/>
                <w:szCs w:val="22"/>
              </w:rPr>
              <w:t>。</w:t>
            </w:r>
          </w:p>
          <w:p w14:paraId="2EE904D0">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按季度反馈工作情况，提出合理化建议和解决方案</w:t>
            </w:r>
            <w:r>
              <w:rPr>
                <w:rFonts w:hint="eastAsia" w:ascii="宋体" w:hAnsi="宋体" w:eastAsia="宋体" w:cs="宋体"/>
                <w:sz w:val="22"/>
                <w:szCs w:val="22"/>
                <w:lang w:eastAsia="zh-CN"/>
              </w:rPr>
              <w:t>。</w:t>
            </w:r>
          </w:p>
          <w:p w14:paraId="183E38D2">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6.</w:t>
            </w:r>
            <w:r>
              <w:rPr>
                <w:rFonts w:hint="eastAsia" w:ascii="宋体" w:hAnsi="宋体" w:eastAsia="宋体" w:cs="宋体"/>
                <w:b/>
                <w:bCs/>
                <w:sz w:val="22"/>
                <w:szCs w:val="22"/>
              </w:rPr>
              <w:t>咨询及培训服务</w:t>
            </w:r>
          </w:p>
          <w:p w14:paraId="5B4CD187">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成交供应商</w:t>
            </w:r>
            <w:r>
              <w:rPr>
                <w:rFonts w:hint="eastAsia" w:ascii="宋体" w:hAnsi="宋体" w:eastAsia="宋体" w:cs="宋体"/>
                <w:sz w:val="22"/>
                <w:szCs w:val="22"/>
              </w:rPr>
              <w:t>在</w:t>
            </w:r>
            <w:r>
              <w:rPr>
                <w:rFonts w:hint="eastAsia" w:ascii="宋体" w:hAnsi="宋体" w:eastAsia="宋体" w:cs="宋体"/>
                <w:sz w:val="22"/>
                <w:szCs w:val="22"/>
                <w:lang w:val="en-US" w:eastAsia="zh-CN"/>
              </w:rPr>
              <w:t>运维</w:t>
            </w:r>
            <w:r>
              <w:rPr>
                <w:rFonts w:hint="eastAsia" w:ascii="宋体" w:hAnsi="宋体" w:eastAsia="宋体" w:cs="宋体"/>
                <w:sz w:val="22"/>
                <w:szCs w:val="22"/>
              </w:rPr>
              <w:t>期内必须向</w:t>
            </w:r>
            <w:r>
              <w:rPr>
                <w:rFonts w:hint="eastAsia" w:ascii="宋体" w:hAnsi="宋体" w:eastAsia="宋体" w:cs="宋体"/>
                <w:sz w:val="22"/>
                <w:szCs w:val="22"/>
                <w:lang w:val="en-US" w:eastAsia="zh-CN"/>
              </w:rPr>
              <w:t>采购人</w:t>
            </w:r>
            <w:r>
              <w:rPr>
                <w:rFonts w:hint="eastAsia" w:ascii="宋体" w:hAnsi="宋体" w:eastAsia="宋体" w:cs="宋体"/>
                <w:sz w:val="22"/>
                <w:szCs w:val="22"/>
              </w:rPr>
              <w:t>提供</w:t>
            </w:r>
            <w:r>
              <w:rPr>
                <w:rFonts w:hint="eastAsia" w:ascii="宋体" w:hAnsi="宋体" w:eastAsia="宋体" w:cs="宋体"/>
                <w:sz w:val="22"/>
                <w:szCs w:val="22"/>
                <w:lang w:val="en-US" w:eastAsia="zh-CN"/>
              </w:rPr>
              <w:t>全年</w:t>
            </w:r>
            <w:r>
              <w:rPr>
                <w:rFonts w:hint="eastAsia" w:ascii="宋体" w:hAnsi="宋体" w:eastAsia="宋体" w:cs="宋体"/>
                <w:sz w:val="22"/>
                <w:szCs w:val="22"/>
              </w:rPr>
              <w:t>7</w:t>
            </w:r>
            <w:r>
              <w:rPr>
                <w:rFonts w:hint="eastAsia" w:ascii="宋体" w:hAnsi="宋体" w:eastAsia="宋体" w:cs="宋体"/>
                <w:sz w:val="22"/>
                <w:szCs w:val="22"/>
                <w:lang w:val="en-US" w:eastAsia="zh-CN"/>
              </w:rPr>
              <w:t>×</w:t>
            </w:r>
            <w:r>
              <w:rPr>
                <w:rFonts w:hint="eastAsia" w:ascii="宋体" w:hAnsi="宋体" w:eastAsia="宋体" w:cs="宋体"/>
                <w:sz w:val="22"/>
                <w:szCs w:val="22"/>
              </w:rPr>
              <w:t>24小时软硬件技术咨询，必要时提供技术专家支持。</w:t>
            </w:r>
          </w:p>
          <w:p w14:paraId="037BE5F6">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7.</w:t>
            </w:r>
            <w:r>
              <w:rPr>
                <w:rFonts w:hint="eastAsia" w:ascii="宋体" w:hAnsi="宋体" w:eastAsia="宋体" w:cs="宋体"/>
                <w:b/>
                <w:bCs/>
                <w:sz w:val="22"/>
                <w:szCs w:val="22"/>
              </w:rPr>
              <w:t>建设IT服务管理系统</w:t>
            </w:r>
          </w:p>
          <w:p w14:paraId="7A3215BC">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成交供应商应</w:t>
            </w:r>
            <w:r>
              <w:rPr>
                <w:rFonts w:hint="eastAsia" w:ascii="宋体" w:hAnsi="宋体" w:eastAsia="宋体" w:cs="宋体"/>
                <w:sz w:val="22"/>
                <w:szCs w:val="22"/>
              </w:rPr>
              <w:t>自备具有事件管理、问题管理、变更管理、发布管理、配置管理、作业管理、IT资产管理、知识库管理、绩效考核、报表管理等功能的IT服务管理软件，为信息系统建立IT服务管理平台。</w:t>
            </w:r>
            <w:r>
              <w:rPr>
                <w:rFonts w:hint="eastAsia" w:ascii="宋体" w:hAnsi="宋体" w:eastAsia="宋体" w:cs="宋体"/>
                <w:sz w:val="22"/>
                <w:szCs w:val="22"/>
                <w:lang w:val="en-US" w:eastAsia="zh-CN"/>
              </w:rPr>
              <w:t>成交供应商</w:t>
            </w:r>
            <w:r>
              <w:rPr>
                <w:rFonts w:hint="eastAsia" w:ascii="宋体" w:hAnsi="宋体" w:eastAsia="宋体" w:cs="宋体"/>
                <w:sz w:val="22"/>
                <w:szCs w:val="22"/>
              </w:rPr>
              <w:t>需对所维护的设备进行一次普查登记，提供一份详细的系统检查报告，据实建立包括系统的设备配置、设备清单、工作状况、工作环境等信息在内的全面、细致的IT服务管理档案，并登记录入IT服务管理系统。实现通过IT服务管理系统对日常运维工作进行</w:t>
            </w:r>
            <w:r>
              <w:rPr>
                <w:rFonts w:hint="eastAsia" w:ascii="宋体" w:hAnsi="宋体" w:eastAsia="宋体" w:cs="宋体"/>
                <w:sz w:val="22"/>
                <w:szCs w:val="22"/>
                <w:lang w:val="en-US" w:eastAsia="zh-CN"/>
              </w:rPr>
              <w:t>规范</w:t>
            </w:r>
            <w:r>
              <w:rPr>
                <w:rFonts w:hint="eastAsia" w:ascii="宋体" w:hAnsi="宋体" w:eastAsia="宋体" w:cs="宋体"/>
                <w:sz w:val="22"/>
                <w:szCs w:val="22"/>
              </w:rPr>
              <w:t>管理。</w:t>
            </w:r>
          </w:p>
          <w:p w14:paraId="140D0E6A">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eastAsia" w:ascii="宋体" w:hAnsi="宋体" w:eastAsia="宋体" w:cs="宋体"/>
                <w:b/>
                <w:bCs/>
                <w:sz w:val="22"/>
                <w:szCs w:val="22"/>
              </w:rPr>
            </w:pPr>
            <w:r>
              <w:rPr>
                <w:rFonts w:hint="eastAsia" w:ascii="宋体" w:hAnsi="宋体" w:eastAsia="宋体" w:cs="宋体"/>
                <w:b/>
                <w:bCs/>
                <w:sz w:val="22"/>
                <w:szCs w:val="22"/>
                <w:lang w:val="en-US" w:eastAsia="zh-CN"/>
              </w:rPr>
              <w:t>8.</w:t>
            </w:r>
            <w:r>
              <w:rPr>
                <w:rFonts w:hint="eastAsia" w:ascii="宋体" w:hAnsi="宋体" w:eastAsia="宋体" w:cs="宋体"/>
                <w:b/>
                <w:bCs/>
                <w:sz w:val="22"/>
                <w:szCs w:val="22"/>
              </w:rPr>
              <w:t>编制运维服务总体服务方案和实施方案</w:t>
            </w:r>
          </w:p>
          <w:p w14:paraId="03D262B7">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运维服务期间，成交供应商</w:t>
            </w:r>
            <w:r>
              <w:rPr>
                <w:rFonts w:hint="eastAsia" w:ascii="宋体" w:hAnsi="宋体" w:eastAsia="宋体" w:cs="宋体"/>
                <w:sz w:val="22"/>
                <w:szCs w:val="22"/>
              </w:rPr>
              <w:t>需在入场</w:t>
            </w:r>
            <w:r>
              <w:rPr>
                <w:rFonts w:hint="eastAsia" w:ascii="宋体" w:hAnsi="宋体" w:eastAsia="宋体" w:cs="宋体"/>
                <w:sz w:val="22"/>
                <w:szCs w:val="22"/>
                <w:lang w:val="en-US" w:eastAsia="zh-CN"/>
              </w:rPr>
              <w:t>后</w:t>
            </w:r>
            <w:r>
              <w:rPr>
                <w:rFonts w:hint="eastAsia" w:ascii="宋体" w:hAnsi="宋体" w:eastAsia="宋体" w:cs="宋体"/>
                <w:sz w:val="22"/>
                <w:szCs w:val="22"/>
              </w:rPr>
              <w:t>20个工作日内向</w:t>
            </w:r>
            <w:r>
              <w:rPr>
                <w:rFonts w:hint="eastAsia" w:ascii="宋体" w:hAnsi="宋体" w:eastAsia="宋体" w:cs="宋体"/>
                <w:sz w:val="22"/>
                <w:szCs w:val="22"/>
                <w:lang w:val="en-US" w:eastAsia="zh-CN"/>
              </w:rPr>
              <w:t>采购人</w:t>
            </w:r>
            <w:r>
              <w:rPr>
                <w:rFonts w:hint="eastAsia" w:ascii="宋体" w:hAnsi="宋体" w:eastAsia="宋体" w:cs="宋体"/>
                <w:sz w:val="22"/>
                <w:szCs w:val="22"/>
              </w:rPr>
              <w:t>提供整体运维服务总体方案及实施方案。</w:t>
            </w:r>
          </w:p>
          <w:p w14:paraId="6BAA0CFE">
            <w:pPr>
              <w:pStyle w:val="5"/>
              <w:pageBreakBefore w:val="0"/>
              <w:numPr>
                <w:ilvl w:val="2"/>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bookmarkStart w:id="61" w:name="_Toc173501876"/>
            <w:r>
              <w:rPr>
                <w:rFonts w:hint="eastAsia" w:ascii="宋体" w:hAnsi="宋体" w:eastAsia="宋体" w:cs="宋体"/>
                <w:b/>
                <w:bCs/>
                <w:kern w:val="2"/>
                <w:sz w:val="22"/>
                <w:szCs w:val="22"/>
                <w:lang w:val="en-US" w:eastAsia="zh-CN" w:bidi="ar-SA"/>
              </w:rPr>
              <w:t>（三）</w:t>
            </w:r>
            <w:r>
              <w:rPr>
                <w:rFonts w:hint="eastAsia" w:ascii="宋体" w:hAnsi="宋体" w:eastAsia="宋体" w:cs="宋体"/>
                <w:sz w:val="22"/>
                <w:szCs w:val="22"/>
              </w:rPr>
              <w:t>服务方式</w:t>
            </w:r>
            <w:r>
              <w:rPr>
                <w:rFonts w:hint="eastAsia" w:ascii="宋体" w:hAnsi="宋体" w:eastAsia="宋体" w:cs="宋体"/>
                <w:sz w:val="22"/>
                <w:szCs w:val="22"/>
                <w:lang w:val="en-US" w:eastAsia="zh-CN"/>
              </w:rPr>
              <w:t>要求</w:t>
            </w:r>
            <w:bookmarkEnd w:id="61"/>
          </w:p>
          <w:p w14:paraId="6B2626C2">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442" w:firstLineChars="20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1.</w:t>
            </w:r>
            <w:r>
              <w:rPr>
                <w:rFonts w:hint="eastAsia" w:ascii="宋体" w:hAnsi="宋体" w:eastAsia="宋体" w:cs="宋体"/>
                <w:b/>
                <w:bCs/>
                <w:sz w:val="22"/>
                <w:szCs w:val="22"/>
              </w:rPr>
              <w:t>现场维护</w:t>
            </w:r>
          </w:p>
          <w:p w14:paraId="23DEA31C">
            <w:pPr>
              <w:spacing w:line="360" w:lineRule="auto"/>
              <w:ind w:firstLine="440" w:firstLineChars="200"/>
              <w:rPr>
                <w:rFonts w:hint="eastAsia" w:ascii="宋体" w:hAnsi="宋体" w:eastAsia="宋体" w:cs="宋体"/>
                <w:sz w:val="22"/>
                <w:szCs w:val="22"/>
              </w:rPr>
            </w:pPr>
            <w:r>
              <w:rPr>
                <w:rFonts w:hint="eastAsia" w:ascii="宋体" w:hAnsi="宋体" w:eastAsia="宋体" w:cs="宋体"/>
                <w:sz w:val="22"/>
                <w:szCs w:val="22"/>
              </w:rPr>
              <w:t>接到用户报障后立即响应，30分钟内到达现场</w:t>
            </w:r>
            <w:r>
              <w:rPr>
                <w:rFonts w:hint="eastAsia" w:ascii="宋体" w:hAnsi="宋体" w:eastAsia="宋体" w:cs="宋体"/>
                <w:sz w:val="22"/>
                <w:szCs w:val="22"/>
                <w:lang w:eastAsia="zh-CN"/>
              </w:rPr>
              <w:t>，</w:t>
            </w:r>
            <w:r>
              <w:rPr>
                <w:rFonts w:hint="eastAsia" w:ascii="宋体" w:hAnsi="宋体" w:eastAsia="宋体" w:cs="宋体"/>
                <w:sz w:val="22"/>
                <w:szCs w:val="22"/>
              </w:rPr>
              <w:t>一般性故障2小时内修复，重大故障必须及时向</w:t>
            </w:r>
            <w:r>
              <w:rPr>
                <w:rFonts w:hint="eastAsia" w:ascii="宋体" w:hAnsi="宋体" w:eastAsia="宋体" w:cs="宋体"/>
                <w:sz w:val="22"/>
                <w:szCs w:val="22"/>
                <w:lang w:val="en-US" w:eastAsia="zh-CN"/>
              </w:rPr>
              <w:t>采购人报告</w:t>
            </w:r>
            <w:r>
              <w:rPr>
                <w:rFonts w:hint="eastAsia" w:ascii="宋体" w:hAnsi="宋体" w:eastAsia="宋体" w:cs="宋体"/>
                <w:sz w:val="22"/>
                <w:szCs w:val="22"/>
              </w:rPr>
              <w:t>故障原因，共同制定解决方案，</w:t>
            </w:r>
            <w:r>
              <w:rPr>
                <w:rFonts w:hint="eastAsia" w:ascii="宋体" w:hAnsi="宋体" w:eastAsia="宋体" w:cs="宋体"/>
                <w:sz w:val="22"/>
                <w:szCs w:val="22"/>
                <w:lang w:val="en-US" w:eastAsia="zh-CN"/>
              </w:rPr>
              <w:t>并在</w:t>
            </w:r>
            <w:r>
              <w:rPr>
                <w:rFonts w:hint="eastAsia" w:ascii="宋体" w:hAnsi="宋体" w:eastAsia="宋体" w:cs="宋体"/>
                <w:sz w:val="22"/>
                <w:szCs w:val="22"/>
              </w:rPr>
              <w:t>24小时内修复；24小时内无法修复的，在48小时内提供不低于原产品性能的</w:t>
            </w:r>
            <w:r>
              <w:rPr>
                <w:rFonts w:hint="eastAsia" w:ascii="宋体" w:hAnsi="宋体" w:eastAsia="宋体" w:cs="宋体"/>
                <w:sz w:val="22"/>
                <w:szCs w:val="22"/>
                <w:lang w:val="en-US" w:eastAsia="zh-CN"/>
              </w:rPr>
              <w:t>备</w:t>
            </w:r>
            <w:r>
              <w:rPr>
                <w:rFonts w:hint="eastAsia" w:ascii="宋体" w:hAnsi="宋体" w:eastAsia="宋体" w:cs="宋体"/>
                <w:sz w:val="22"/>
                <w:szCs w:val="22"/>
              </w:rPr>
              <w:t>用产品</w:t>
            </w:r>
            <w:r>
              <w:rPr>
                <w:rFonts w:hint="eastAsia" w:ascii="宋体" w:hAnsi="宋体" w:eastAsia="宋体" w:cs="宋体"/>
                <w:sz w:val="22"/>
                <w:szCs w:val="22"/>
                <w:lang w:eastAsia="zh-CN"/>
              </w:rPr>
              <w:t>，</w:t>
            </w:r>
            <w:r>
              <w:rPr>
                <w:rFonts w:hint="eastAsia" w:ascii="宋体" w:hAnsi="宋体" w:eastAsia="宋体" w:cs="宋体"/>
                <w:sz w:val="22"/>
                <w:szCs w:val="22"/>
              </w:rPr>
              <w:t>直至系统故障排除为止。</w:t>
            </w:r>
          </w:p>
          <w:p w14:paraId="601A0F98">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442" w:firstLineChars="20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2.</w:t>
            </w:r>
            <w:r>
              <w:rPr>
                <w:rFonts w:hint="eastAsia" w:ascii="宋体" w:hAnsi="宋体" w:eastAsia="宋体" w:cs="宋体"/>
                <w:b/>
                <w:bCs/>
                <w:sz w:val="22"/>
                <w:szCs w:val="22"/>
              </w:rPr>
              <w:t>巡检维护</w:t>
            </w:r>
          </w:p>
          <w:p w14:paraId="15C8AD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成交供应商需</w:t>
            </w:r>
            <w:r>
              <w:rPr>
                <w:rFonts w:hint="eastAsia" w:ascii="宋体" w:hAnsi="宋体" w:eastAsia="宋体" w:cs="宋体"/>
                <w:sz w:val="22"/>
                <w:szCs w:val="22"/>
              </w:rPr>
              <w:t>提交一整套科学专业的巡检与优化服务的工作方法，在本项目中，定期对用户系统设备和安全等方面定期进行巡检、性能分析与优化服务。通过系统健康的检查可以对各运行系统和设备潜在的问题进行广泛深入</w:t>
            </w:r>
            <w:r>
              <w:rPr>
                <w:rFonts w:hint="eastAsia" w:ascii="宋体" w:hAnsi="宋体" w:eastAsia="宋体" w:cs="宋体"/>
                <w:sz w:val="22"/>
                <w:szCs w:val="22"/>
                <w:lang w:val="en-US" w:eastAsia="zh-CN"/>
              </w:rPr>
              <w:t>的</w:t>
            </w:r>
            <w:r>
              <w:rPr>
                <w:rFonts w:hint="eastAsia" w:ascii="宋体" w:hAnsi="宋体" w:eastAsia="宋体" w:cs="宋体"/>
                <w:sz w:val="22"/>
                <w:szCs w:val="22"/>
              </w:rPr>
              <w:t>检查。在系统发生问题之前对系统有关安全性、可管理性以及系统性能进行检查分析，并指出系统潜在的问题以及</w:t>
            </w:r>
            <w:r>
              <w:rPr>
                <w:rFonts w:hint="eastAsia" w:ascii="宋体" w:hAnsi="宋体" w:eastAsia="宋体" w:cs="宋体"/>
                <w:sz w:val="22"/>
                <w:szCs w:val="22"/>
                <w:lang w:val="en-US" w:eastAsia="zh-CN"/>
              </w:rPr>
              <w:t>建议</w:t>
            </w:r>
            <w:r>
              <w:rPr>
                <w:rFonts w:hint="eastAsia" w:ascii="宋体" w:hAnsi="宋体" w:eastAsia="宋体" w:cs="宋体"/>
                <w:sz w:val="22"/>
                <w:szCs w:val="22"/>
              </w:rPr>
              <w:t>。</w:t>
            </w:r>
          </w:p>
          <w:p w14:paraId="595078D7">
            <w:pPr>
              <w:pStyle w:val="7"/>
              <w:pageBreakBefore w:val="0"/>
              <w:numPr>
                <w:ilvl w:val="3"/>
                <w:numId w:val="0"/>
              </w:numPr>
              <w:kinsoku/>
              <w:wordWrap/>
              <w:overflowPunct/>
              <w:topLinePunct w:val="0"/>
              <w:autoSpaceDE/>
              <w:autoSpaceDN/>
              <w:bidi w:val="0"/>
              <w:adjustRightInd/>
              <w:snapToGrid/>
              <w:spacing w:before="0" w:beforeLines="0" w:after="0" w:afterLines="0" w:line="360" w:lineRule="auto"/>
              <w:ind w:left="0" w:leftChars="0" w:firstLine="442" w:firstLineChars="200"/>
              <w:textAlignment w:val="auto"/>
              <w:rPr>
                <w:rFonts w:hint="eastAsia" w:ascii="宋体" w:hAnsi="宋体" w:eastAsia="宋体" w:cs="宋体"/>
                <w:b/>
                <w:bCs/>
                <w:sz w:val="22"/>
                <w:szCs w:val="22"/>
              </w:rPr>
            </w:pPr>
            <w:r>
              <w:rPr>
                <w:rFonts w:hint="eastAsia" w:ascii="宋体" w:hAnsi="宋体" w:eastAsia="宋体" w:cs="宋体"/>
                <w:b/>
                <w:bCs/>
                <w:kern w:val="2"/>
                <w:sz w:val="22"/>
                <w:szCs w:val="22"/>
                <w:lang w:val="en-US" w:eastAsia="zh-CN" w:bidi="ar-SA"/>
              </w:rPr>
              <w:t>3.</w:t>
            </w:r>
            <w:r>
              <w:rPr>
                <w:rFonts w:hint="eastAsia" w:ascii="宋体" w:hAnsi="宋体" w:eastAsia="宋体" w:cs="宋体"/>
                <w:b/>
                <w:bCs/>
                <w:sz w:val="22"/>
                <w:szCs w:val="22"/>
              </w:rPr>
              <w:t>技术专家维护</w:t>
            </w:r>
          </w:p>
          <w:p w14:paraId="48BDDAFF">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为本项目提供技术专家服务，技术</w:t>
            </w:r>
            <w:r>
              <w:rPr>
                <w:rFonts w:hint="eastAsia" w:ascii="宋体" w:hAnsi="宋体" w:eastAsia="宋体" w:cs="宋体"/>
                <w:sz w:val="22"/>
                <w:szCs w:val="22"/>
                <w:lang w:val="en-US" w:eastAsia="zh-CN"/>
              </w:rPr>
              <w:t>专家</w:t>
            </w:r>
            <w:r>
              <w:rPr>
                <w:rFonts w:hint="eastAsia" w:ascii="宋体" w:hAnsi="宋体" w:eastAsia="宋体" w:cs="宋体"/>
                <w:sz w:val="22"/>
                <w:szCs w:val="22"/>
              </w:rPr>
              <w:t>（非专职服务人员）</w:t>
            </w:r>
            <w:r>
              <w:rPr>
                <w:rFonts w:hint="eastAsia" w:ascii="宋体" w:hAnsi="宋体" w:eastAsia="宋体" w:cs="宋体"/>
                <w:sz w:val="22"/>
                <w:szCs w:val="22"/>
                <w:lang w:val="en-US" w:eastAsia="zh-CN"/>
              </w:rPr>
              <w:t>将</w:t>
            </w:r>
            <w:r>
              <w:rPr>
                <w:rFonts w:hint="eastAsia" w:ascii="宋体" w:hAnsi="宋体" w:eastAsia="宋体" w:cs="宋体"/>
                <w:sz w:val="22"/>
                <w:szCs w:val="22"/>
              </w:rPr>
              <w:t>作为专职技术人员的有机补充。技术专家力量的一般调用条件包括：</w:t>
            </w:r>
          </w:p>
          <w:p w14:paraId="65C601B2">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（1）当设备或用户现场发生故障，专职工程师无法判断故障相关原因时，立即调用支持队伍中的技术专家小组赶赴现场为</w:t>
            </w:r>
            <w:r>
              <w:rPr>
                <w:rFonts w:hint="eastAsia" w:ascii="宋体" w:hAnsi="宋体" w:eastAsia="宋体" w:cs="宋体"/>
                <w:sz w:val="22"/>
                <w:szCs w:val="22"/>
                <w:lang w:val="en-US" w:eastAsia="zh-CN"/>
              </w:rPr>
              <w:t>采购人</w:t>
            </w:r>
            <w:r>
              <w:rPr>
                <w:rFonts w:hint="eastAsia" w:ascii="宋体" w:hAnsi="宋体" w:eastAsia="宋体" w:cs="宋体"/>
                <w:sz w:val="22"/>
                <w:szCs w:val="22"/>
              </w:rPr>
              <w:t>提供综合性的故障诊断及处理。</w:t>
            </w:r>
          </w:p>
          <w:p w14:paraId="0FD62BE9">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（2）每次巡检实施完成后由一线专职维护人员填写的巡检报告以及故障解决后的用户服务报告</w:t>
            </w:r>
            <w:r>
              <w:rPr>
                <w:rFonts w:hint="eastAsia" w:ascii="宋体" w:hAnsi="宋体" w:eastAsia="宋体" w:cs="宋体"/>
                <w:sz w:val="22"/>
                <w:szCs w:val="22"/>
                <w:lang w:eastAsia="zh-CN"/>
              </w:rPr>
              <w:t>，</w:t>
            </w:r>
            <w:r>
              <w:rPr>
                <w:rFonts w:hint="eastAsia" w:ascii="宋体" w:hAnsi="宋体" w:eastAsia="宋体" w:cs="宋体"/>
                <w:sz w:val="22"/>
                <w:szCs w:val="22"/>
              </w:rPr>
              <w:t>汇总后提交技术专家队伍进行分析和评估，从而及时发现系统的潜在问题和安全隐患，及时为</w:t>
            </w:r>
            <w:r>
              <w:rPr>
                <w:rFonts w:hint="eastAsia" w:ascii="宋体" w:hAnsi="宋体" w:eastAsia="宋体" w:cs="宋体"/>
                <w:sz w:val="22"/>
                <w:szCs w:val="22"/>
                <w:lang w:val="en-US" w:eastAsia="zh-CN"/>
              </w:rPr>
              <w:t>采购人</w:t>
            </w:r>
            <w:r>
              <w:rPr>
                <w:rFonts w:hint="eastAsia" w:ascii="宋体" w:hAnsi="宋体" w:eastAsia="宋体" w:cs="宋体"/>
                <w:sz w:val="22"/>
                <w:szCs w:val="22"/>
              </w:rPr>
              <w:t>提供预防性维护服务。</w:t>
            </w:r>
          </w:p>
          <w:p w14:paraId="6CEA5083">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（3）技术专家通过一线人员维护过程中提供的资料及时与</w:t>
            </w:r>
            <w:r>
              <w:rPr>
                <w:rFonts w:hint="eastAsia" w:ascii="宋体" w:hAnsi="宋体" w:eastAsia="宋体" w:cs="宋体"/>
                <w:sz w:val="22"/>
                <w:szCs w:val="22"/>
                <w:lang w:val="en-US" w:eastAsia="zh-CN"/>
              </w:rPr>
              <w:t>采购人</w:t>
            </w:r>
            <w:r>
              <w:rPr>
                <w:rFonts w:hint="eastAsia" w:ascii="宋体" w:hAnsi="宋体" w:eastAsia="宋体" w:cs="宋体"/>
                <w:sz w:val="22"/>
                <w:szCs w:val="22"/>
              </w:rPr>
              <w:t>进行需求交流，定期为</w:t>
            </w:r>
            <w:r>
              <w:rPr>
                <w:rFonts w:hint="eastAsia" w:ascii="宋体" w:hAnsi="宋体" w:eastAsia="宋体" w:cs="宋体"/>
                <w:sz w:val="22"/>
                <w:szCs w:val="22"/>
                <w:lang w:val="en-US" w:eastAsia="zh-CN"/>
              </w:rPr>
              <w:t>采购人</w:t>
            </w:r>
            <w:r>
              <w:rPr>
                <w:rFonts w:hint="eastAsia" w:ascii="宋体" w:hAnsi="宋体" w:eastAsia="宋体" w:cs="宋体"/>
                <w:sz w:val="22"/>
                <w:szCs w:val="22"/>
              </w:rPr>
              <w:t>提供设备的优化及改进建议，保证所维护的系统能满足</w:t>
            </w:r>
            <w:r>
              <w:rPr>
                <w:rFonts w:hint="eastAsia" w:ascii="宋体" w:hAnsi="宋体" w:eastAsia="宋体" w:cs="宋体"/>
                <w:sz w:val="22"/>
                <w:szCs w:val="22"/>
                <w:lang w:val="en-US" w:eastAsia="zh-CN"/>
              </w:rPr>
              <w:t>采购人需求</w:t>
            </w:r>
            <w:r>
              <w:rPr>
                <w:rFonts w:hint="eastAsia" w:ascii="宋体" w:hAnsi="宋体" w:eastAsia="宋体" w:cs="宋体"/>
                <w:sz w:val="22"/>
                <w:szCs w:val="22"/>
              </w:rPr>
              <w:t>的不断发展。</w:t>
            </w:r>
          </w:p>
          <w:p w14:paraId="649747C0">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（4）技术专家作为二线技术队伍随时待命。</w:t>
            </w:r>
          </w:p>
          <w:p w14:paraId="5217A884">
            <w:pPr>
              <w:pStyle w:val="4"/>
              <w:pageBreakBefore w:val="0"/>
              <w:numPr>
                <w:ilvl w:val="1"/>
                <w:numId w:val="0"/>
              </w:numPr>
              <w:kinsoku/>
              <w:wordWrap/>
              <w:overflowPunct/>
              <w:topLinePunct w:val="0"/>
              <w:autoSpaceDE/>
              <w:autoSpaceDN/>
              <w:bidi w:val="0"/>
              <w:adjustRightInd/>
              <w:snapToGrid/>
              <w:spacing w:before="0" w:line="360" w:lineRule="auto"/>
              <w:ind w:left="0" w:leftChars="0" w:firstLine="0" w:firstLineChars="0"/>
              <w:textAlignment w:val="auto"/>
              <w:rPr>
                <w:rFonts w:hint="eastAsia" w:ascii="宋体" w:hAnsi="宋体" w:eastAsia="宋体" w:cs="宋体"/>
                <w:sz w:val="22"/>
                <w:szCs w:val="22"/>
              </w:rPr>
            </w:pPr>
            <w:bookmarkStart w:id="62" w:name="_Toc173501878"/>
            <w:r>
              <w:rPr>
                <w:rFonts w:hint="eastAsia" w:ascii="宋体" w:hAnsi="宋体" w:eastAsia="宋体" w:cs="宋体"/>
                <w:b/>
                <w:bCs/>
                <w:kern w:val="2"/>
                <w:sz w:val="22"/>
                <w:szCs w:val="22"/>
                <w:lang w:val="en-US" w:eastAsia="zh-CN" w:bidi="ar-SA"/>
              </w:rPr>
              <w:t>（四）</w:t>
            </w:r>
            <w:r>
              <w:rPr>
                <w:rFonts w:hint="eastAsia" w:ascii="宋体" w:hAnsi="宋体" w:eastAsia="宋体" w:cs="宋体"/>
                <w:b/>
                <w:bCs w:val="0"/>
                <w:sz w:val="22"/>
                <w:szCs w:val="22"/>
              </w:rPr>
              <w:t>服务规范</w:t>
            </w:r>
            <w:bookmarkEnd w:id="62"/>
          </w:p>
          <w:p w14:paraId="38BAD5E3">
            <w:pPr>
              <w:pStyle w:val="5"/>
              <w:pageBreakBefore w:val="0"/>
              <w:numPr>
                <w:ilvl w:val="2"/>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bookmarkStart w:id="63" w:name="_Toc173501879"/>
            <w:r>
              <w:rPr>
                <w:rFonts w:hint="eastAsia" w:ascii="宋体" w:hAnsi="宋体" w:eastAsia="宋体" w:cs="宋体"/>
                <w:b/>
                <w:bCs/>
                <w:kern w:val="2"/>
                <w:sz w:val="22"/>
                <w:szCs w:val="22"/>
                <w:lang w:val="en-US" w:eastAsia="zh-CN" w:bidi="ar-SA"/>
              </w:rPr>
              <w:t>1.</w:t>
            </w:r>
            <w:r>
              <w:rPr>
                <w:rFonts w:hint="eastAsia" w:ascii="宋体" w:hAnsi="宋体" w:eastAsia="宋体" w:cs="宋体"/>
                <w:sz w:val="22"/>
                <w:szCs w:val="22"/>
              </w:rPr>
              <w:t>现场维护规范</w:t>
            </w:r>
            <w:bookmarkEnd w:id="63"/>
          </w:p>
          <w:p w14:paraId="724EC942">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1.1</w:t>
            </w:r>
            <w:r>
              <w:rPr>
                <w:rFonts w:hint="eastAsia" w:ascii="宋体" w:hAnsi="宋体" w:eastAsia="宋体" w:cs="宋体"/>
                <w:sz w:val="22"/>
                <w:szCs w:val="22"/>
              </w:rPr>
              <w:t>工程师必须严格遵守</w:t>
            </w:r>
            <w:r>
              <w:rPr>
                <w:rFonts w:hint="eastAsia" w:ascii="宋体" w:hAnsi="宋体" w:eastAsia="宋体" w:cs="宋体"/>
                <w:sz w:val="22"/>
                <w:szCs w:val="22"/>
                <w:lang w:val="en-US" w:eastAsia="zh-CN"/>
              </w:rPr>
              <w:t>采购人规定的工作</w:t>
            </w:r>
            <w:r>
              <w:rPr>
                <w:rFonts w:hint="eastAsia" w:ascii="宋体" w:hAnsi="宋体" w:eastAsia="宋体" w:cs="宋体"/>
                <w:sz w:val="22"/>
                <w:szCs w:val="22"/>
              </w:rPr>
              <w:t>时间，不得迟到早退。</w:t>
            </w:r>
          </w:p>
          <w:p w14:paraId="5647C504">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1.2</w:t>
            </w:r>
            <w:r>
              <w:rPr>
                <w:rFonts w:hint="eastAsia" w:ascii="宋体" w:hAnsi="宋体" w:eastAsia="宋体" w:cs="宋体"/>
                <w:sz w:val="22"/>
                <w:szCs w:val="22"/>
              </w:rPr>
              <w:t>在维修过程中，工具、备件、故障机</w:t>
            </w:r>
            <w:r>
              <w:rPr>
                <w:rFonts w:hint="eastAsia" w:ascii="宋体" w:hAnsi="宋体" w:eastAsia="宋体" w:cs="宋体"/>
                <w:sz w:val="22"/>
                <w:szCs w:val="22"/>
                <w:lang w:val="en-US" w:eastAsia="zh-CN"/>
              </w:rPr>
              <w:t>需</w:t>
            </w:r>
            <w:r>
              <w:rPr>
                <w:rFonts w:hint="eastAsia" w:ascii="宋体" w:hAnsi="宋体" w:eastAsia="宋体" w:cs="宋体"/>
                <w:sz w:val="22"/>
                <w:szCs w:val="22"/>
              </w:rPr>
              <w:t>摆放有序、整洁，拆</w:t>
            </w:r>
            <w:r>
              <w:rPr>
                <w:rFonts w:hint="eastAsia" w:ascii="宋体" w:hAnsi="宋体" w:eastAsia="宋体" w:cs="宋体"/>
                <w:sz w:val="22"/>
                <w:szCs w:val="22"/>
                <w:lang w:val="en-US" w:eastAsia="zh-CN"/>
              </w:rPr>
              <w:t>卸</w:t>
            </w:r>
            <w:r>
              <w:rPr>
                <w:rFonts w:hint="eastAsia" w:ascii="宋体" w:hAnsi="宋体" w:eastAsia="宋体" w:cs="宋体"/>
                <w:sz w:val="22"/>
                <w:szCs w:val="22"/>
              </w:rPr>
              <w:t>的螺丝应放入专用的零件盒。</w:t>
            </w:r>
          </w:p>
          <w:p w14:paraId="12BF028C">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1.3</w:t>
            </w:r>
            <w:r>
              <w:rPr>
                <w:rFonts w:hint="eastAsia" w:ascii="宋体" w:hAnsi="宋体" w:eastAsia="宋体" w:cs="宋体"/>
                <w:sz w:val="22"/>
                <w:szCs w:val="22"/>
              </w:rPr>
              <w:t>严禁在</w:t>
            </w:r>
            <w:r>
              <w:rPr>
                <w:rFonts w:hint="eastAsia" w:ascii="宋体" w:hAnsi="宋体" w:eastAsia="宋体" w:cs="宋体"/>
                <w:sz w:val="22"/>
                <w:szCs w:val="22"/>
                <w:lang w:val="en-US" w:eastAsia="zh-CN"/>
              </w:rPr>
              <w:t>工作场所</w:t>
            </w:r>
            <w:r>
              <w:rPr>
                <w:rFonts w:hint="eastAsia" w:ascii="宋体" w:hAnsi="宋体" w:eastAsia="宋体" w:cs="宋体"/>
                <w:sz w:val="22"/>
                <w:szCs w:val="22"/>
              </w:rPr>
              <w:t>抽烟</w:t>
            </w:r>
            <w:r>
              <w:rPr>
                <w:rFonts w:hint="eastAsia" w:ascii="宋体" w:hAnsi="宋体" w:eastAsia="宋体" w:cs="宋体"/>
                <w:sz w:val="22"/>
                <w:szCs w:val="22"/>
                <w:lang w:eastAsia="zh-CN"/>
              </w:rPr>
              <w:t>，</w:t>
            </w:r>
            <w:r>
              <w:rPr>
                <w:rFonts w:hint="eastAsia" w:ascii="宋体" w:hAnsi="宋体" w:eastAsia="宋体" w:cs="宋体"/>
                <w:sz w:val="22"/>
                <w:szCs w:val="22"/>
              </w:rPr>
              <w:t>不得接受或</w:t>
            </w:r>
            <w:r>
              <w:rPr>
                <w:rFonts w:hint="eastAsia" w:ascii="宋体" w:hAnsi="宋体" w:eastAsia="宋体" w:cs="宋体"/>
                <w:sz w:val="22"/>
                <w:szCs w:val="22"/>
                <w:lang w:eastAsia="zh-CN"/>
              </w:rPr>
              <w:t>食用</w:t>
            </w:r>
            <w:r>
              <w:rPr>
                <w:rFonts w:hint="eastAsia" w:ascii="宋体" w:hAnsi="宋体" w:eastAsia="宋体" w:cs="宋体"/>
                <w:sz w:val="22"/>
                <w:szCs w:val="22"/>
              </w:rPr>
              <w:t>采购人提供的饮食。</w:t>
            </w:r>
          </w:p>
          <w:p w14:paraId="1983811A">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1.4</w:t>
            </w:r>
            <w:r>
              <w:rPr>
                <w:rFonts w:hint="eastAsia" w:ascii="宋体" w:hAnsi="宋体" w:eastAsia="宋体" w:cs="宋体"/>
                <w:sz w:val="22"/>
                <w:szCs w:val="22"/>
              </w:rPr>
              <w:t>严禁擅自使用</w:t>
            </w:r>
            <w:r>
              <w:rPr>
                <w:rFonts w:hint="eastAsia" w:ascii="宋体" w:hAnsi="宋体" w:eastAsia="宋体" w:cs="宋体"/>
                <w:sz w:val="22"/>
                <w:szCs w:val="22"/>
                <w:lang w:val="en-US" w:eastAsia="zh-CN"/>
              </w:rPr>
              <w:t>采购人</w:t>
            </w:r>
            <w:r>
              <w:rPr>
                <w:rFonts w:hint="eastAsia" w:ascii="宋体" w:hAnsi="宋体" w:eastAsia="宋体" w:cs="宋体"/>
                <w:sz w:val="22"/>
                <w:szCs w:val="22"/>
              </w:rPr>
              <w:t>的通讯设备，如因维修需要必须</w:t>
            </w:r>
            <w:r>
              <w:rPr>
                <w:rFonts w:hint="eastAsia" w:ascii="宋体" w:hAnsi="宋体" w:eastAsia="宋体" w:cs="宋体"/>
                <w:sz w:val="22"/>
                <w:szCs w:val="22"/>
                <w:lang w:val="en-US" w:eastAsia="zh-CN"/>
              </w:rPr>
              <w:t>事</w:t>
            </w:r>
            <w:r>
              <w:rPr>
                <w:rFonts w:hint="eastAsia" w:ascii="宋体" w:hAnsi="宋体" w:eastAsia="宋体" w:cs="宋体"/>
                <w:sz w:val="22"/>
                <w:szCs w:val="22"/>
              </w:rPr>
              <w:t>先征得</w:t>
            </w:r>
            <w:r>
              <w:rPr>
                <w:rFonts w:hint="eastAsia" w:ascii="宋体" w:hAnsi="宋体" w:eastAsia="宋体" w:cs="宋体"/>
                <w:sz w:val="22"/>
                <w:szCs w:val="22"/>
                <w:lang w:val="en-US" w:eastAsia="zh-CN"/>
              </w:rPr>
              <w:t>采购人</w:t>
            </w:r>
            <w:r>
              <w:rPr>
                <w:rFonts w:hint="eastAsia" w:ascii="宋体" w:hAnsi="宋体" w:eastAsia="宋体" w:cs="宋体"/>
                <w:sz w:val="22"/>
                <w:szCs w:val="22"/>
              </w:rPr>
              <w:t>同意。通话时应控制音量，避免影响办公环境。</w:t>
            </w:r>
          </w:p>
          <w:p w14:paraId="2D145A42">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1.5</w:t>
            </w:r>
            <w:r>
              <w:rPr>
                <w:rFonts w:hint="eastAsia" w:ascii="宋体" w:hAnsi="宋体" w:eastAsia="宋体" w:cs="宋体"/>
                <w:sz w:val="22"/>
                <w:szCs w:val="22"/>
              </w:rPr>
              <w:t>硬盘进行操作：在重装操作系统或者更换硬盘时，</w:t>
            </w:r>
            <w:r>
              <w:rPr>
                <w:rFonts w:hint="eastAsia" w:ascii="宋体" w:hAnsi="宋体" w:eastAsia="宋体" w:cs="宋体"/>
                <w:sz w:val="22"/>
                <w:szCs w:val="22"/>
                <w:lang w:val="en-US" w:eastAsia="zh-CN"/>
              </w:rPr>
              <w:t>必须</w:t>
            </w:r>
            <w:r>
              <w:rPr>
                <w:rFonts w:hint="eastAsia" w:ascii="宋体" w:hAnsi="宋体" w:eastAsia="宋体" w:cs="宋体"/>
                <w:sz w:val="22"/>
                <w:szCs w:val="22"/>
              </w:rPr>
              <w:t>征得机器使用者同意（如机器使用者不在现场，电话联系确认后再操作）。如果条件允许，应尽量协助</w:t>
            </w:r>
            <w:r>
              <w:rPr>
                <w:rFonts w:hint="eastAsia" w:ascii="宋体" w:hAnsi="宋体" w:eastAsia="宋体" w:cs="宋体"/>
                <w:sz w:val="22"/>
                <w:szCs w:val="22"/>
                <w:lang w:val="en-US" w:eastAsia="zh-CN"/>
              </w:rPr>
              <w:t>用户</w:t>
            </w:r>
            <w:r>
              <w:rPr>
                <w:rFonts w:hint="eastAsia" w:ascii="宋体" w:hAnsi="宋体" w:eastAsia="宋体" w:cs="宋体"/>
                <w:sz w:val="22"/>
                <w:szCs w:val="22"/>
              </w:rPr>
              <w:t>进行数据备份，以减少</w:t>
            </w:r>
            <w:r>
              <w:rPr>
                <w:rFonts w:hint="eastAsia" w:ascii="宋体" w:hAnsi="宋体" w:eastAsia="宋体" w:cs="宋体"/>
                <w:sz w:val="22"/>
                <w:szCs w:val="22"/>
                <w:lang w:val="en-US" w:eastAsia="zh-CN"/>
              </w:rPr>
              <w:t>用户</w:t>
            </w:r>
            <w:r>
              <w:rPr>
                <w:rFonts w:hint="eastAsia" w:ascii="宋体" w:hAnsi="宋体" w:eastAsia="宋体" w:cs="宋体"/>
                <w:sz w:val="22"/>
                <w:szCs w:val="22"/>
              </w:rPr>
              <w:t>因机器故障而造成的损失；如因硬盘损坏严重无法备份</w:t>
            </w:r>
            <w:r>
              <w:rPr>
                <w:rFonts w:hint="eastAsia" w:ascii="宋体" w:hAnsi="宋体" w:eastAsia="宋体" w:cs="宋体"/>
                <w:sz w:val="22"/>
                <w:szCs w:val="22"/>
                <w:lang w:val="en-US" w:eastAsia="zh-CN"/>
              </w:rPr>
              <w:t>数据</w:t>
            </w:r>
            <w:r>
              <w:rPr>
                <w:rFonts w:hint="eastAsia" w:ascii="宋体" w:hAnsi="宋体" w:eastAsia="宋体" w:cs="宋体"/>
                <w:sz w:val="22"/>
                <w:szCs w:val="22"/>
              </w:rPr>
              <w:t>（如坏区太多，检测不到硬盘</w:t>
            </w:r>
            <w:r>
              <w:rPr>
                <w:rFonts w:hint="eastAsia" w:ascii="宋体" w:hAnsi="宋体" w:eastAsia="宋体" w:cs="宋体"/>
                <w:sz w:val="22"/>
                <w:szCs w:val="22"/>
                <w:lang w:val="en-US" w:eastAsia="zh-CN"/>
              </w:rPr>
              <w:t>等</w:t>
            </w:r>
            <w:r>
              <w:rPr>
                <w:rFonts w:hint="eastAsia" w:ascii="宋体" w:hAnsi="宋体" w:eastAsia="宋体" w:cs="宋体"/>
                <w:sz w:val="22"/>
                <w:szCs w:val="22"/>
              </w:rPr>
              <w:t>），应向</w:t>
            </w:r>
            <w:r>
              <w:rPr>
                <w:rFonts w:hint="eastAsia" w:ascii="宋体" w:hAnsi="宋体" w:eastAsia="宋体" w:cs="宋体"/>
                <w:sz w:val="22"/>
                <w:szCs w:val="22"/>
                <w:lang w:val="en-US" w:eastAsia="zh-CN"/>
              </w:rPr>
              <w:t>用户</w:t>
            </w:r>
            <w:r>
              <w:rPr>
                <w:rFonts w:hint="eastAsia" w:ascii="宋体" w:hAnsi="宋体" w:eastAsia="宋体" w:cs="宋体"/>
                <w:sz w:val="22"/>
                <w:szCs w:val="22"/>
              </w:rPr>
              <w:t>说明具体故障原因并日常备份数据</w:t>
            </w:r>
            <w:r>
              <w:rPr>
                <w:rFonts w:hint="eastAsia" w:ascii="宋体" w:hAnsi="宋体" w:eastAsia="宋体" w:cs="宋体"/>
                <w:sz w:val="22"/>
                <w:szCs w:val="22"/>
                <w:lang w:val="en-US" w:eastAsia="zh-CN"/>
              </w:rPr>
              <w:t>建议</w:t>
            </w:r>
            <w:r>
              <w:rPr>
                <w:rFonts w:hint="eastAsia" w:ascii="宋体" w:hAnsi="宋体" w:eastAsia="宋体" w:cs="宋体"/>
                <w:sz w:val="22"/>
                <w:szCs w:val="22"/>
              </w:rPr>
              <w:t>。</w:t>
            </w:r>
          </w:p>
          <w:p w14:paraId="3B4BAF26">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1.6如</w:t>
            </w:r>
            <w:r>
              <w:rPr>
                <w:rFonts w:hint="eastAsia" w:ascii="宋体" w:hAnsi="宋体" w:eastAsia="宋体" w:cs="宋体"/>
                <w:sz w:val="22"/>
                <w:szCs w:val="22"/>
              </w:rPr>
              <w:t>维修</w:t>
            </w:r>
            <w:r>
              <w:rPr>
                <w:rFonts w:hint="eastAsia" w:ascii="宋体" w:hAnsi="宋体" w:eastAsia="宋体" w:cs="宋体"/>
                <w:sz w:val="22"/>
                <w:szCs w:val="22"/>
                <w:lang w:val="en-US" w:eastAsia="zh-CN"/>
              </w:rPr>
              <w:t>过程中</w:t>
            </w:r>
            <w:r>
              <w:rPr>
                <w:rFonts w:hint="eastAsia" w:ascii="宋体" w:hAnsi="宋体" w:eastAsia="宋体" w:cs="宋体"/>
                <w:sz w:val="22"/>
                <w:szCs w:val="22"/>
              </w:rPr>
              <w:t>改变机器的使用环境（如更换不同型号的备件</w:t>
            </w:r>
            <w:r>
              <w:rPr>
                <w:rFonts w:hint="eastAsia" w:ascii="宋体" w:hAnsi="宋体" w:eastAsia="宋体" w:cs="宋体"/>
                <w:sz w:val="22"/>
                <w:szCs w:val="22"/>
                <w:lang w:eastAsia="zh-CN"/>
              </w:rPr>
              <w:t>、</w:t>
            </w:r>
            <w:r>
              <w:rPr>
                <w:rFonts w:hint="eastAsia" w:ascii="宋体" w:hAnsi="宋体" w:eastAsia="宋体" w:cs="宋体"/>
                <w:sz w:val="22"/>
                <w:szCs w:val="22"/>
              </w:rPr>
              <w:t>更换硬盘</w:t>
            </w:r>
            <w:r>
              <w:rPr>
                <w:rFonts w:hint="eastAsia" w:ascii="宋体" w:hAnsi="宋体" w:eastAsia="宋体" w:cs="宋体"/>
                <w:sz w:val="22"/>
                <w:szCs w:val="22"/>
                <w:lang w:eastAsia="zh-CN"/>
              </w:rPr>
              <w:t>、</w:t>
            </w:r>
            <w:r>
              <w:rPr>
                <w:rFonts w:hint="eastAsia" w:ascii="宋体" w:hAnsi="宋体" w:eastAsia="宋体" w:cs="宋体"/>
                <w:sz w:val="22"/>
                <w:szCs w:val="22"/>
              </w:rPr>
              <w:t>重装系统等），应确保设备恢复至维修前</w:t>
            </w:r>
            <w:r>
              <w:rPr>
                <w:rFonts w:hint="eastAsia" w:ascii="宋体" w:hAnsi="宋体" w:eastAsia="宋体" w:cs="宋体"/>
                <w:sz w:val="22"/>
                <w:szCs w:val="22"/>
                <w:lang w:val="en-US" w:eastAsia="zh-CN"/>
              </w:rPr>
              <w:t>使用环境</w:t>
            </w:r>
            <w:r>
              <w:rPr>
                <w:rFonts w:hint="eastAsia" w:ascii="宋体" w:hAnsi="宋体" w:eastAsia="宋体" w:cs="宋体"/>
                <w:sz w:val="22"/>
                <w:szCs w:val="22"/>
              </w:rPr>
              <w:t>。</w:t>
            </w:r>
          </w:p>
          <w:p w14:paraId="5D7932A3">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1.7</w:t>
            </w:r>
            <w:r>
              <w:rPr>
                <w:rFonts w:hint="eastAsia" w:ascii="宋体" w:hAnsi="宋体" w:eastAsia="宋体" w:cs="宋体"/>
                <w:sz w:val="22"/>
                <w:szCs w:val="22"/>
              </w:rPr>
              <w:t>维修完</w:t>
            </w:r>
            <w:r>
              <w:rPr>
                <w:rFonts w:hint="eastAsia" w:ascii="宋体" w:hAnsi="宋体" w:eastAsia="宋体" w:cs="宋体"/>
                <w:sz w:val="22"/>
                <w:szCs w:val="22"/>
                <w:lang w:val="en-US" w:eastAsia="zh-CN"/>
              </w:rPr>
              <w:t>成</w:t>
            </w:r>
            <w:r>
              <w:rPr>
                <w:rFonts w:hint="eastAsia" w:ascii="宋体" w:hAnsi="宋体" w:eastAsia="宋体" w:cs="宋体"/>
                <w:sz w:val="22"/>
                <w:szCs w:val="22"/>
              </w:rPr>
              <w:t>后，应擦拭用户机箱及显示器外壳并清理现场，</w:t>
            </w:r>
            <w:r>
              <w:rPr>
                <w:rFonts w:hint="eastAsia" w:ascii="宋体" w:hAnsi="宋体" w:eastAsia="宋体" w:cs="宋体"/>
                <w:sz w:val="22"/>
                <w:szCs w:val="22"/>
                <w:lang w:val="en-US" w:eastAsia="zh-CN"/>
              </w:rPr>
              <w:t>保持</w:t>
            </w:r>
            <w:r>
              <w:rPr>
                <w:rFonts w:hint="eastAsia" w:ascii="宋体" w:hAnsi="宋体" w:eastAsia="宋体" w:cs="宋体"/>
                <w:sz w:val="22"/>
                <w:szCs w:val="22"/>
              </w:rPr>
              <w:t>地面或桌面整齐干净。</w:t>
            </w:r>
            <w:r>
              <w:rPr>
                <w:rFonts w:hint="eastAsia" w:ascii="宋体" w:hAnsi="宋体" w:eastAsia="宋体" w:cs="宋体"/>
                <w:sz w:val="22"/>
                <w:szCs w:val="22"/>
                <w:lang w:val="en-US" w:eastAsia="zh-CN"/>
              </w:rPr>
              <w:t>现场与采购人用户共同</w:t>
            </w:r>
            <w:r>
              <w:rPr>
                <w:rFonts w:hint="eastAsia" w:ascii="宋体" w:hAnsi="宋体" w:eastAsia="宋体" w:cs="宋体"/>
                <w:sz w:val="22"/>
                <w:szCs w:val="22"/>
              </w:rPr>
              <w:t>复验机器，确认原故障排除。并对机器进行全面检查，避免存在其他故障或因故障排除引发新的故障，杜绝重复维修。</w:t>
            </w:r>
          </w:p>
          <w:p w14:paraId="05D0A668">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1.8</w:t>
            </w:r>
            <w:r>
              <w:rPr>
                <w:rFonts w:hint="eastAsia" w:ascii="宋体" w:hAnsi="宋体" w:eastAsia="宋体" w:cs="宋体"/>
                <w:sz w:val="22"/>
                <w:szCs w:val="22"/>
              </w:rPr>
              <w:t>维修工作完成</w:t>
            </w:r>
            <w:r>
              <w:rPr>
                <w:rFonts w:hint="eastAsia" w:ascii="宋体" w:hAnsi="宋体" w:eastAsia="宋体" w:cs="宋体"/>
                <w:sz w:val="22"/>
                <w:szCs w:val="22"/>
                <w:lang w:val="en-US" w:eastAsia="zh-CN"/>
              </w:rPr>
              <w:t>后需按要求规范</w:t>
            </w:r>
            <w:r>
              <w:rPr>
                <w:rFonts w:hint="eastAsia" w:ascii="宋体" w:hAnsi="宋体" w:eastAsia="宋体" w:cs="宋体"/>
                <w:sz w:val="22"/>
                <w:szCs w:val="22"/>
              </w:rPr>
              <w:t>填写《售后服务报告单》</w:t>
            </w: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包括</w:t>
            </w:r>
            <w:r>
              <w:rPr>
                <w:rFonts w:hint="eastAsia" w:ascii="宋体" w:hAnsi="宋体" w:eastAsia="宋体" w:cs="宋体"/>
                <w:sz w:val="22"/>
                <w:szCs w:val="22"/>
              </w:rPr>
              <w:t>故障描述、处理结果、工程师签字等</w:t>
            </w:r>
            <w:r>
              <w:rPr>
                <w:rFonts w:hint="eastAsia" w:ascii="宋体" w:hAnsi="宋体" w:eastAsia="宋体" w:cs="宋体"/>
                <w:sz w:val="22"/>
                <w:szCs w:val="22"/>
                <w:lang w:eastAsia="zh-CN"/>
              </w:rPr>
              <w:t>）</w:t>
            </w:r>
            <w:r>
              <w:rPr>
                <w:rFonts w:hint="eastAsia" w:ascii="宋体" w:hAnsi="宋体" w:eastAsia="宋体" w:cs="宋体"/>
                <w:sz w:val="22"/>
                <w:szCs w:val="22"/>
              </w:rPr>
              <w:t>，并请用户在相应栏目签字，填写维修完成时间。</w:t>
            </w:r>
          </w:p>
          <w:p w14:paraId="5BC3D8ED">
            <w:pPr>
              <w:pStyle w:val="5"/>
              <w:pageBreakBefore w:val="0"/>
              <w:numPr>
                <w:ilvl w:val="2"/>
                <w:numId w:val="0"/>
              </w:numPr>
              <w:kinsoku/>
              <w:wordWrap/>
              <w:overflowPunct/>
              <w:topLinePunct w:val="0"/>
              <w:autoSpaceDE/>
              <w:autoSpaceDN/>
              <w:bidi w:val="0"/>
              <w:adjustRightInd/>
              <w:snapToGrid/>
              <w:spacing w:before="0" w:beforeLines="0" w:after="0" w:afterLines="0" w:line="360" w:lineRule="auto"/>
              <w:ind w:left="0" w:leftChars="0" w:firstLine="0" w:firstLineChars="0"/>
              <w:textAlignment w:val="auto"/>
              <w:rPr>
                <w:rFonts w:hint="eastAsia" w:ascii="宋体" w:hAnsi="宋体" w:eastAsia="宋体" w:cs="宋体"/>
                <w:sz w:val="22"/>
                <w:szCs w:val="22"/>
              </w:rPr>
            </w:pPr>
            <w:bookmarkStart w:id="64" w:name="_Toc173501880"/>
            <w:r>
              <w:rPr>
                <w:rFonts w:hint="eastAsia" w:ascii="宋体" w:hAnsi="宋体" w:eastAsia="宋体" w:cs="宋体"/>
                <w:b/>
                <w:bCs/>
                <w:kern w:val="2"/>
                <w:sz w:val="22"/>
                <w:szCs w:val="22"/>
                <w:lang w:val="en-US" w:eastAsia="zh-CN" w:bidi="ar-SA"/>
              </w:rPr>
              <w:t>2.</w:t>
            </w:r>
            <w:r>
              <w:rPr>
                <w:rFonts w:hint="eastAsia" w:ascii="宋体" w:hAnsi="宋体" w:eastAsia="宋体" w:cs="宋体"/>
                <w:sz w:val="22"/>
                <w:szCs w:val="22"/>
              </w:rPr>
              <w:t>送修服务规范</w:t>
            </w:r>
            <w:bookmarkEnd w:id="64"/>
          </w:p>
          <w:p w14:paraId="683DD2FF">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2.1</w:t>
            </w:r>
            <w:r>
              <w:rPr>
                <w:rFonts w:hint="eastAsia" w:ascii="宋体" w:hAnsi="宋体" w:eastAsia="宋体" w:cs="宋体"/>
                <w:sz w:val="22"/>
                <w:szCs w:val="22"/>
              </w:rPr>
              <w:t>维修工程师对故障设备进行检测后，首先要对故障点进行定位，明确无法通过现场维修修复故障。</w:t>
            </w:r>
          </w:p>
          <w:p w14:paraId="15C17F1C">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2.2</w:t>
            </w:r>
            <w:r>
              <w:rPr>
                <w:rFonts w:hint="eastAsia" w:ascii="宋体" w:hAnsi="宋体" w:eastAsia="宋体" w:cs="宋体"/>
                <w:sz w:val="22"/>
                <w:szCs w:val="22"/>
              </w:rPr>
              <w:t>向用户解释故障设备检测情况，说明无法通过现场维修修复故障的原因。</w:t>
            </w:r>
          </w:p>
          <w:p w14:paraId="7780A455">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2.3</w:t>
            </w:r>
            <w:r>
              <w:rPr>
                <w:rFonts w:hint="eastAsia" w:ascii="宋体" w:hAnsi="宋体" w:eastAsia="宋体" w:cs="宋体"/>
                <w:sz w:val="22"/>
                <w:szCs w:val="22"/>
              </w:rPr>
              <w:t>协助用户填写《送修设备记录表》，填写内容包括送修时间</w:t>
            </w:r>
            <w:r>
              <w:rPr>
                <w:rFonts w:hint="eastAsia" w:ascii="宋体" w:hAnsi="宋体" w:eastAsia="宋体" w:cs="宋体"/>
                <w:sz w:val="22"/>
                <w:szCs w:val="22"/>
                <w:lang w:eastAsia="zh-CN"/>
              </w:rPr>
              <w:t>、</w:t>
            </w:r>
            <w:r>
              <w:rPr>
                <w:rFonts w:hint="eastAsia" w:ascii="宋体" w:hAnsi="宋体" w:eastAsia="宋体" w:cs="宋体"/>
                <w:sz w:val="22"/>
                <w:szCs w:val="22"/>
              </w:rPr>
              <w:t>送修设备的型号、序列号</w:t>
            </w: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预估</w:t>
            </w:r>
            <w:r>
              <w:rPr>
                <w:rFonts w:hint="eastAsia" w:ascii="宋体" w:hAnsi="宋体" w:eastAsia="宋体" w:cs="宋体"/>
                <w:sz w:val="22"/>
                <w:szCs w:val="22"/>
              </w:rPr>
              <w:t>维修时间。</w:t>
            </w:r>
          </w:p>
          <w:p w14:paraId="332A62C9">
            <w:pPr>
              <w:pStyle w:val="3"/>
              <w:keepNext/>
              <w:keepLines/>
              <w:pageBreakBefore w:val="0"/>
              <w:widowControl/>
              <w:numPr>
                <w:ilvl w:val="0"/>
                <w:numId w:val="0"/>
              </w:numPr>
              <w:kinsoku/>
              <w:wordWrap/>
              <w:overflowPunct/>
              <w:topLinePunct w:val="0"/>
              <w:autoSpaceDE/>
              <w:autoSpaceDN/>
              <w:bidi w:val="0"/>
              <w:adjustRightInd/>
              <w:snapToGrid/>
              <w:spacing w:before="0" w:after="0" w:line="360" w:lineRule="auto"/>
              <w:ind w:left="442" w:leftChars="0" w:hanging="442" w:hangingChars="200"/>
              <w:textAlignment w:val="auto"/>
              <w:rPr>
                <w:rFonts w:hint="eastAsia" w:ascii="宋体" w:hAnsi="宋体" w:eastAsia="宋体" w:cs="宋体"/>
                <w:b/>
                <w:bCs/>
                <w:sz w:val="22"/>
                <w:szCs w:val="22"/>
              </w:rPr>
            </w:pPr>
            <w:r>
              <w:rPr>
                <w:rFonts w:hint="eastAsia" w:ascii="宋体" w:hAnsi="宋体" w:eastAsia="宋体" w:cs="宋体"/>
                <w:b/>
                <w:bCs/>
                <w:kern w:val="44"/>
                <w:sz w:val="22"/>
                <w:szCs w:val="22"/>
                <w:lang w:val="en-US" w:eastAsia="zh-CN" w:bidi="ar-SA"/>
              </w:rPr>
              <w:t>九、</w:t>
            </w:r>
            <w:r>
              <w:rPr>
                <w:rFonts w:hint="eastAsia" w:ascii="宋体" w:hAnsi="宋体" w:eastAsia="宋体" w:cs="宋体"/>
                <w:b/>
                <w:bCs/>
                <w:sz w:val="22"/>
                <w:szCs w:val="22"/>
              </w:rPr>
              <w:t>保密条例</w:t>
            </w:r>
          </w:p>
          <w:p w14:paraId="1BE6F640">
            <w:pPr>
              <w:pStyle w:val="3"/>
              <w:keepNext/>
              <w:keepLines/>
              <w:pageBreakBefore w:val="0"/>
              <w:widowControl/>
              <w:numPr>
                <w:ilvl w:val="0"/>
                <w:numId w:val="0"/>
              </w:numPr>
              <w:kinsoku/>
              <w:wordWrap/>
              <w:overflowPunct/>
              <w:topLinePunct w:val="0"/>
              <w:autoSpaceDE/>
              <w:autoSpaceDN/>
              <w:bidi w:val="0"/>
              <w:adjustRightInd/>
              <w:snapToGrid/>
              <w:spacing w:before="0" w:after="0" w:line="360" w:lineRule="auto"/>
              <w:ind w:firstLine="440" w:firstLineChars="200"/>
              <w:textAlignment w:val="auto"/>
              <w:rPr>
                <w:rFonts w:hint="eastAsia" w:ascii="宋体" w:hAnsi="宋体" w:eastAsia="宋体" w:cs="宋体"/>
                <w:b/>
                <w:bCs/>
                <w:color w:val="auto"/>
                <w:sz w:val="22"/>
                <w:szCs w:val="22"/>
                <w:highlight w:val="none"/>
                <w:shd w:val="clear" w:color="FFFFFF" w:fill="D9D9D9"/>
                <w:lang w:bidi="ar"/>
              </w:rPr>
            </w:pPr>
            <w:r>
              <w:rPr>
                <w:rFonts w:hint="eastAsia" w:ascii="宋体" w:hAnsi="宋体" w:eastAsia="宋体" w:cs="宋体"/>
                <w:b w:val="0"/>
                <w:bCs w:val="0"/>
                <w:sz w:val="22"/>
                <w:szCs w:val="22"/>
                <w:lang w:val="en-US" w:eastAsia="zh-CN"/>
              </w:rPr>
              <w:t>1.</w:t>
            </w:r>
            <w:r>
              <w:rPr>
                <w:rFonts w:hint="eastAsia" w:ascii="宋体" w:hAnsi="宋体" w:eastAsia="宋体" w:cs="宋体"/>
                <w:b w:val="0"/>
                <w:bCs w:val="0"/>
                <w:sz w:val="22"/>
                <w:szCs w:val="22"/>
              </w:rPr>
              <w:t>成交供应商应遵守采购人各项规章制度、工作流程和安全保密规定，接受采购人日常工作管理，做好安全检查与防范工作，通过人防和技防手段确保运维过程中产生的各类交易信息数据安全保密。由于该项目内容涉及采购人内部事项和国家规定的保密事项，成交供应商应承诺做好保密工作并承担相应的责任</w:t>
            </w:r>
            <w:r>
              <w:rPr>
                <w:rFonts w:hint="eastAsia" w:ascii="宋体" w:hAnsi="宋体" w:eastAsia="宋体" w:cs="宋体"/>
                <w:b w:val="0"/>
                <w:bCs w:val="0"/>
                <w:sz w:val="22"/>
                <w:szCs w:val="22"/>
                <w:lang w:eastAsia="zh-CN"/>
              </w:rPr>
              <w:t>。</w:t>
            </w:r>
            <w:r>
              <w:rPr>
                <w:rFonts w:hint="eastAsia" w:ascii="宋体" w:hAnsi="宋体" w:eastAsia="宋体" w:cs="宋体"/>
                <w:b w:val="0"/>
                <w:bCs w:val="0"/>
                <w:sz w:val="22"/>
                <w:szCs w:val="22"/>
              </w:rPr>
              <w:br w:type="textWrapping"/>
            </w:r>
            <w:r>
              <w:rPr>
                <w:rFonts w:hint="eastAsia" w:ascii="宋体" w:hAnsi="宋体" w:eastAsia="宋体" w:cs="宋体"/>
                <w:b w:val="0"/>
                <w:bCs w:val="0"/>
                <w:sz w:val="22"/>
                <w:szCs w:val="22"/>
                <w:lang w:val="en-US" w:eastAsia="zh-CN"/>
              </w:rPr>
              <w:t xml:space="preserve">  2.</w:t>
            </w:r>
            <w:r>
              <w:rPr>
                <w:rFonts w:hint="eastAsia" w:ascii="宋体" w:hAnsi="宋体" w:eastAsia="宋体" w:cs="宋体"/>
                <w:b w:val="0"/>
                <w:bCs w:val="0"/>
                <w:sz w:val="22"/>
                <w:szCs w:val="22"/>
              </w:rPr>
              <w:t>成交供应商须和采购人签订《广东省公安机关信息化建设第三方运维机构安全保密责任书》《广东省公安机关信息化建设第三方运维人员安全保密责任书》。成交供应商对采购人所提供的所有资料以及在合同签订、履行过程中所接触到的采购人及其关联公司的商业秘密、技术资料信息等资料和信息(统称“保密资料”)负有保密义务，保证对本项目相关资料的使用仅限于本项目，未经采购人书面同意，不得直接、间接地透露或提供给任何第三方或将其使用在其</w:t>
            </w:r>
            <w:r>
              <w:rPr>
                <w:rFonts w:hint="eastAsia" w:ascii="宋体" w:hAnsi="宋体" w:eastAsia="宋体" w:cs="宋体"/>
                <w:b w:val="0"/>
                <w:bCs w:val="0"/>
                <w:sz w:val="22"/>
                <w:szCs w:val="22"/>
                <w:lang w:val="en-US" w:eastAsia="zh-CN"/>
              </w:rPr>
              <w:t>他</w:t>
            </w:r>
            <w:r>
              <w:rPr>
                <w:rFonts w:hint="eastAsia" w:ascii="宋体" w:hAnsi="宋体" w:eastAsia="宋体" w:cs="宋体"/>
                <w:b w:val="0"/>
                <w:bCs w:val="0"/>
                <w:sz w:val="22"/>
                <w:szCs w:val="22"/>
              </w:rPr>
              <w:t>项目中；成交供应商有义务对保密资料采取不低于对其本身商业秘密所采取的保护手段予以保护。成交供应商可仅为合同目的向其内部有知悉保密资料必要的雇员披露保密资料，但同时须指示其雇员遵守本条规定的保密及不披露义务，保证对本项目相关资料的内容保密，成交供应商参与本项目的人员若泄露相关内容，责任由成交供应商承担。</w:t>
            </w:r>
            <w:r>
              <w:rPr>
                <w:rFonts w:hint="eastAsia" w:ascii="宋体" w:hAnsi="宋体" w:eastAsia="宋体" w:cs="宋体"/>
                <w:b w:val="0"/>
                <w:bCs w:val="0"/>
                <w:sz w:val="22"/>
                <w:szCs w:val="22"/>
              </w:rPr>
              <w:br w:type="textWrapping"/>
            </w:r>
            <w:r>
              <w:rPr>
                <w:rFonts w:hint="eastAsia" w:ascii="宋体" w:hAnsi="宋体" w:eastAsia="宋体" w:cs="宋体"/>
                <w:b w:val="0"/>
                <w:bCs w:val="0"/>
                <w:sz w:val="22"/>
                <w:szCs w:val="22"/>
                <w:lang w:val="en-US" w:eastAsia="zh-CN"/>
              </w:rPr>
              <w:t xml:space="preserve">  3.</w:t>
            </w:r>
            <w:r>
              <w:rPr>
                <w:rFonts w:hint="eastAsia" w:ascii="宋体" w:hAnsi="宋体" w:eastAsia="宋体" w:cs="宋体"/>
                <w:b w:val="0"/>
                <w:bCs w:val="0"/>
                <w:sz w:val="22"/>
                <w:szCs w:val="22"/>
              </w:rPr>
              <w:t>成交供应商仅可以在履行合同之目的对保密资料进行复制。成交供应商不得以任何方式（</w:t>
            </w:r>
            <w:r>
              <w:rPr>
                <w:rFonts w:hint="eastAsia" w:ascii="宋体" w:hAnsi="宋体" w:eastAsia="宋体" w:cs="宋体"/>
                <w:b w:val="0"/>
                <w:bCs w:val="0"/>
                <w:sz w:val="22"/>
                <w:szCs w:val="22"/>
                <w:lang w:val="en-US" w:eastAsia="zh-CN"/>
              </w:rPr>
              <w:t>包括但不限于</w:t>
            </w:r>
            <w:r>
              <w:rPr>
                <w:rFonts w:hint="eastAsia" w:ascii="宋体" w:hAnsi="宋体" w:eastAsia="宋体" w:cs="宋体"/>
                <w:b w:val="0"/>
                <w:bCs w:val="0"/>
                <w:sz w:val="22"/>
                <w:szCs w:val="22"/>
              </w:rPr>
              <w:t>软硬盘、图纸、彩样、照片、菲林、光盘等）留存保密资料。成交供应商应当在完成委托事项或本合同终止或解除时将保密资料原件全部返还采购人，并销毁所有复制件。成交供应商应当妥善保管保密资料，并对保密资料在成交供应商期间发生的被盗、泄露或其他有损保密资料保密性的事件承担全部责任，因此造成采购人损失的，成交供应商应负责赔偿。</w:t>
            </w:r>
            <w:r>
              <w:rPr>
                <w:rFonts w:hint="eastAsia" w:ascii="宋体" w:hAnsi="宋体" w:eastAsia="宋体" w:cs="宋体"/>
                <w:b w:val="0"/>
                <w:bCs w:val="0"/>
                <w:sz w:val="22"/>
                <w:szCs w:val="22"/>
              </w:rPr>
              <w:br w:type="textWrapping"/>
            </w:r>
            <w:r>
              <w:rPr>
                <w:rFonts w:hint="eastAsia" w:ascii="宋体" w:hAnsi="宋体" w:eastAsia="宋体" w:cs="宋体"/>
                <w:b w:val="0"/>
                <w:bCs w:val="0"/>
                <w:sz w:val="22"/>
                <w:szCs w:val="22"/>
                <w:lang w:val="en-US" w:eastAsia="zh-CN"/>
              </w:rPr>
              <w:t xml:space="preserve">  4.</w:t>
            </w:r>
            <w:r>
              <w:rPr>
                <w:rFonts w:hint="eastAsia" w:ascii="宋体" w:hAnsi="宋体" w:eastAsia="宋体" w:cs="宋体"/>
                <w:b w:val="0"/>
                <w:bCs w:val="0"/>
                <w:sz w:val="22"/>
                <w:szCs w:val="22"/>
              </w:rPr>
              <w:t>如违反上述约定及《中华人民共和国保守国家秘密法》等相关规定，采购人有权对成交供应商采取相应的处罚措施并有权依法追究其法律责任。</w:t>
            </w:r>
            <w:r>
              <w:rPr>
                <w:rFonts w:hint="eastAsia" w:ascii="宋体" w:hAnsi="宋体" w:eastAsia="宋体" w:cs="宋体"/>
                <w:b w:val="0"/>
                <w:bCs w:val="0"/>
                <w:sz w:val="22"/>
                <w:szCs w:val="22"/>
              </w:rPr>
              <w:br w:type="textWrapping"/>
            </w:r>
            <w:r>
              <w:rPr>
                <w:rFonts w:hint="eastAsia" w:ascii="宋体" w:hAnsi="宋体" w:eastAsia="宋体" w:cs="宋体"/>
                <w:b w:val="0"/>
                <w:bCs w:val="0"/>
                <w:sz w:val="22"/>
                <w:szCs w:val="22"/>
                <w:lang w:val="en-US" w:eastAsia="zh-CN"/>
              </w:rPr>
              <w:t xml:space="preserve">  5.</w:t>
            </w:r>
            <w:r>
              <w:rPr>
                <w:rFonts w:hint="eastAsia" w:ascii="宋体" w:hAnsi="宋体" w:eastAsia="宋体" w:cs="宋体"/>
                <w:b w:val="0"/>
                <w:bCs w:val="0"/>
                <w:sz w:val="22"/>
                <w:szCs w:val="22"/>
              </w:rPr>
              <w:t>当出现下述情况时，本条对保密资料的限制不适用。当保密资料：</w:t>
            </w:r>
            <w:r>
              <w:rPr>
                <w:rFonts w:hint="eastAsia" w:ascii="宋体" w:hAnsi="宋体" w:eastAsia="宋体" w:cs="宋体"/>
                <w:b w:val="0"/>
                <w:bCs w:val="0"/>
                <w:sz w:val="22"/>
                <w:szCs w:val="22"/>
              </w:rPr>
              <w:br w:type="textWrapping"/>
            </w:r>
            <w:r>
              <w:rPr>
                <w:rFonts w:hint="eastAsia" w:ascii="宋体" w:hAnsi="宋体" w:eastAsia="宋体" w:cs="宋体"/>
                <w:b w:val="0"/>
                <w:bCs w:val="0"/>
                <w:sz w:val="22"/>
                <w:szCs w:val="22"/>
              </w:rPr>
              <w:t xml:space="preserve"> （1）并非成交供应商的过错而已经进入公有领域的。</w:t>
            </w:r>
            <w:r>
              <w:rPr>
                <w:rFonts w:hint="eastAsia" w:ascii="宋体" w:hAnsi="宋体" w:eastAsia="宋体" w:cs="宋体"/>
                <w:b w:val="0"/>
                <w:bCs w:val="0"/>
                <w:sz w:val="22"/>
                <w:szCs w:val="22"/>
              </w:rPr>
              <w:br w:type="textWrapping"/>
            </w:r>
            <w:r>
              <w:rPr>
                <w:rFonts w:hint="eastAsia" w:ascii="宋体" w:hAnsi="宋体" w:eastAsia="宋体" w:cs="宋体"/>
                <w:b w:val="0"/>
                <w:bCs w:val="0"/>
                <w:sz w:val="22"/>
                <w:szCs w:val="22"/>
              </w:rPr>
              <w:t xml:space="preserve"> （2）已通过该方的有关记录证明是由成交供应商独立开发的。</w:t>
            </w:r>
            <w:r>
              <w:rPr>
                <w:rFonts w:hint="eastAsia" w:ascii="宋体" w:hAnsi="宋体" w:eastAsia="宋体" w:cs="宋体"/>
                <w:b w:val="0"/>
                <w:bCs w:val="0"/>
                <w:sz w:val="22"/>
                <w:szCs w:val="22"/>
              </w:rPr>
              <w:br w:type="textWrapping"/>
            </w:r>
            <w:r>
              <w:rPr>
                <w:rFonts w:hint="eastAsia" w:ascii="宋体" w:hAnsi="宋体" w:eastAsia="宋体" w:cs="宋体"/>
                <w:b w:val="0"/>
                <w:bCs w:val="0"/>
                <w:sz w:val="22"/>
                <w:szCs w:val="22"/>
              </w:rPr>
              <w:t xml:space="preserve"> （3）由成交供应商从没有违反对采购人的保密义务的人合法取得的。</w:t>
            </w:r>
            <w:r>
              <w:rPr>
                <w:rFonts w:hint="eastAsia" w:ascii="宋体" w:hAnsi="宋体" w:eastAsia="宋体" w:cs="宋体"/>
                <w:b w:val="0"/>
                <w:bCs w:val="0"/>
                <w:sz w:val="22"/>
                <w:szCs w:val="22"/>
              </w:rPr>
              <w:br w:type="textWrapping"/>
            </w:r>
            <w:r>
              <w:rPr>
                <w:rFonts w:hint="eastAsia" w:ascii="宋体" w:hAnsi="宋体" w:eastAsia="宋体" w:cs="宋体"/>
                <w:b w:val="0"/>
                <w:bCs w:val="0"/>
                <w:sz w:val="22"/>
                <w:szCs w:val="22"/>
              </w:rPr>
              <w:t xml:space="preserve"> （4）法律要求成交供应商披露的，但成交供应商应在合理的时间提前通知采购人，使其得以采取其认为必要的保护措施。</w:t>
            </w:r>
            <w:r>
              <w:rPr>
                <w:rFonts w:hint="eastAsia" w:ascii="宋体" w:hAnsi="宋体" w:eastAsia="宋体" w:cs="宋体"/>
                <w:b w:val="0"/>
                <w:bCs w:val="0"/>
                <w:sz w:val="22"/>
                <w:szCs w:val="22"/>
              </w:rPr>
              <w:br w:type="textWrapping"/>
            </w:r>
            <w:r>
              <w:rPr>
                <w:rFonts w:hint="eastAsia" w:ascii="宋体" w:hAnsi="宋体" w:eastAsia="宋体" w:cs="宋体"/>
                <w:b w:val="0"/>
                <w:bCs w:val="0"/>
                <w:sz w:val="22"/>
                <w:szCs w:val="22"/>
                <w:lang w:val="en-US" w:eastAsia="zh-CN"/>
              </w:rPr>
              <w:t xml:space="preserve">  6.</w:t>
            </w:r>
            <w:r>
              <w:rPr>
                <w:rFonts w:hint="eastAsia" w:ascii="宋体" w:hAnsi="宋体" w:eastAsia="宋体" w:cs="宋体"/>
                <w:b w:val="0"/>
                <w:bCs w:val="0"/>
                <w:sz w:val="22"/>
                <w:szCs w:val="22"/>
              </w:rPr>
              <w:t>如成交供应商违反合同关于保密的约定，成交供应商应赔偿因此而给采购人造成的一切损失。</w:t>
            </w:r>
            <w:r>
              <w:rPr>
                <w:rFonts w:hint="eastAsia" w:ascii="宋体" w:hAnsi="宋体" w:eastAsia="宋体" w:cs="宋体"/>
                <w:b w:val="0"/>
                <w:bCs w:val="0"/>
                <w:sz w:val="22"/>
                <w:szCs w:val="22"/>
              </w:rPr>
              <w:br w:type="textWrapping"/>
            </w:r>
            <w:r>
              <w:rPr>
                <w:rFonts w:hint="eastAsia" w:ascii="宋体" w:hAnsi="宋体" w:eastAsia="宋体" w:cs="宋体"/>
                <w:b w:val="0"/>
                <w:bCs w:val="0"/>
                <w:sz w:val="22"/>
                <w:szCs w:val="22"/>
                <w:lang w:val="en-US" w:eastAsia="zh-CN"/>
              </w:rPr>
              <w:t xml:space="preserve">  7.</w:t>
            </w:r>
            <w:r>
              <w:rPr>
                <w:rFonts w:hint="eastAsia" w:ascii="宋体" w:hAnsi="宋体" w:eastAsia="宋体" w:cs="宋体"/>
                <w:b w:val="0"/>
                <w:bCs w:val="0"/>
                <w:sz w:val="22"/>
                <w:szCs w:val="22"/>
              </w:rPr>
              <w:t>本保密条款自保密资料提供或披露之日起至永久有效。</w:t>
            </w:r>
          </w:p>
        </w:tc>
        <w:tc>
          <w:tcPr>
            <w:tcW w:w="1208" w:type="dxa"/>
          </w:tcPr>
          <w:p w14:paraId="6024C929">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629" w:type="dxa"/>
          </w:tcPr>
          <w:p w14:paraId="391BC47C">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3BC96958">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849" w:type="dxa"/>
          </w:tcPr>
          <w:p w14:paraId="027E2F93">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c>
          <w:tcPr>
            <w:tcW w:w="723" w:type="dxa"/>
          </w:tcPr>
          <w:p w14:paraId="4739C7AA">
            <w:pPr>
              <w:pageBreakBefore w:val="0"/>
              <w:widowControl w:val="0"/>
              <w:kinsoku/>
              <w:wordWrap/>
              <w:overflowPunct/>
              <w:topLinePunct w:val="0"/>
              <w:autoSpaceDE/>
              <w:autoSpaceDN/>
              <w:bidi w:val="0"/>
              <w:spacing w:line="360" w:lineRule="auto"/>
              <w:textAlignment w:val="auto"/>
              <w:rPr>
                <w:rFonts w:hint="eastAsia" w:ascii="宋体" w:hAnsi="宋体" w:eastAsia="宋体" w:cs="宋体"/>
                <w:b w:val="0"/>
                <w:bCs w:val="0"/>
                <w:color w:val="auto"/>
                <w:sz w:val="22"/>
                <w:szCs w:val="22"/>
                <w:highlight w:val="none"/>
              </w:rPr>
            </w:pPr>
          </w:p>
        </w:tc>
      </w:tr>
    </w:tbl>
    <w:p w14:paraId="28021683">
      <w:pPr>
        <w:rPr>
          <w:rFonts w:hint="eastAsia" w:ascii="宋体" w:hAnsi="宋体" w:eastAsia="宋体" w:cs="宋体"/>
          <w:b/>
          <w:bCs/>
          <w:kern w:val="2"/>
          <w:sz w:val="24"/>
          <w:szCs w:val="24"/>
          <w:highlight w:val="none"/>
          <w:lang w:val="en-US" w:eastAsia="zh-CN" w:bidi="ar-SA"/>
        </w:rPr>
      </w:pPr>
    </w:p>
    <w:p w14:paraId="0D7356D8">
      <w:pPr>
        <w:pStyle w:val="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注：1.此表仅作为汇总参与评审的非“★”、“▲”的条款，共28项参数条款。其余条款请供应商在制作响应文件中自行补充到响应表中。</w:t>
      </w:r>
    </w:p>
    <w:p w14:paraId="3DBA0382">
      <w:pPr>
        <w:pStyle w:val="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2.每项参数条款里任意1小点未响应或负偏离，视为该点所在项负偏离不得分。</w:t>
      </w:r>
    </w:p>
    <w:p w14:paraId="3F1733BD">
      <w:pPr>
        <w:pStyle w:val="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3.本表中“采购文件规定的技术和服务要求”的填写若与磋商文件第二章“采购需求”中的表述不一致，以磋商文件第二章“采购需求”中的表述为准。</w:t>
      </w:r>
    </w:p>
    <w:sectPr>
      <w:pgSz w:w="16838" w:h="11906" w:orient="landscape"/>
      <w:pgMar w:top="138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7BACAA"/>
    <w:multiLevelType w:val="multilevel"/>
    <w:tmpl w:val="CE7BACAA"/>
    <w:lvl w:ilvl="0" w:tentative="0">
      <w:start w:val="1"/>
      <w:numFmt w:val="decimal"/>
      <w:pStyle w:val="3"/>
      <w:suff w:val="space"/>
      <w:lvlText w:val="%1"/>
      <w:lvlJc w:val="left"/>
      <w:pPr>
        <w:ind w:left="425" w:hanging="425"/>
      </w:pPr>
      <w:rPr>
        <w:rFonts w:hint="eastAsia"/>
      </w:rPr>
    </w:lvl>
    <w:lvl w:ilvl="1" w:tentative="0">
      <w:start w:val="1"/>
      <w:numFmt w:val="decimal"/>
      <w:pStyle w:val="4"/>
      <w:suff w:val="space"/>
      <w:lvlText w:val="%1.%2"/>
      <w:lvlJc w:val="left"/>
      <w:pPr>
        <w:ind w:left="992" w:hanging="992"/>
      </w:pPr>
      <w:rPr>
        <w:rFonts w:hint="default" w:ascii="Times New Roman" w:hAnsi="Times New Roman" w:cs="Times New Roman"/>
      </w:rPr>
    </w:lvl>
    <w:lvl w:ilvl="2" w:tentative="0">
      <w:start w:val="1"/>
      <w:numFmt w:val="decimal"/>
      <w:pStyle w:val="5"/>
      <w:suff w:val="space"/>
      <w:lvlText w:val="%1.%2.%3"/>
      <w:lvlJc w:val="left"/>
      <w:pPr>
        <w:ind w:left="1418" w:hanging="1418"/>
      </w:pPr>
      <w:rPr>
        <w:rFonts w:hint="eastAsia"/>
      </w:rPr>
    </w:lvl>
    <w:lvl w:ilvl="3" w:tentative="0">
      <w:start w:val="1"/>
      <w:numFmt w:val="decimal"/>
      <w:pStyle w:val="7"/>
      <w:suff w:val="space"/>
      <w:lvlText w:val="%1.%2.%3.%4"/>
      <w:lvlJc w:val="left"/>
      <w:pPr>
        <w:ind w:left="1984" w:hanging="1984"/>
      </w:pPr>
      <w:rPr>
        <w:rFonts w:hint="eastAsia"/>
      </w:rPr>
    </w:lvl>
    <w:lvl w:ilvl="4" w:tentative="0">
      <w:start w:val="1"/>
      <w:numFmt w:val="decimal"/>
      <w:pStyle w:val="8"/>
      <w:suff w:val="space"/>
      <w:lvlText w:val="%1.%2.%3.%4.%5"/>
      <w:lvlJc w:val="left"/>
      <w:pPr>
        <w:ind w:left="2551" w:hanging="2551"/>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2E8A1D36"/>
    <w:multiLevelType w:val="multilevel"/>
    <w:tmpl w:val="2E8A1D36"/>
    <w:lvl w:ilvl="0" w:tentative="0">
      <w:start w:val="1"/>
      <w:numFmt w:val="decimal"/>
      <w:pStyle w:val="35"/>
      <w:lvlText w:val="（%1）"/>
      <w:lvlJc w:val="left"/>
      <w:pPr>
        <w:tabs>
          <w:tab w:val="left" w:pos="900"/>
        </w:tabs>
        <w:ind w:left="900" w:hanging="420"/>
      </w:pPr>
      <w:rPr>
        <w:rFonts w:hint="default"/>
        <w:sz w:val="24"/>
        <w:szCs w:val="24"/>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
    <w:nsid w:val="671B4D4F"/>
    <w:multiLevelType w:val="multilevel"/>
    <w:tmpl w:val="671B4D4F"/>
    <w:lvl w:ilvl="0" w:tentative="0">
      <w:start w:val="1"/>
      <w:numFmt w:val="bullet"/>
      <w:lvlText w:val=""/>
      <w:lvlJc w:val="left"/>
      <w:pPr>
        <w:tabs>
          <w:tab w:val="left" w:pos="420"/>
        </w:tabs>
        <w:ind w:left="420" w:hanging="420"/>
      </w:pPr>
      <w:rPr>
        <w:rFonts w:hint="default" w:ascii="Wingdings" w:hAnsi="Wingdings"/>
      </w:rPr>
    </w:lvl>
    <w:lvl w:ilvl="1" w:tentative="0">
      <w:start w:val="3"/>
      <w:numFmt w:val="decimal"/>
      <w:pStyle w:val="26"/>
      <w:isLgl/>
      <w:lvlText w:val="%1.%2"/>
      <w:lvlJc w:val="left"/>
      <w:pPr>
        <w:tabs>
          <w:tab w:val="left" w:pos="720"/>
        </w:tabs>
        <w:ind w:left="720" w:hanging="720"/>
      </w:pPr>
      <w:rPr>
        <w:rFonts w:hint="default"/>
      </w:rPr>
    </w:lvl>
    <w:lvl w:ilvl="2" w:tentative="0">
      <w:start w:val="1"/>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1080"/>
        </w:tabs>
        <w:ind w:left="1080" w:hanging="1080"/>
      </w:pPr>
      <w:rPr>
        <w:rFonts w:hint="default"/>
      </w:rPr>
    </w:lvl>
    <w:lvl w:ilvl="4" w:tentative="0">
      <w:start w:val="1"/>
      <w:numFmt w:val="decimal"/>
      <w:isLgl/>
      <w:lvlText w:val="%1.%2.%3.%4.%5"/>
      <w:lvlJc w:val="left"/>
      <w:pPr>
        <w:tabs>
          <w:tab w:val="left" w:pos="1440"/>
        </w:tabs>
        <w:ind w:left="1440" w:hanging="1440"/>
      </w:pPr>
      <w:rPr>
        <w:rFonts w:hint="default"/>
      </w:rPr>
    </w:lvl>
    <w:lvl w:ilvl="5" w:tentative="0">
      <w:start w:val="1"/>
      <w:numFmt w:val="decimal"/>
      <w:isLgl/>
      <w:lvlText w:val="%1.%2.%3.%4.%5.%6"/>
      <w:lvlJc w:val="left"/>
      <w:pPr>
        <w:tabs>
          <w:tab w:val="left" w:pos="1440"/>
        </w:tabs>
        <w:ind w:left="1440" w:hanging="1440"/>
      </w:pPr>
      <w:rPr>
        <w:rFonts w:hint="default"/>
      </w:rPr>
    </w:lvl>
    <w:lvl w:ilvl="6" w:tentative="0">
      <w:start w:val="1"/>
      <w:numFmt w:val="decimal"/>
      <w:isLgl/>
      <w:lvlText w:val="%1.%2.%3.%4.%5.%6.%7"/>
      <w:lvlJc w:val="left"/>
      <w:pPr>
        <w:tabs>
          <w:tab w:val="left" w:pos="1800"/>
        </w:tabs>
        <w:ind w:left="1800" w:hanging="1800"/>
      </w:pPr>
      <w:rPr>
        <w:rFonts w:hint="default"/>
      </w:rPr>
    </w:lvl>
    <w:lvl w:ilvl="7" w:tentative="0">
      <w:start w:val="1"/>
      <w:numFmt w:val="decimal"/>
      <w:isLgl/>
      <w:lvlText w:val="%1.%2.%3.%4.%5.%6.%7.%8"/>
      <w:lvlJc w:val="left"/>
      <w:pPr>
        <w:tabs>
          <w:tab w:val="left" w:pos="1800"/>
        </w:tabs>
        <w:ind w:left="1800" w:hanging="1800"/>
      </w:pPr>
      <w:rPr>
        <w:rFonts w:hint="default"/>
      </w:rPr>
    </w:lvl>
    <w:lvl w:ilvl="8" w:tentative="0">
      <w:start w:val="1"/>
      <w:numFmt w:val="decimal"/>
      <w:isLgl/>
      <w:lvlText w:val="%1.%2.%3.%4.%5.%6.%7.%8.%9"/>
      <w:lvlJc w:val="left"/>
      <w:pPr>
        <w:tabs>
          <w:tab w:val="left" w:pos="2160"/>
        </w:tabs>
        <w:ind w:left="2160" w:hanging="216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0NzMyZjhjN2E3YmVhODJhNzlkOThmNWY1ODE3NjYifQ=="/>
  </w:docVars>
  <w:rsids>
    <w:rsidRoot w:val="442F4999"/>
    <w:rsid w:val="037A7DE6"/>
    <w:rsid w:val="06163A8E"/>
    <w:rsid w:val="061C607A"/>
    <w:rsid w:val="063B25D4"/>
    <w:rsid w:val="0B9510F4"/>
    <w:rsid w:val="0DEC1F3A"/>
    <w:rsid w:val="1152104B"/>
    <w:rsid w:val="12057451"/>
    <w:rsid w:val="12071A88"/>
    <w:rsid w:val="12144D10"/>
    <w:rsid w:val="15E30E98"/>
    <w:rsid w:val="19133DD6"/>
    <w:rsid w:val="1A09796F"/>
    <w:rsid w:val="1B4B11B9"/>
    <w:rsid w:val="1CA64694"/>
    <w:rsid w:val="2127199F"/>
    <w:rsid w:val="226357CA"/>
    <w:rsid w:val="23282B03"/>
    <w:rsid w:val="23FE6456"/>
    <w:rsid w:val="27441EF5"/>
    <w:rsid w:val="29EC3C46"/>
    <w:rsid w:val="2AF72AE6"/>
    <w:rsid w:val="2DE955A4"/>
    <w:rsid w:val="2E1A1DBF"/>
    <w:rsid w:val="2EB75843"/>
    <w:rsid w:val="2EEC41F8"/>
    <w:rsid w:val="32FE1ECC"/>
    <w:rsid w:val="37F27598"/>
    <w:rsid w:val="3B9C5F5F"/>
    <w:rsid w:val="3F1A1CB4"/>
    <w:rsid w:val="41195D48"/>
    <w:rsid w:val="43BB30E7"/>
    <w:rsid w:val="442F4999"/>
    <w:rsid w:val="45CA7611"/>
    <w:rsid w:val="47023EA4"/>
    <w:rsid w:val="48F153ED"/>
    <w:rsid w:val="4C1D5E70"/>
    <w:rsid w:val="4C6274DB"/>
    <w:rsid w:val="4D5C6380"/>
    <w:rsid w:val="4E4B77F1"/>
    <w:rsid w:val="4F986F98"/>
    <w:rsid w:val="51166742"/>
    <w:rsid w:val="52522B27"/>
    <w:rsid w:val="52BC6534"/>
    <w:rsid w:val="52ED08E4"/>
    <w:rsid w:val="57393E1A"/>
    <w:rsid w:val="57A20225"/>
    <w:rsid w:val="5A4C1EEF"/>
    <w:rsid w:val="5A772D64"/>
    <w:rsid w:val="5A803F67"/>
    <w:rsid w:val="5AF64BA6"/>
    <w:rsid w:val="5B46047D"/>
    <w:rsid w:val="608478B8"/>
    <w:rsid w:val="61465A5C"/>
    <w:rsid w:val="632736ED"/>
    <w:rsid w:val="661C75BD"/>
    <w:rsid w:val="67754842"/>
    <w:rsid w:val="6B194759"/>
    <w:rsid w:val="6E8F4BA7"/>
    <w:rsid w:val="6ED31A4F"/>
    <w:rsid w:val="6F993497"/>
    <w:rsid w:val="71631080"/>
    <w:rsid w:val="735C36EF"/>
    <w:rsid w:val="7446270F"/>
    <w:rsid w:val="7CF301CE"/>
    <w:rsid w:val="7EF97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qFormat="1" w:uiPriority="99"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numPr>
        <w:ilvl w:val="0"/>
        <w:numId w:val="1"/>
      </w:numPr>
      <w:spacing w:before="340" w:beforeLines="0" w:beforeAutospacing="0" w:after="330" w:afterLines="0" w:afterAutospacing="0" w:line="576" w:lineRule="auto"/>
      <w:ind w:left="425" w:hanging="425"/>
      <w:outlineLvl w:val="0"/>
    </w:pPr>
    <w:rPr>
      <w:b/>
      <w:kern w:val="44"/>
      <w:sz w:val="44"/>
    </w:rPr>
  </w:style>
  <w:style w:type="paragraph" w:styleId="4">
    <w:name w:val="heading 2"/>
    <w:basedOn w:val="1"/>
    <w:next w:val="1"/>
    <w:semiHidden/>
    <w:unhideWhenUsed/>
    <w:qFormat/>
    <w:uiPriority w:val="0"/>
    <w:pPr>
      <w:keepNext/>
      <w:keepLines/>
      <w:numPr>
        <w:ilvl w:val="1"/>
        <w:numId w:val="1"/>
      </w:numPr>
      <w:spacing w:before="120"/>
      <w:ind w:left="0" w:firstLine="0" w:firstLineChars="0"/>
      <w:outlineLvl w:val="1"/>
    </w:pPr>
    <w:rPr>
      <w:rFonts w:eastAsia="宋体" w:asciiTheme="minorAscii" w:hAnsiTheme="minorAscii" w:cstheme="majorBidi"/>
      <w:bCs/>
      <w:sz w:val="22"/>
      <w:szCs w:val="32"/>
    </w:rPr>
  </w:style>
  <w:style w:type="paragraph" w:styleId="5">
    <w:name w:val="heading 3"/>
    <w:basedOn w:val="1"/>
    <w:next w:val="6"/>
    <w:semiHidden/>
    <w:unhideWhenUsed/>
    <w:qFormat/>
    <w:uiPriority w:val="0"/>
    <w:pPr>
      <w:keepNext/>
      <w:keepLines/>
      <w:numPr>
        <w:ilvl w:val="2"/>
        <w:numId w:val="1"/>
      </w:numPr>
      <w:spacing w:before="260" w:beforeLines="0" w:beforeAutospacing="0" w:after="260" w:afterLines="0" w:afterAutospacing="0" w:line="413" w:lineRule="auto"/>
      <w:ind w:left="1418" w:hanging="1418"/>
      <w:outlineLvl w:val="2"/>
    </w:pPr>
    <w:rPr>
      <w:b/>
      <w:sz w:val="32"/>
    </w:rPr>
  </w:style>
  <w:style w:type="paragraph" w:styleId="7">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1984" w:hanging="1984"/>
      <w:outlineLvl w:val="3"/>
    </w:pPr>
    <w:rPr>
      <w:rFonts w:ascii="Arial" w:hAnsi="Arial" w:eastAsia="黑体"/>
      <w:b/>
      <w:sz w:val="28"/>
    </w:rPr>
  </w:style>
  <w:style w:type="paragraph" w:styleId="8">
    <w:name w:val="heading 5"/>
    <w:basedOn w:val="1"/>
    <w:next w:val="9"/>
    <w:semiHidden/>
    <w:unhideWhenUsed/>
    <w:qFormat/>
    <w:uiPriority w:val="0"/>
    <w:pPr>
      <w:keepNext/>
      <w:keepLines/>
      <w:numPr>
        <w:ilvl w:val="4"/>
        <w:numId w:val="1"/>
      </w:numPr>
      <w:spacing w:before="280" w:beforeLines="0" w:beforeAutospacing="0" w:after="290" w:afterLines="0" w:afterAutospacing="0" w:line="372" w:lineRule="auto"/>
      <w:ind w:left="2551" w:hanging="2551"/>
      <w:outlineLvl w:val="4"/>
    </w:pPr>
    <w:rPr>
      <w:b/>
      <w:sz w:val="28"/>
    </w:rPr>
  </w:style>
  <w:style w:type="character" w:default="1" w:styleId="21">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qFormat/>
    <w:uiPriority w:val="0"/>
    <w:rPr>
      <w:sz w:val="20"/>
      <w:szCs w:val="20"/>
    </w:rPr>
  </w:style>
  <w:style w:type="paragraph" w:styleId="6">
    <w:name w:val="Normal Indent"/>
    <w:basedOn w:val="1"/>
    <w:qFormat/>
    <w:uiPriority w:val="0"/>
    <w:pPr>
      <w:ind w:firstLine="420"/>
    </w:pPr>
  </w:style>
  <w:style w:type="paragraph" w:customStyle="1" w:styleId="9">
    <w:name w:val="正文样式"/>
    <w:basedOn w:val="1"/>
    <w:qFormat/>
    <w:uiPriority w:val="0"/>
    <w:pPr>
      <w:ind w:firstLine="480"/>
    </w:pPr>
    <w:rPr>
      <w:rFonts w:eastAsia="仿宋_GB2312"/>
      <w:sz w:val="28"/>
      <w:szCs w:val="24"/>
    </w:rPr>
  </w:style>
  <w:style w:type="paragraph" w:styleId="10">
    <w:name w:val="caption"/>
    <w:basedOn w:val="1"/>
    <w:next w:val="1"/>
    <w:qFormat/>
    <w:uiPriority w:val="0"/>
    <w:pPr>
      <w:jc w:val="center"/>
    </w:pPr>
    <w:rPr>
      <w:rFonts w:ascii="仿宋_GB2312" w:hAnsi="仿宋_GB2312"/>
      <w:sz w:val="21"/>
    </w:rPr>
  </w:style>
  <w:style w:type="paragraph" w:styleId="11">
    <w:name w:val="annotation text"/>
    <w:basedOn w:val="1"/>
    <w:qFormat/>
    <w:uiPriority w:val="0"/>
    <w:pPr>
      <w:jc w:val="left"/>
    </w:pPr>
  </w:style>
  <w:style w:type="paragraph" w:styleId="12">
    <w:name w:val="Body Text Indent"/>
    <w:basedOn w:val="1"/>
    <w:qFormat/>
    <w:uiPriority w:val="99"/>
    <w:pPr>
      <w:ind w:firstLine="360"/>
    </w:pPr>
  </w:style>
  <w:style w:type="paragraph" w:styleId="13">
    <w:name w:val="toc 5"/>
    <w:basedOn w:val="1"/>
    <w:next w:val="1"/>
    <w:qFormat/>
    <w:uiPriority w:val="39"/>
    <w:pPr>
      <w:spacing w:before="0" w:after="0"/>
      <w:ind w:firstLine="0"/>
      <w:jc w:val="left"/>
      <w:textAlignment w:val="top"/>
    </w:pPr>
  </w:style>
  <w:style w:type="paragraph" w:styleId="14">
    <w:name w:val="footnote text"/>
    <w:basedOn w:val="1"/>
    <w:unhideWhenUsed/>
    <w:qFormat/>
    <w:uiPriority w:val="99"/>
    <w:pPr>
      <w:snapToGrid w:val="0"/>
      <w:jc w:val="center"/>
    </w:pPr>
    <w:rPr>
      <w:rFonts w:ascii="宋体" w:hAnsi="宋体"/>
      <w:szCs w:val="18"/>
    </w:rPr>
  </w:style>
  <w:style w:type="paragraph" w:styleId="15">
    <w:name w:val="toc 2"/>
    <w:basedOn w:val="1"/>
    <w:next w:val="1"/>
    <w:qFormat/>
    <w:uiPriority w:val="39"/>
    <w:pPr>
      <w:spacing w:before="0" w:beforeLines="0" w:after="0" w:afterLines="0"/>
      <w:ind w:left="100" w:leftChars="100" w:firstLine="0"/>
      <w:textAlignment w:val="top"/>
    </w:pPr>
    <w:rPr>
      <w:caps/>
    </w:r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Body Text First Indent"/>
    <w:basedOn w:val="2"/>
    <w:unhideWhenUsed/>
    <w:qFormat/>
    <w:uiPriority w:val="99"/>
    <w:pPr>
      <w:ind w:firstLine="420" w:firstLineChars="100"/>
    </w:pPr>
  </w:style>
  <w:style w:type="table" w:styleId="19">
    <w:name w:val="Table Grid"/>
    <w:basedOn w:val="1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20">
    <w:name w:val="Table Professional"/>
    <w:basedOn w:val="18"/>
    <w:semiHidden/>
    <w:unhideWhenUsed/>
    <w:qFormat/>
    <w:uiPriority w:val="99"/>
    <w:pPr>
      <w:widowControl w:val="0"/>
      <w:ind w:left="420" w:leftChars="20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paragraph" w:customStyle="1" w:styleId="22">
    <w:name w:val="标准正文"/>
    <w:basedOn w:val="12"/>
    <w:qFormat/>
    <w:uiPriority w:val="0"/>
    <w:pPr>
      <w:adjustRightInd/>
      <w:ind w:firstLine="0"/>
      <w:jc w:val="center"/>
      <w:textAlignment w:val="auto"/>
    </w:pPr>
    <w:rPr>
      <w:rFonts w:ascii="宋体" w:hAnsi="宋体"/>
      <w:bCs/>
      <w:kern w:val="2"/>
      <w:lang w:val="en-GB"/>
    </w:rPr>
  </w:style>
  <w:style w:type="paragraph" w:customStyle="1" w:styleId="23">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24">
    <w:name w:val="List Paragraph"/>
    <w:basedOn w:val="1"/>
    <w:qFormat/>
    <w:uiPriority w:val="34"/>
    <w:pPr>
      <w:ind w:firstLine="420"/>
    </w:pPr>
    <w:rPr>
      <w:rFonts w:ascii="Calibri" w:hAnsi="Calibri"/>
    </w:rPr>
  </w:style>
  <w:style w:type="paragraph" w:customStyle="1" w:styleId="25">
    <w:name w:val="null3"/>
    <w:hidden/>
    <w:qFormat/>
    <w:uiPriority w:val="0"/>
    <w:rPr>
      <w:rFonts w:hint="eastAsia" w:asciiTheme="minorHAnsi" w:hAnsiTheme="minorHAnsi" w:eastAsiaTheme="minorEastAsia" w:cstheme="minorBidi"/>
      <w:lang w:val="en-US" w:eastAsia="zh-Hans"/>
    </w:rPr>
  </w:style>
  <w:style w:type="paragraph" w:customStyle="1" w:styleId="26">
    <w:name w:val="说明书item step"/>
    <w:basedOn w:val="17"/>
    <w:qFormat/>
    <w:uiPriority w:val="0"/>
    <w:pPr>
      <w:widowControl w:val="0"/>
      <w:numPr>
        <w:ilvl w:val="1"/>
        <w:numId w:val="2"/>
      </w:numPr>
      <w:tabs>
        <w:tab w:val="left" w:pos="1260"/>
      </w:tabs>
      <w:adjustRightInd w:val="0"/>
      <w:snapToGrid w:val="0"/>
      <w:spacing w:before="0" w:beforeLines="0" w:beforeAutospacing="0" w:after="120" w:afterLines="0" w:afterAutospacing="0" w:line="240" w:lineRule="auto"/>
      <w:jc w:val="both"/>
    </w:pPr>
    <w:rPr>
      <w:rFonts w:ascii="Arial" w:hAnsi="Arial"/>
      <w:sz w:val="21"/>
      <w:szCs w:val="21"/>
      <w:lang w:val="zh-CN"/>
    </w:rPr>
  </w:style>
  <w:style w:type="paragraph" w:customStyle="1" w:styleId="27">
    <w:name w:val="论文正文"/>
    <w:basedOn w:val="1"/>
    <w:qFormat/>
    <w:uiPriority w:val="0"/>
    <w:pPr>
      <w:ind w:firstLine="482"/>
    </w:pPr>
    <w:rPr>
      <w:rFonts w:ascii="宋体" w:hAnsi="宋体" w:cs="楷体"/>
    </w:rPr>
  </w:style>
  <w:style w:type="paragraph" w:customStyle="1" w:styleId="28">
    <w:name w:val="_Style 144"/>
    <w:basedOn w:val="1"/>
    <w:next w:val="17"/>
    <w:qFormat/>
    <w:uiPriority w:val="0"/>
    <w:pPr>
      <w:snapToGrid w:val="0"/>
      <w:spacing w:after="120" w:line="240" w:lineRule="auto"/>
      <w:ind w:left="400" w:leftChars="400"/>
    </w:pPr>
    <w:rPr>
      <w:rFonts w:ascii="Arial" w:hAnsi="Arial"/>
      <w:sz w:val="21"/>
      <w:szCs w:val="21"/>
    </w:rPr>
  </w:style>
  <w:style w:type="paragraph" w:customStyle="1" w:styleId="29">
    <w:name w:val="自建正文"/>
    <w:basedOn w:val="1"/>
    <w:qFormat/>
    <w:uiPriority w:val="0"/>
    <w:pPr>
      <w:jc w:val="left"/>
    </w:pPr>
    <w:rPr>
      <w:rFonts w:hAnsi="Courier New" w:cs="Courier New"/>
      <w:kern w:val="2"/>
      <w:sz w:val="21"/>
      <w:szCs w:val="21"/>
    </w:rPr>
  </w:style>
  <w:style w:type="paragraph" w:customStyle="1" w:styleId="30">
    <w:name w:val="图"/>
    <w:basedOn w:val="6"/>
    <w:next w:val="1"/>
    <w:qFormat/>
    <w:uiPriority w:val="0"/>
    <w:pPr>
      <w:widowControl/>
      <w:spacing w:before="156" w:after="156"/>
      <w:ind w:firstLine="480"/>
      <w:jc w:val="center"/>
    </w:pPr>
    <w:rPr>
      <w:rFonts w:eastAsia="Courier New"/>
      <w:kern w:val="2"/>
      <w:sz w:val="21"/>
      <w:szCs w:val="21"/>
    </w:rPr>
  </w:style>
  <w:style w:type="paragraph" w:customStyle="1" w:styleId="31">
    <w:name w:val="正文2"/>
    <w:basedOn w:val="1"/>
    <w:qFormat/>
    <w:uiPriority w:val="0"/>
    <w:pPr>
      <w:adjustRightInd/>
      <w:spacing w:before="156" w:after="0"/>
      <w:ind w:firstLine="510" w:firstLineChars="200"/>
      <w:textAlignment w:val="auto"/>
    </w:pPr>
    <w:rPr>
      <w:kern w:val="2"/>
      <w:szCs w:val="20"/>
    </w:rPr>
  </w:style>
  <w:style w:type="paragraph" w:customStyle="1" w:styleId="32">
    <w:name w:val="表头文本"/>
    <w:basedOn w:val="1"/>
    <w:next w:val="33"/>
    <w:qFormat/>
    <w:uiPriority w:val="0"/>
    <w:pPr>
      <w:snapToGrid w:val="0"/>
      <w:spacing w:before="0" w:after="120" w:line="240" w:lineRule="auto"/>
      <w:ind w:firstLine="0"/>
      <w:jc w:val="center"/>
      <w:textAlignment w:val="auto"/>
    </w:pPr>
    <w:rPr>
      <w:rFonts w:ascii="Arial" w:hAnsi="Arial"/>
      <w:b/>
      <w:kern w:val="2"/>
      <w:sz w:val="21"/>
      <w:szCs w:val="21"/>
    </w:rPr>
  </w:style>
  <w:style w:type="paragraph" w:customStyle="1" w:styleId="33">
    <w:name w:val="表格文本"/>
    <w:basedOn w:val="1"/>
    <w:qFormat/>
    <w:uiPriority w:val="0"/>
    <w:pPr>
      <w:tabs>
        <w:tab w:val="left" w:pos="0"/>
      </w:tabs>
      <w:snapToGrid w:val="0"/>
      <w:spacing w:after="120"/>
      <w:jc w:val="left"/>
    </w:pPr>
    <w:rPr>
      <w:rFonts w:ascii="Arial" w:hAnsi="Arial" w:eastAsia="楷体" w:cstheme="minorBidi"/>
      <w:kern w:val="2"/>
      <w:sz w:val="28"/>
      <w:szCs w:val="21"/>
    </w:rPr>
  </w:style>
  <w:style w:type="paragraph" w:customStyle="1" w:styleId="34">
    <w:name w:val="集群正文"/>
    <w:basedOn w:val="1"/>
    <w:qFormat/>
    <w:uiPriority w:val="0"/>
    <w:pPr>
      <w:spacing w:line="312" w:lineRule="auto"/>
      <w:ind w:firstLine="480"/>
    </w:pPr>
    <w:rPr>
      <w:rFonts w:cs="宋体" w:asciiTheme="minorHAnsi" w:hAnsiTheme="minorHAnsi" w:eastAsiaTheme="minorEastAsia"/>
      <w:kern w:val="2"/>
      <w:sz w:val="21"/>
      <w:szCs w:val="20"/>
    </w:rPr>
  </w:style>
  <w:style w:type="paragraph" w:customStyle="1" w:styleId="35">
    <w:name w:val="（1）标题"/>
    <w:basedOn w:val="36"/>
    <w:qFormat/>
    <w:uiPriority w:val="0"/>
    <w:pPr>
      <w:numPr>
        <w:ilvl w:val="0"/>
        <w:numId w:val="3"/>
      </w:numPr>
      <w:tabs>
        <w:tab w:val="clear" w:pos="900"/>
      </w:tabs>
      <w:ind w:left="0" w:firstLine="200"/>
    </w:pPr>
    <w:rPr>
      <w:bCs/>
    </w:rPr>
  </w:style>
  <w:style w:type="paragraph" w:customStyle="1" w:styleId="36">
    <w:name w:val="正文内容"/>
    <w:basedOn w:val="1"/>
    <w:qFormat/>
    <w:uiPriority w:val="0"/>
    <w:pPr>
      <w:spacing w:line="240" w:lineRule="auto"/>
      <w:ind w:right="210" w:firstLine="490"/>
    </w:pPr>
    <w:rPr>
      <w:rFonts w:ascii="微软雅黑" w:hAnsi="微软雅黑" w:eastAsia="微软雅黑"/>
      <w:kern w:val="2"/>
    </w:rPr>
  </w:style>
  <w:style w:type="paragraph" w:customStyle="1" w:styleId="37">
    <w:name w:val="移动五期"/>
    <w:basedOn w:val="1"/>
    <w:qFormat/>
    <w:uiPriority w:val="0"/>
    <w:pPr>
      <w:overflowPunct w:val="0"/>
      <w:adjustRightInd/>
      <w:spacing w:before="0" w:beforeLines="0" w:after="0" w:afterLines="0"/>
      <w:ind w:firstLine="225" w:firstLineChars="225"/>
      <w:textAlignment w:val="auto"/>
    </w:pPr>
    <w:rPr>
      <w:rFonts w:ascii="Verdana" w:hAnsi="楷体_GB2312" w:cs="楷体_GB2312"/>
      <w:szCs w:val="20"/>
    </w:rPr>
  </w:style>
  <w:style w:type="paragraph" w:customStyle="1" w:styleId="38">
    <w:name w:val="Table Text"/>
    <w:qFormat/>
    <w:uiPriority w:val="0"/>
    <w:pPr>
      <w:snapToGrid w:val="0"/>
      <w:spacing w:before="80" w:after="80"/>
    </w:pPr>
    <w:rPr>
      <w:rFonts w:ascii="Arial" w:hAnsi="Arial" w:eastAsia="宋体" w:cs="Times New Roman"/>
      <w:sz w:val="18"/>
      <w:lang w:val="en-US" w:eastAsia="zh-CN" w:bidi="ar-SA"/>
    </w:rPr>
  </w:style>
  <w:style w:type="table" w:customStyle="1" w:styleId="39">
    <w:name w:val="Table Normal"/>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40">
    <w:name w:val="_Style 150"/>
    <w:basedOn w:val="1"/>
    <w:next w:val="17"/>
    <w:qFormat/>
    <w:uiPriority w:val="0"/>
    <w:pPr>
      <w:snapToGrid w:val="0"/>
      <w:spacing w:after="120" w:line="240" w:lineRule="auto"/>
      <w:ind w:left="400" w:leftChars="400"/>
    </w:pPr>
    <w:rPr>
      <w:rFonts w:ascii="Arial" w:hAnsi="Arial"/>
      <w:sz w:val="21"/>
      <w:szCs w:val="21"/>
    </w:rPr>
  </w:style>
  <w:style w:type="table" w:customStyle="1" w:styleId="41">
    <w:name w:val="Table"/>
    <w:basedOn w:val="20"/>
    <w:qFormat/>
    <w:uiPriority w:val="0"/>
    <w:pPr>
      <w:ind w:left="0" w:leftChars="0"/>
      <w:jc w:val="left"/>
    </w:pPr>
    <w:rPr>
      <w:rFonts w:cs="Arial"/>
    </w:rP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156</Pages>
  <Words>17134</Words>
  <Characters>18914</Characters>
  <Lines>0</Lines>
  <Paragraphs>0</Paragraphs>
  <TotalTime>1</TotalTime>
  <ScaleCrop>false</ScaleCrop>
  <LinksUpToDate>false</LinksUpToDate>
  <CharactersWithSpaces>18981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2024-07-26T03:40:00Z</dcterms:created>
  <dc:creator>ZL-Sumoio</dc:creator>
  <cp:lastModifiedBy>智林招标项目组</cp:lastModifiedBy>
  <cp:lastPrinted>2025-07-07T13:17:00Z</cp:lastPrinted>
  <dcterms:modified xsi:type="dcterms:W3CDTF">2025-08-23T05:12:06Z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01CDEEED2A784F30B65A22163FE7ABB3_13</vt:lpwstr>
  </property>
  <property fmtid="{D5CDD505-2E9C-101B-9397-08002B2CF9AE}" pid="4" name="KSOTemplateDocerSaveRecord">
    <vt:lpwstr>eyJoZGlkIjoiMzM0NzMyZjhjN2E3YmVhODJhNzlkOThmNWY1ODE3NjYiLCJ1c2VySWQiOiI2NDgzMjE0NzYifQ==</vt:lpwstr>
  </property>
</Properties>
</file>