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DB656">
      <w:pPr>
        <w:pStyle w:val="10"/>
        <w:jc w:val="center"/>
        <w:outlineLvl w:val="1"/>
      </w:pPr>
      <w:r>
        <w:rPr>
          <w:b/>
          <w:sz w:val="36"/>
        </w:rPr>
        <w:t>采购需求</w:t>
      </w:r>
    </w:p>
    <w:p w14:paraId="035F4E34">
      <w:pPr>
        <w:pStyle w:val="10"/>
        <w:outlineLvl w:val="2"/>
      </w:pPr>
      <w:r>
        <w:rPr>
          <w:b/>
          <w:sz w:val="28"/>
        </w:rPr>
        <w:t>一、项目概况：</w:t>
      </w:r>
    </w:p>
    <w:p w14:paraId="3DE52E32">
      <w:pPr>
        <w:pStyle w:val="10"/>
        <w:spacing w:line="360" w:lineRule="auto"/>
        <w:rPr>
          <w:rFonts w:hint="eastAsia" w:eastAsiaTheme="minorEastAsia"/>
          <w:sz w:val="24"/>
          <w:szCs w:val="24"/>
          <w:lang w:eastAsia="zh-CN"/>
        </w:rPr>
      </w:pPr>
      <w:r>
        <w:rPr>
          <w:sz w:val="24"/>
          <w:szCs w:val="24"/>
        </w:rPr>
        <w:t>1.项目名称：</w:t>
      </w:r>
      <w:r>
        <w:rPr>
          <w:rFonts w:hint="eastAsia"/>
          <w:sz w:val="24"/>
          <w:szCs w:val="24"/>
          <w:lang w:eastAsia="zh-CN"/>
        </w:rPr>
        <w:t>2025年中山市南头镇老年人健康体检服务项目</w:t>
      </w:r>
    </w:p>
    <w:p w14:paraId="183DB595">
      <w:pPr>
        <w:pStyle w:val="10"/>
        <w:spacing w:line="360" w:lineRule="auto"/>
        <w:jc w:val="both"/>
        <w:rPr>
          <w:rFonts w:hint="eastAsia" w:eastAsiaTheme="minorEastAsia"/>
          <w:sz w:val="24"/>
          <w:szCs w:val="24"/>
          <w:lang w:eastAsia="zh-CN"/>
        </w:rPr>
      </w:pPr>
      <w:r>
        <w:rPr>
          <w:sz w:val="24"/>
          <w:szCs w:val="24"/>
        </w:rPr>
        <w:t>2.采购计划编号：</w:t>
      </w:r>
      <w:r>
        <w:rPr>
          <w:rFonts w:hint="eastAsia"/>
          <w:sz w:val="24"/>
          <w:szCs w:val="24"/>
          <w:lang w:eastAsia="zh-CN"/>
        </w:rPr>
        <w:t>（待定）</w:t>
      </w:r>
    </w:p>
    <w:p w14:paraId="56F99017">
      <w:pPr>
        <w:pStyle w:val="10"/>
        <w:spacing w:line="360" w:lineRule="auto"/>
        <w:jc w:val="both"/>
        <w:rPr>
          <w:rFonts w:hint="eastAsia" w:eastAsiaTheme="minorEastAsia"/>
          <w:sz w:val="24"/>
          <w:szCs w:val="24"/>
          <w:lang w:eastAsia="zh-CN"/>
        </w:rPr>
      </w:pPr>
      <w:r>
        <w:rPr>
          <w:sz w:val="24"/>
          <w:szCs w:val="24"/>
        </w:rPr>
        <w:t>3.采购项目编号：</w:t>
      </w:r>
      <w:r>
        <w:rPr>
          <w:rFonts w:hint="eastAsia"/>
          <w:sz w:val="24"/>
          <w:szCs w:val="24"/>
          <w:lang w:eastAsia="zh-CN"/>
        </w:rPr>
        <w:t>（待定）</w:t>
      </w:r>
    </w:p>
    <w:p w14:paraId="51AE6217">
      <w:pPr>
        <w:pStyle w:val="10"/>
        <w:spacing w:line="360" w:lineRule="auto"/>
        <w:jc w:val="both"/>
        <w:rPr>
          <w:sz w:val="24"/>
          <w:szCs w:val="24"/>
        </w:rPr>
      </w:pPr>
      <w:r>
        <w:rPr>
          <w:sz w:val="24"/>
          <w:szCs w:val="24"/>
        </w:rPr>
        <w:t>4.采购方式：竞争性磋商</w:t>
      </w:r>
    </w:p>
    <w:p w14:paraId="08115ADA">
      <w:pPr>
        <w:pStyle w:val="10"/>
        <w:spacing w:line="360" w:lineRule="auto"/>
        <w:jc w:val="both"/>
        <w:rPr>
          <w:sz w:val="24"/>
          <w:szCs w:val="24"/>
        </w:rPr>
      </w:pPr>
      <w:r>
        <w:rPr>
          <w:sz w:val="24"/>
          <w:szCs w:val="24"/>
        </w:rPr>
        <w:t>5.预算金额：</w:t>
      </w:r>
      <w:r>
        <w:rPr>
          <w:rFonts w:hint="eastAsia"/>
          <w:sz w:val="24"/>
          <w:szCs w:val="24"/>
          <w:lang w:eastAsia="zh-CN"/>
        </w:rPr>
        <w:t>1,374,795.00</w:t>
      </w:r>
      <w:r>
        <w:rPr>
          <w:sz w:val="24"/>
          <w:szCs w:val="24"/>
        </w:rPr>
        <w:t>元</w:t>
      </w:r>
      <w:r>
        <w:rPr>
          <w:sz w:val="24"/>
          <w:szCs w:val="24"/>
        </w:rPr>
        <w:br w:type="textWrapping"/>
      </w:r>
      <w:r>
        <w:rPr>
          <w:rFonts w:hint="eastAsia"/>
          <w:sz w:val="24"/>
          <w:szCs w:val="24"/>
          <w:lang w:val="en-US" w:eastAsia="zh-CN"/>
        </w:rPr>
        <w:t>6</w:t>
      </w:r>
      <w:r>
        <w:rPr>
          <w:sz w:val="24"/>
          <w:szCs w:val="24"/>
        </w:rPr>
        <w:t>.合同履行期限：自合同约定生效之日</w:t>
      </w:r>
      <w:r>
        <w:rPr>
          <w:rFonts w:hint="eastAsia"/>
          <w:sz w:val="24"/>
          <w:szCs w:val="24"/>
          <w:lang w:val="en-US" w:eastAsia="zh-CN"/>
        </w:rPr>
        <w:t>起至2025年12月31日止</w:t>
      </w:r>
      <w:r>
        <w:rPr>
          <w:sz w:val="24"/>
          <w:szCs w:val="24"/>
        </w:rPr>
        <w:t>或累计结算金额达到项目预算金额上限（以先到者为准），委托合同终止。</w:t>
      </w:r>
    </w:p>
    <w:p w14:paraId="51E7F079">
      <w:pPr>
        <w:pStyle w:val="10"/>
        <w:spacing w:line="360" w:lineRule="auto"/>
        <w:jc w:val="both"/>
        <w:rPr>
          <w:sz w:val="24"/>
          <w:szCs w:val="24"/>
          <w:highlight w:val="none"/>
        </w:rPr>
      </w:pPr>
      <w:r>
        <w:rPr>
          <w:rFonts w:hint="eastAsia"/>
          <w:sz w:val="24"/>
          <w:szCs w:val="24"/>
          <w:highlight w:val="none"/>
          <w:lang w:val="en-US" w:eastAsia="zh-CN"/>
        </w:rPr>
        <w:t>7</w:t>
      </w:r>
      <w:r>
        <w:rPr>
          <w:sz w:val="24"/>
          <w:szCs w:val="24"/>
          <w:highlight w:val="none"/>
        </w:rPr>
        <w:t>.本项目不属于专门面向中小企业采购项目，供应商根据磋商公告附件《中小企业划型标准规定》、《广东省财政厅关于进一步规范政府采购活动中落实促进中小企业发展政策的通知》要求自行判定是否属于其他未列明行业的小微企业，符合小微企业类型的方可享受《政府采购促进中小企业发展管理办法》规定的中小企业扶持政策。</w:t>
      </w:r>
    </w:p>
    <w:p w14:paraId="761D7C52">
      <w:pPr>
        <w:pStyle w:val="10"/>
        <w:spacing w:line="360" w:lineRule="auto"/>
        <w:jc w:val="both"/>
        <w:rPr>
          <w:rFonts w:hint="default" w:eastAsiaTheme="minorEastAsia"/>
          <w:sz w:val="24"/>
          <w:szCs w:val="24"/>
          <w:lang w:val="en-US" w:eastAsia="zh-CN"/>
        </w:rPr>
      </w:pPr>
      <w:r>
        <w:rPr>
          <w:rFonts w:hint="eastAsia"/>
          <w:sz w:val="24"/>
          <w:szCs w:val="24"/>
          <w:lang w:val="en-US" w:eastAsia="zh-CN"/>
        </w:rPr>
        <w:t>8</w:t>
      </w:r>
      <w:r>
        <w:rPr>
          <w:sz w:val="24"/>
          <w:szCs w:val="24"/>
        </w:rPr>
        <w:t>.本项目属于服务类项目，采购标的对应的中小企业划分标准所属行业为：其他未列明行业。</w:t>
      </w:r>
      <w:r>
        <w:rPr>
          <w:sz w:val="24"/>
          <w:szCs w:val="24"/>
        </w:rPr>
        <w:br w:type="textWrapping"/>
      </w:r>
      <w:r>
        <w:rPr>
          <w:rFonts w:hint="eastAsia"/>
          <w:sz w:val="24"/>
          <w:szCs w:val="24"/>
          <w:lang w:val="en-US" w:eastAsia="zh-CN"/>
        </w:rPr>
        <w:t>9.</w:t>
      </w:r>
      <w:r>
        <w:rPr>
          <w:sz w:val="24"/>
        </w:rPr>
        <w:t>预算依据：本次</w:t>
      </w:r>
      <w:r>
        <w:rPr>
          <w:rFonts w:hint="eastAsia"/>
          <w:sz w:val="24"/>
          <w:lang w:val="en-US" w:eastAsia="zh-CN"/>
        </w:rPr>
        <w:t>项目</w:t>
      </w:r>
      <w:r>
        <w:rPr>
          <w:sz w:val="24"/>
        </w:rPr>
        <w:t>预算按《广东省财政厅广东省卫生健康委关于印发广东省基本公共卫生服务补助资金管理实施细则的通知》(粵财社[2020]202号)、《中山市卫生健康局中山市财政局关于印发中山市基本公共卫生服务补助资金管理实施细则的通知》(中山卫健[2021] 3号)等有关文件制定。</w:t>
      </w:r>
    </w:p>
    <w:p w14:paraId="461CDDE2">
      <w:pPr>
        <w:pStyle w:val="10"/>
        <w:spacing w:line="360" w:lineRule="auto"/>
        <w:jc w:val="both"/>
        <w:rPr>
          <w:sz w:val="24"/>
          <w:szCs w:val="24"/>
        </w:rPr>
      </w:pPr>
      <w:r>
        <w:rPr>
          <w:rFonts w:hint="eastAsia"/>
          <w:sz w:val="24"/>
          <w:szCs w:val="24"/>
          <w:lang w:val="en-US" w:eastAsia="zh-CN"/>
        </w:rPr>
        <w:t>10</w:t>
      </w:r>
      <w:r>
        <w:rPr>
          <w:sz w:val="24"/>
          <w:szCs w:val="24"/>
        </w:rPr>
        <w:t>.本项目不接受联合体投标。</w:t>
      </w:r>
    </w:p>
    <w:p w14:paraId="054BE7B9">
      <w:pPr>
        <w:pStyle w:val="10"/>
        <w:spacing w:line="360" w:lineRule="auto"/>
        <w:jc w:val="both"/>
        <w:rPr>
          <w:sz w:val="24"/>
          <w:szCs w:val="24"/>
        </w:rPr>
      </w:pPr>
      <w:r>
        <w:rPr>
          <w:rFonts w:hint="eastAsia"/>
          <w:sz w:val="24"/>
          <w:szCs w:val="24"/>
          <w:lang w:val="en-US" w:eastAsia="zh-CN"/>
        </w:rPr>
        <w:t>11</w:t>
      </w:r>
      <w:r>
        <w:rPr>
          <w:sz w:val="24"/>
          <w:szCs w:val="24"/>
        </w:rPr>
        <w:t>.未经采购人同意，成交供应商不得以任何方式转包或分包本项目。</w:t>
      </w:r>
    </w:p>
    <w:p w14:paraId="5E34FDAE">
      <w:pPr>
        <w:pStyle w:val="10"/>
        <w:spacing w:line="360" w:lineRule="auto"/>
        <w:jc w:val="both"/>
        <w:rPr>
          <w:sz w:val="24"/>
          <w:szCs w:val="24"/>
        </w:rPr>
      </w:pPr>
      <w:r>
        <w:rPr>
          <w:rFonts w:hint="eastAsia"/>
          <w:sz w:val="24"/>
          <w:szCs w:val="24"/>
          <w:lang w:val="en-US" w:eastAsia="zh-CN"/>
        </w:rPr>
        <w:t>12</w:t>
      </w:r>
      <w:r>
        <w:rPr>
          <w:sz w:val="24"/>
          <w:szCs w:val="24"/>
        </w:rPr>
        <w:t>.采购人有权在签订合同时对项目内容作适当修改调整或对服务内容作适量增加或减少，但不得对磋商文件约定的条款作出实质性的变更。</w:t>
      </w:r>
    </w:p>
    <w:p w14:paraId="72037889">
      <w:pPr>
        <w:pStyle w:val="10"/>
        <w:spacing w:line="360" w:lineRule="auto"/>
        <w:jc w:val="both"/>
        <w:rPr>
          <w:sz w:val="24"/>
          <w:szCs w:val="24"/>
        </w:rPr>
      </w:pPr>
      <w:r>
        <w:rPr>
          <w:b/>
          <w:sz w:val="24"/>
          <w:szCs w:val="24"/>
        </w:rPr>
        <w:t>1</w:t>
      </w:r>
      <w:r>
        <w:rPr>
          <w:rFonts w:hint="eastAsia"/>
          <w:b/>
          <w:sz w:val="24"/>
          <w:szCs w:val="24"/>
          <w:lang w:val="en-US" w:eastAsia="zh-CN"/>
        </w:rPr>
        <w:t>3</w:t>
      </w:r>
      <w:r>
        <w:rPr>
          <w:b/>
          <w:sz w:val="24"/>
          <w:szCs w:val="24"/>
        </w:rPr>
        <w:t>.在磋商文件中标注“★”标识的条款内容被视为重要的响应要求、技术指标要求和性能要求，供应商必须对此作全面响应和满足，未响应或任何负偏离则将被视为无效投标。标注“▲”标识的内容为重点评标条款，供应商必须对该标识条款按照要求进行真实应答描述。</w:t>
      </w:r>
    </w:p>
    <w:p w14:paraId="5BA8A5B4">
      <w:pPr>
        <w:pStyle w:val="10"/>
        <w:spacing w:line="360" w:lineRule="auto"/>
        <w:jc w:val="both"/>
        <w:rPr>
          <w:sz w:val="24"/>
          <w:szCs w:val="24"/>
        </w:rPr>
      </w:pPr>
      <w:r>
        <w:rPr>
          <w:b/>
          <w:sz w:val="24"/>
          <w:szCs w:val="24"/>
        </w:rPr>
        <w:t>1</w:t>
      </w:r>
      <w:r>
        <w:rPr>
          <w:rFonts w:hint="eastAsia"/>
          <w:b/>
          <w:sz w:val="24"/>
          <w:szCs w:val="24"/>
          <w:lang w:val="en-US" w:eastAsia="zh-CN"/>
        </w:rPr>
        <w:t>4</w:t>
      </w:r>
      <w:r>
        <w:rPr>
          <w:b/>
          <w:sz w:val="24"/>
          <w:szCs w:val="24"/>
        </w:rPr>
        <w:t>.本项目由成交供应商</w:t>
      </w:r>
      <w:r>
        <w:rPr>
          <w:rFonts w:hint="eastAsia"/>
          <w:b/>
          <w:sz w:val="24"/>
          <w:szCs w:val="24"/>
          <w:lang w:val="en-US" w:eastAsia="zh-CN"/>
        </w:rPr>
        <w:t>承包及</w:t>
      </w:r>
      <w:r>
        <w:rPr>
          <w:b/>
          <w:sz w:val="24"/>
          <w:szCs w:val="24"/>
        </w:rPr>
        <w:t>负责磋商文件对成交供应商要求的一切事宜及责任。投标报价中不得包含磋商文件要求以外的内容，否则，在评标时不予核减；若投标报价有缺漏项的，缺漏项部分的价格视为已包含在投标报价中，中标后不作任何调整，采购人将不再支付任何额外费用。</w:t>
      </w:r>
    </w:p>
    <w:p w14:paraId="418792AB">
      <w:pPr>
        <w:pStyle w:val="10"/>
        <w:spacing w:line="360" w:lineRule="auto"/>
        <w:jc w:val="both"/>
        <w:rPr>
          <w:b/>
          <w:bCs w:val="0"/>
          <w:sz w:val="24"/>
          <w:szCs w:val="24"/>
        </w:rPr>
      </w:pPr>
      <w:r>
        <w:rPr>
          <w:b/>
          <w:bCs w:val="0"/>
          <w:sz w:val="24"/>
          <w:szCs w:val="24"/>
        </w:rPr>
        <w:t>1</w:t>
      </w:r>
      <w:r>
        <w:rPr>
          <w:rFonts w:hint="eastAsia"/>
          <w:b/>
          <w:bCs w:val="0"/>
          <w:sz w:val="24"/>
          <w:szCs w:val="24"/>
          <w:lang w:val="en-US" w:eastAsia="zh-CN"/>
        </w:rPr>
        <w:t>5</w:t>
      </w:r>
      <w:r>
        <w:rPr>
          <w:b/>
          <w:bCs w:val="0"/>
          <w:sz w:val="24"/>
          <w:szCs w:val="24"/>
        </w:rPr>
        <w:t>.重要说明</w:t>
      </w:r>
    </w:p>
    <w:p w14:paraId="20D33F63">
      <w:pPr>
        <w:pStyle w:val="10"/>
        <w:spacing w:line="360" w:lineRule="auto"/>
        <w:ind w:firstLine="480"/>
        <w:jc w:val="both"/>
        <w:rPr>
          <w:b/>
          <w:bCs w:val="0"/>
          <w:sz w:val="24"/>
          <w:szCs w:val="24"/>
        </w:rPr>
      </w:pPr>
      <w:r>
        <w:rPr>
          <w:b/>
          <w:bCs w:val="0"/>
          <w:sz w:val="24"/>
          <w:szCs w:val="24"/>
        </w:rPr>
        <w:t>如供应商认为本磋商文件中存在“不合理的条件对供应商实行差别待遇或者歧视待遇”，或有其它问题的，应当在磋商文件公示期间内或者自公示期满之日起七个工作日内，以书面形式（须签字盖章并提供相关证明材料）向采购代理机构反映，逾期或匿名反映的将不予受理。开标前未提出的则视同供应商已充分理解并愿意按照本磋商文件的所有条款执行。</w:t>
      </w:r>
    </w:p>
    <w:p w14:paraId="434A747C">
      <w:pPr>
        <w:pStyle w:val="10"/>
        <w:spacing w:line="360" w:lineRule="auto"/>
        <w:rPr>
          <w:sz w:val="24"/>
          <w:szCs w:val="24"/>
        </w:rPr>
      </w:pPr>
      <w:r>
        <w:rPr>
          <w:b/>
          <w:sz w:val="24"/>
          <w:szCs w:val="24"/>
        </w:rPr>
        <w:t>1</w:t>
      </w:r>
      <w:r>
        <w:rPr>
          <w:rFonts w:hint="eastAsia"/>
          <w:b/>
          <w:sz w:val="24"/>
          <w:szCs w:val="24"/>
          <w:lang w:val="en-US" w:eastAsia="zh-CN"/>
        </w:rPr>
        <w:t>6</w:t>
      </w:r>
      <w:r>
        <w:rPr>
          <w:b/>
          <w:sz w:val="24"/>
          <w:szCs w:val="24"/>
        </w:rPr>
        <w:t>.供应商需参照以下格式在响应文件中出具《无围标、串标行为承诺书》。</w:t>
      </w:r>
    </w:p>
    <w:p w14:paraId="48254554">
      <w:pPr>
        <w:pStyle w:val="10"/>
        <w:spacing w:line="360" w:lineRule="auto"/>
        <w:jc w:val="center"/>
        <w:rPr>
          <w:sz w:val="24"/>
          <w:szCs w:val="24"/>
        </w:rPr>
      </w:pPr>
      <w:r>
        <w:rPr>
          <w:b/>
          <w:sz w:val="24"/>
          <w:szCs w:val="24"/>
        </w:rPr>
        <w:t>无围标、串标行为承诺书</w:t>
      </w:r>
    </w:p>
    <w:p w14:paraId="6A456A66">
      <w:pPr>
        <w:pStyle w:val="10"/>
        <w:spacing w:line="360" w:lineRule="auto"/>
        <w:ind w:firstLine="420"/>
        <w:rPr>
          <w:sz w:val="24"/>
          <w:szCs w:val="24"/>
        </w:rPr>
      </w:pPr>
      <w:r>
        <w:rPr>
          <w:sz w:val="24"/>
          <w:szCs w:val="24"/>
        </w:rPr>
        <w:t>本公司郑重承诺：本公司在参加本次</w:t>
      </w:r>
      <w:r>
        <w:rPr>
          <w:sz w:val="24"/>
          <w:szCs w:val="24"/>
          <w:u w:val="single"/>
        </w:rPr>
        <w:t xml:space="preserve">  </w:t>
      </w:r>
      <w:r>
        <w:rPr>
          <w:rFonts w:hint="eastAsia"/>
          <w:sz w:val="24"/>
          <w:szCs w:val="24"/>
          <w:u w:val="single"/>
          <w:lang w:eastAsia="zh-CN"/>
        </w:rPr>
        <w:t>2025年中山市南头镇老年人健康体检服务项目</w:t>
      </w:r>
      <w:r>
        <w:rPr>
          <w:sz w:val="24"/>
          <w:szCs w:val="24"/>
          <w:u w:val="single"/>
        </w:rPr>
        <w:t xml:space="preserve">  </w:t>
      </w:r>
      <w:r>
        <w:rPr>
          <w:sz w:val="24"/>
          <w:szCs w:val="24"/>
        </w:rPr>
        <w:t>[采购项目编号：</w:t>
      </w:r>
      <w:r>
        <w:rPr>
          <w:sz w:val="24"/>
          <w:szCs w:val="24"/>
          <w:u w:val="single"/>
        </w:rPr>
        <w:t xml:space="preserve">  </w:t>
      </w:r>
      <w:r>
        <w:rPr>
          <w:rFonts w:hint="eastAsia"/>
          <w:sz w:val="24"/>
          <w:szCs w:val="24"/>
          <w:u w:val="single"/>
          <w:lang w:eastAsia="zh-CN"/>
        </w:rPr>
        <w:t>（待定）</w:t>
      </w:r>
      <w:r>
        <w:rPr>
          <w:sz w:val="24"/>
          <w:szCs w:val="24"/>
          <w:u w:val="single"/>
        </w:rPr>
        <w:t xml:space="preserve">   </w:t>
      </w:r>
      <w:r>
        <w:rPr>
          <w:sz w:val="24"/>
          <w:szCs w:val="24"/>
        </w:rPr>
        <w:t>]活动中，无以下围标、串标行为。</w:t>
      </w:r>
    </w:p>
    <w:p w14:paraId="1EBB670C">
      <w:pPr>
        <w:pStyle w:val="10"/>
        <w:spacing w:line="360" w:lineRule="auto"/>
        <w:rPr>
          <w:sz w:val="24"/>
          <w:szCs w:val="24"/>
        </w:rPr>
      </w:pPr>
      <w:r>
        <w:rPr>
          <w:sz w:val="24"/>
          <w:szCs w:val="24"/>
        </w:rPr>
        <w:t xml:space="preserve">    1）不同供应商的投标文件由同一单位或者个人编制；</w:t>
      </w:r>
    </w:p>
    <w:p w14:paraId="0DD4F56C">
      <w:pPr>
        <w:pStyle w:val="10"/>
        <w:spacing w:line="360" w:lineRule="auto"/>
        <w:rPr>
          <w:sz w:val="24"/>
          <w:szCs w:val="24"/>
        </w:rPr>
      </w:pPr>
      <w:r>
        <w:rPr>
          <w:sz w:val="24"/>
          <w:szCs w:val="24"/>
        </w:rPr>
        <w:t xml:space="preserve">    2）不同供应商委托同一单位或者个人办理投标事宜；</w:t>
      </w:r>
    </w:p>
    <w:p w14:paraId="4C6FE7A4">
      <w:pPr>
        <w:pStyle w:val="10"/>
        <w:spacing w:line="360" w:lineRule="auto"/>
        <w:rPr>
          <w:sz w:val="24"/>
          <w:szCs w:val="24"/>
        </w:rPr>
      </w:pPr>
      <w:r>
        <w:rPr>
          <w:sz w:val="24"/>
          <w:szCs w:val="24"/>
        </w:rPr>
        <w:t xml:space="preserve">    3）不同供应商的投标文件载明的项目管理成员或者联系人员为同一人；</w:t>
      </w:r>
    </w:p>
    <w:p w14:paraId="71C743B2">
      <w:pPr>
        <w:pStyle w:val="10"/>
        <w:spacing w:line="360" w:lineRule="auto"/>
        <w:rPr>
          <w:sz w:val="24"/>
          <w:szCs w:val="24"/>
        </w:rPr>
      </w:pPr>
      <w:r>
        <w:rPr>
          <w:sz w:val="24"/>
          <w:szCs w:val="24"/>
        </w:rPr>
        <w:t xml:space="preserve">    4）不同供应商的投标文件异常一致或者投标报价呈规律性差异；</w:t>
      </w:r>
    </w:p>
    <w:p w14:paraId="50A59FB7">
      <w:pPr>
        <w:pStyle w:val="10"/>
        <w:spacing w:line="360" w:lineRule="auto"/>
        <w:rPr>
          <w:sz w:val="24"/>
          <w:szCs w:val="24"/>
        </w:rPr>
      </w:pPr>
      <w:r>
        <w:rPr>
          <w:sz w:val="24"/>
          <w:szCs w:val="24"/>
        </w:rPr>
        <w:t xml:space="preserve">    5）不同供应商的投标文件相互混装；</w:t>
      </w:r>
    </w:p>
    <w:p w14:paraId="02AF6ED1">
      <w:pPr>
        <w:pStyle w:val="10"/>
        <w:spacing w:line="360" w:lineRule="auto"/>
        <w:rPr>
          <w:sz w:val="24"/>
          <w:szCs w:val="24"/>
        </w:rPr>
      </w:pPr>
      <w:r>
        <w:rPr>
          <w:sz w:val="24"/>
          <w:szCs w:val="24"/>
        </w:rPr>
        <w:t xml:space="preserve">    6）不同供应商的投标保证金从同一单位或者个人的账户转出；</w:t>
      </w:r>
    </w:p>
    <w:p w14:paraId="6704A11A">
      <w:pPr>
        <w:pStyle w:val="10"/>
        <w:spacing w:line="360" w:lineRule="auto"/>
        <w:rPr>
          <w:sz w:val="24"/>
          <w:szCs w:val="24"/>
        </w:rPr>
      </w:pPr>
      <w:r>
        <w:rPr>
          <w:sz w:val="24"/>
          <w:szCs w:val="24"/>
        </w:rPr>
        <w:t xml:space="preserve">    7）不同单位负责人为同一人或者存在控股、管理关系的不同单位参加同一招标项目投标；</w:t>
      </w:r>
    </w:p>
    <w:p w14:paraId="63FD7088">
      <w:pPr>
        <w:pStyle w:val="10"/>
        <w:spacing w:line="360" w:lineRule="auto"/>
        <w:rPr>
          <w:sz w:val="24"/>
          <w:szCs w:val="24"/>
        </w:rPr>
      </w:pPr>
      <w:r>
        <w:rPr>
          <w:sz w:val="24"/>
          <w:szCs w:val="24"/>
        </w:rPr>
        <w:t xml:space="preserve">    8）法律法规界定的其他围标串标行为。</w:t>
      </w:r>
    </w:p>
    <w:p w14:paraId="0B18E396">
      <w:pPr>
        <w:pStyle w:val="10"/>
        <w:spacing w:line="360" w:lineRule="auto"/>
        <w:ind w:firstLine="420"/>
        <w:rPr>
          <w:sz w:val="24"/>
          <w:szCs w:val="24"/>
        </w:rPr>
      </w:pPr>
      <w:r>
        <w:rPr>
          <w:sz w:val="24"/>
          <w:szCs w:val="24"/>
        </w:rPr>
        <w:t>如有发现我公司存在围标、串标行为，我公司愿承担一切法律责任。</w:t>
      </w:r>
    </w:p>
    <w:p w14:paraId="53DE914F">
      <w:pPr>
        <w:pStyle w:val="10"/>
        <w:spacing w:line="360" w:lineRule="auto"/>
        <w:ind w:firstLine="420"/>
        <w:rPr>
          <w:sz w:val="24"/>
          <w:szCs w:val="24"/>
        </w:rPr>
      </w:pPr>
      <w:r>
        <w:rPr>
          <w:sz w:val="24"/>
          <w:szCs w:val="24"/>
        </w:rPr>
        <w:t>特此承诺。</w:t>
      </w:r>
    </w:p>
    <w:p w14:paraId="493E3048">
      <w:pPr>
        <w:pStyle w:val="10"/>
        <w:spacing w:line="360" w:lineRule="auto"/>
        <w:jc w:val="right"/>
        <w:rPr>
          <w:sz w:val="24"/>
          <w:szCs w:val="24"/>
        </w:rPr>
      </w:pPr>
      <w:r>
        <w:rPr>
          <w:sz w:val="24"/>
          <w:szCs w:val="24"/>
        </w:rPr>
        <w:t>供应商法定代表人（或法定代表人授权代表）签字或盖章：__________________</w:t>
      </w:r>
    </w:p>
    <w:p w14:paraId="70CF0E22">
      <w:pPr>
        <w:pStyle w:val="10"/>
        <w:spacing w:line="360" w:lineRule="auto"/>
        <w:jc w:val="right"/>
        <w:rPr>
          <w:sz w:val="24"/>
          <w:szCs w:val="24"/>
        </w:rPr>
      </w:pPr>
      <w:r>
        <w:rPr>
          <w:sz w:val="24"/>
          <w:szCs w:val="24"/>
        </w:rPr>
        <w:t>供应商名称（盖章）：__________________</w:t>
      </w:r>
    </w:p>
    <w:p w14:paraId="54925186">
      <w:pPr>
        <w:pStyle w:val="10"/>
        <w:spacing w:line="360" w:lineRule="auto"/>
        <w:jc w:val="left"/>
        <w:rPr>
          <w:sz w:val="24"/>
          <w:szCs w:val="24"/>
        </w:rPr>
      </w:pPr>
      <w:r>
        <w:rPr>
          <w:sz w:val="24"/>
          <w:szCs w:val="24"/>
        </w:rPr>
        <w:t>日期：   年  月  日</w:t>
      </w:r>
      <w:r>
        <w:rPr>
          <w:sz w:val="24"/>
          <w:szCs w:val="24"/>
        </w:rPr>
        <w:br w:type="textWrapping"/>
      </w:r>
      <w:r>
        <w:rPr>
          <w:sz w:val="24"/>
          <w:szCs w:val="24"/>
        </w:rPr>
        <w:br w:type="textWrapping"/>
      </w:r>
      <w:r>
        <w:rPr>
          <w:sz w:val="24"/>
          <w:szCs w:val="24"/>
        </w:rPr>
        <w:br w:type="textWrapping"/>
      </w:r>
      <w:r>
        <w:rPr>
          <w:sz w:val="24"/>
          <w:szCs w:val="24"/>
        </w:rPr>
        <w:t>采购包1（</w:t>
      </w:r>
      <w:r>
        <w:rPr>
          <w:rFonts w:hint="eastAsia"/>
          <w:sz w:val="24"/>
          <w:szCs w:val="24"/>
          <w:lang w:eastAsia="zh-CN"/>
        </w:rPr>
        <w:t>2025年中山市南头镇老年人健康体检服务项目</w:t>
      </w:r>
      <w:r>
        <w:rPr>
          <w:sz w:val="24"/>
          <w:szCs w:val="24"/>
        </w:rPr>
        <w:t>）</w:t>
      </w:r>
      <w:r>
        <w:rPr>
          <w:sz w:val="24"/>
          <w:szCs w:val="24"/>
        </w:rPr>
        <w:br w:type="textWrapping"/>
      </w:r>
      <w:r>
        <w:rPr>
          <w:b/>
          <w:sz w:val="24"/>
          <w:szCs w:val="24"/>
        </w:rPr>
        <w:t>1.主要商务要求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50"/>
        <w:gridCol w:w="5856"/>
      </w:tblGrid>
      <w:tr w14:paraId="1401C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50" w:type="dxa"/>
          </w:tcPr>
          <w:p w14:paraId="28BA0110">
            <w:pPr>
              <w:pStyle w:val="10"/>
              <w:spacing w:line="360" w:lineRule="auto"/>
              <w:rPr>
                <w:rFonts w:hint="eastAsia" w:ascii="宋体" w:hAnsi="宋体" w:eastAsia="宋体" w:cs="宋体"/>
                <w:sz w:val="24"/>
                <w:szCs w:val="24"/>
              </w:rPr>
            </w:pPr>
            <w:r>
              <w:rPr>
                <w:rFonts w:hint="eastAsia" w:ascii="宋体" w:hAnsi="宋体" w:eastAsia="宋体" w:cs="宋体"/>
                <w:sz w:val="24"/>
                <w:szCs w:val="24"/>
              </w:rPr>
              <w:t>标的提供的时间</w:t>
            </w:r>
          </w:p>
        </w:tc>
        <w:tc>
          <w:tcPr>
            <w:tcW w:w="5856" w:type="dxa"/>
          </w:tcPr>
          <w:p w14:paraId="5F64EA04">
            <w:pPr>
              <w:pStyle w:val="10"/>
              <w:spacing w:line="360" w:lineRule="auto"/>
              <w:rPr>
                <w:rFonts w:hint="eastAsia" w:ascii="宋体" w:hAnsi="宋体" w:eastAsia="宋体" w:cs="宋体"/>
                <w:sz w:val="24"/>
                <w:szCs w:val="24"/>
              </w:rPr>
            </w:pPr>
            <w:r>
              <w:rPr>
                <w:rFonts w:hint="eastAsia" w:ascii="宋体" w:hAnsi="宋体" w:eastAsia="宋体" w:cs="宋体"/>
                <w:sz w:val="24"/>
                <w:szCs w:val="24"/>
              </w:rPr>
              <w:t>自合同约定生效之日</w:t>
            </w:r>
            <w:r>
              <w:rPr>
                <w:rFonts w:hint="eastAsia" w:ascii="宋体" w:hAnsi="宋体" w:eastAsia="宋体" w:cs="宋体"/>
                <w:sz w:val="24"/>
                <w:szCs w:val="24"/>
                <w:lang w:val="en-US" w:eastAsia="zh-CN"/>
              </w:rPr>
              <w:t>起至2025年12月31日止</w:t>
            </w:r>
            <w:r>
              <w:rPr>
                <w:rFonts w:hint="eastAsia" w:ascii="宋体" w:hAnsi="宋体" w:eastAsia="宋体" w:cs="宋体"/>
                <w:sz w:val="24"/>
                <w:szCs w:val="24"/>
              </w:rPr>
              <w:t>或累计结算金额达到项目预算金额上限（以先到者为准），委托合同终止。</w:t>
            </w:r>
          </w:p>
        </w:tc>
      </w:tr>
      <w:tr w14:paraId="6F0F4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50" w:type="dxa"/>
          </w:tcPr>
          <w:p w14:paraId="3336B909">
            <w:pPr>
              <w:pStyle w:val="10"/>
              <w:spacing w:line="360" w:lineRule="auto"/>
              <w:rPr>
                <w:rFonts w:hint="eastAsia" w:ascii="宋体" w:hAnsi="宋体" w:eastAsia="宋体" w:cs="宋体"/>
                <w:sz w:val="24"/>
                <w:szCs w:val="24"/>
              </w:rPr>
            </w:pPr>
            <w:r>
              <w:rPr>
                <w:rFonts w:hint="eastAsia" w:ascii="宋体" w:hAnsi="宋体" w:eastAsia="宋体" w:cs="宋体"/>
                <w:sz w:val="24"/>
                <w:szCs w:val="24"/>
              </w:rPr>
              <w:t>标的提供的地点</w:t>
            </w:r>
          </w:p>
        </w:tc>
        <w:tc>
          <w:tcPr>
            <w:tcW w:w="5856" w:type="dxa"/>
          </w:tcPr>
          <w:p w14:paraId="6B0514E6">
            <w:pPr>
              <w:pStyle w:val="10"/>
              <w:spacing w:line="360" w:lineRule="auto"/>
              <w:rPr>
                <w:rFonts w:hint="eastAsia" w:ascii="宋体" w:hAnsi="宋体" w:eastAsia="宋体" w:cs="宋体"/>
                <w:sz w:val="24"/>
                <w:szCs w:val="24"/>
              </w:rPr>
            </w:pPr>
            <w:r>
              <w:rPr>
                <w:rFonts w:hint="eastAsia" w:ascii="宋体" w:hAnsi="宋体" w:eastAsia="宋体" w:cs="宋体"/>
                <w:sz w:val="24"/>
                <w:szCs w:val="24"/>
              </w:rPr>
              <w:t>以采购人指定地点为准。</w:t>
            </w:r>
          </w:p>
        </w:tc>
      </w:tr>
      <w:tr w14:paraId="73A5D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50" w:type="dxa"/>
          </w:tcPr>
          <w:p w14:paraId="4BFBDAC0">
            <w:pPr>
              <w:pStyle w:val="10"/>
              <w:spacing w:line="360" w:lineRule="auto"/>
              <w:rPr>
                <w:sz w:val="24"/>
                <w:szCs w:val="24"/>
              </w:rPr>
            </w:pPr>
            <w:r>
              <w:rPr>
                <w:sz w:val="24"/>
                <w:szCs w:val="24"/>
              </w:rPr>
              <w:t>付款方式</w:t>
            </w:r>
          </w:p>
        </w:tc>
        <w:tc>
          <w:tcPr>
            <w:tcW w:w="5856" w:type="dxa"/>
          </w:tcPr>
          <w:p w14:paraId="70DF990D">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eastAsiaTheme="minorEastAsia"/>
                <w:sz w:val="24"/>
                <w:szCs w:val="24"/>
                <w:lang w:val="en-US" w:eastAsia="zh-CN"/>
              </w:rPr>
            </w:pPr>
            <w:r>
              <w:rPr>
                <w:rFonts w:hint="eastAsia"/>
                <w:sz w:val="24"/>
                <w:szCs w:val="24"/>
                <w:lang w:val="en-US" w:eastAsia="zh-CN"/>
              </w:rPr>
              <w:t>1.本项目的服务费按体检任务节点进行结算，并结合实际考核结果支付相关款项（具体考核办法详见附件《南头镇老年人健康管理项目服务质量评价考核表》）。</w:t>
            </w:r>
            <w:r>
              <w:rPr>
                <w:rFonts w:hint="eastAsia"/>
                <w:sz w:val="24"/>
                <w:szCs w:val="24"/>
                <w:lang w:val="en-US" w:eastAsia="zh-CN"/>
              </w:rPr>
              <w:br w:type="textWrapping"/>
            </w:r>
            <w:r>
              <w:rPr>
                <w:rFonts w:hint="eastAsia"/>
                <w:sz w:val="24"/>
                <w:szCs w:val="24"/>
                <w:lang w:val="en-US" w:eastAsia="zh-CN"/>
              </w:rPr>
              <w:t>2.考核结果达90分或以上，采购人按合同金额的100%</w:t>
            </w:r>
            <w:r>
              <w:rPr>
                <w:rFonts w:hint="eastAsia"/>
                <w:sz w:val="24"/>
                <w:szCs w:val="24"/>
                <w:highlight w:val="none"/>
                <w:lang w:val="en-US" w:eastAsia="zh-CN"/>
              </w:rPr>
              <w:t>与成交供应商结算款项；考核结果在80-90分（不含90分），采购人按合同金额的95%结算；考核结果在60-80分（不含80分），采购人按合同金额的80%结算；考核结果低于60分（不含60分），采购</w:t>
            </w:r>
            <w:r>
              <w:rPr>
                <w:rFonts w:hint="eastAsia"/>
                <w:sz w:val="24"/>
                <w:szCs w:val="24"/>
                <w:lang w:val="en-US" w:eastAsia="zh-CN"/>
              </w:rPr>
              <w:t>人有权要求成交供应商限期整改，整改期间暂停支付款项，整改合格后按应支付服务费的80%结算。（合同</w:t>
            </w:r>
            <w:r>
              <w:rPr>
                <w:b w:val="0"/>
                <w:bCs w:val="0"/>
                <w:sz w:val="24"/>
                <w:szCs w:val="24"/>
              </w:rPr>
              <w:t>总价=人均体检单价×该类别预计体检人数</w:t>
            </w:r>
            <w:r>
              <w:rPr>
                <w:rFonts w:hint="eastAsia"/>
                <w:sz w:val="24"/>
                <w:szCs w:val="24"/>
                <w:lang w:val="en-US" w:eastAsia="zh-CN"/>
              </w:rPr>
              <w:t>）​</w:t>
            </w:r>
            <w:r>
              <w:rPr>
                <w:rFonts w:hint="eastAsia"/>
                <w:sz w:val="24"/>
                <w:szCs w:val="24"/>
                <w:lang w:val="en-US" w:eastAsia="zh-CN"/>
              </w:rPr>
              <w:br w:type="textWrapping"/>
            </w:r>
            <w:r>
              <w:rPr>
                <w:rFonts w:hint="eastAsia"/>
                <w:sz w:val="24"/>
                <w:szCs w:val="24"/>
                <w:lang w:val="en-US" w:eastAsia="zh-CN"/>
              </w:rPr>
              <w:t>3.双方确定评价考核结果后，由采购人出具验收报告，成交供应商按照实际结算金额开具符合采购人财务要求等额发票，采购人收到发票后30个工作日内与成交供应商结算相关款项。</w:t>
            </w:r>
            <w:r>
              <w:rPr>
                <w:sz w:val="24"/>
                <w:szCs w:val="24"/>
              </w:rPr>
              <w:br w:type="textWrapping"/>
            </w:r>
            <w:r>
              <w:rPr>
                <w:rFonts w:hint="eastAsia"/>
                <w:sz w:val="24"/>
                <w:szCs w:val="24"/>
                <w:lang w:val="en-US" w:eastAsia="zh-CN"/>
              </w:rPr>
              <w:t>4.如因非采购人原因导致的当期服务费用未能准时到账，具体支付时间由双方共同协商解决。</w:t>
            </w:r>
          </w:p>
        </w:tc>
      </w:tr>
      <w:tr w14:paraId="04853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29DDAB5">
            <w:pPr>
              <w:pStyle w:val="10"/>
              <w:spacing w:line="360" w:lineRule="auto"/>
              <w:rPr>
                <w:sz w:val="24"/>
                <w:szCs w:val="24"/>
              </w:rPr>
            </w:pPr>
            <w:r>
              <w:rPr>
                <w:sz w:val="24"/>
                <w:szCs w:val="24"/>
              </w:rPr>
              <w:t>如项目发生合同融资，采购人应当将合同款项支付到合同约定收款账户。</w:t>
            </w:r>
          </w:p>
        </w:tc>
      </w:tr>
      <w:tr w14:paraId="15B27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50" w:type="dxa"/>
          </w:tcPr>
          <w:p w14:paraId="19358A71">
            <w:pPr>
              <w:pStyle w:val="10"/>
              <w:spacing w:line="360" w:lineRule="auto"/>
              <w:rPr>
                <w:sz w:val="24"/>
                <w:szCs w:val="24"/>
              </w:rPr>
            </w:pPr>
            <w:r>
              <w:rPr>
                <w:sz w:val="24"/>
                <w:szCs w:val="24"/>
              </w:rPr>
              <w:t>验收要求</w:t>
            </w:r>
          </w:p>
        </w:tc>
        <w:tc>
          <w:tcPr>
            <w:tcW w:w="5856" w:type="dxa"/>
          </w:tcPr>
          <w:p w14:paraId="1625890B">
            <w:pPr>
              <w:pStyle w:val="10"/>
              <w:spacing w:line="360" w:lineRule="auto"/>
              <w:rPr>
                <w:sz w:val="24"/>
                <w:szCs w:val="24"/>
              </w:rPr>
            </w:pPr>
            <w:r>
              <w:rPr>
                <w:sz w:val="24"/>
                <w:szCs w:val="24"/>
              </w:rPr>
              <w:t>1期：由采购人根据合同和磋商文件、响应文件组织验收。</w:t>
            </w:r>
          </w:p>
        </w:tc>
      </w:tr>
      <w:tr w14:paraId="2434B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50" w:type="dxa"/>
          </w:tcPr>
          <w:p w14:paraId="463D49CE">
            <w:pPr>
              <w:pStyle w:val="10"/>
              <w:spacing w:line="360" w:lineRule="auto"/>
              <w:rPr>
                <w:sz w:val="24"/>
                <w:szCs w:val="24"/>
              </w:rPr>
            </w:pPr>
            <w:r>
              <w:rPr>
                <w:sz w:val="24"/>
                <w:szCs w:val="24"/>
              </w:rPr>
              <w:t>履约保证金</w:t>
            </w:r>
          </w:p>
        </w:tc>
        <w:tc>
          <w:tcPr>
            <w:tcW w:w="5856" w:type="dxa"/>
          </w:tcPr>
          <w:p w14:paraId="291715C4">
            <w:pPr>
              <w:pStyle w:val="10"/>
              <w:spacing w:line="360" w:lineRule="auto"/>
              <w:rPr>
                <w:rFonts w:hint="eastAsia" w:eastAsiaTheme="minorEastAsia"/>
                <w:sz w:val="24"/>
                <w:szCs w:val="24"/>
                <w:lang w:val="en-US" w:eastAsia="zh-CN"/>
              </w:rPr>
            </w:pPr>
            <w:r>
              <w:rPr>
                <w:rFonts w:hint="eastAsia"/>
                <w:sz w:val="24"/>
                <w:szCs w:val="24"/>
                <w:lang w:val="en-US" w:eastAsia="zh-CN"/>
              </w:rPr>
              <w:t>不收取</w:t>
            </w:r>
          </w:p>
        </w:tc>
      </w:tr>
      <w:tr w14:paraId="690CC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50" w:type="dxa"/>
          </w:tcPr>
          <w:p w14:paraId="60744811">
            <w:pPr>
              <w:pStyle w:val="10"/>
              <w:spacing w:line="360" w:lineRule="auto"/>
              <w:rPr>
                <w:sz w:val="24"/>
                <w:szCs w:val="24"/>
              </w:rPr>
            </w:pPr>
            <w:r>
              <w:rPr>
                <w:sz w:val="24"/>
                <w:szCs w:val="24"/>
              </w:rPr>
              <w:t>其他</w:t>
            </w:r>
          </w:p>
        </w:tc>
        <w:tc>
          <w:tcPr>
            <w:tcW w:w="5856" w:type="dxa"/>
          </w:tcPr>
          <w:p w14:paraId="51BBB723">
            <w:pPr>
              <w:pStyle w:val="10"/>
              <w:spacing w:line="360" w:lineRule="auto"/>
              <w:rPr>
                <w:sz w:val="24"/>
                <w:szCs w:val="24"/>
              </w:rPr>
            </w:pPr>
          </w:p>
        </w:tc>
      </w:tr>
    </w:tbl>
    <w:p w14:paraId="0077DDA9">
      <w:pPr>
        <w:pStyle w:val="10"/>
        <w:spacing w:line="360" w:lineRule="auto"/>
        <w:rPr>
          <w:sz w:val="24"/>
          <w:szCs w:val="24"/>
        </w:rPr>
      </w:pPr>
      <w:r>
        <w:rPr>
          <w:sz w:val="24"/>
          <w:szCs w:val="24"/>
        </w:rPr>
        <w:t>其他商务需求</w:t>
      </w:r>
    </w:p>
    <w:tbl>
      <w:tblPr>
        <w:tblStyle w:val="6"/>
        <w:tblW w:w="829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2"/>
        <w:gridCol w:w="675"/>
        <w:gridCol w:w="1145"/>
        <w:gridCol w:w="5602"/>
      </w:tblGrid>
      <w:tr w14:paraId="7EA43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2" w:type="dxa"/>
          </w:tcPr>
          <w:p w14:paraId="00E4832F">
            <w:pPr>
              <w:pStyle w:val="10"/>
              <w:spacing w:line="360" w:lineRule="auto"/>
              <w:jc w:val="center"/>
              <w:rPr>
                <w:sz w:val="24"/>
                <w:szCs w:val="24"/>
              </w:rPr>
            </w:pPr>
            <w:r>
              <w:rPr>
                <w:sz w:val="24"/>
                <w:szCs w:val="24"/>
              </w:rPr>
              <w:t>参数性质</w:t>
            </w:r>
          </w:p>
        </w:tc>
        <w:tc>
          <w:tcPr>
            <w:tcW w:w="675" w:type="dxa"/>
          </w:tcPr>
          <w:p w14:paraId="29373EEB">
            <w:pPr>
              <w:pStyle w:val="10"/>
              <w:spacing w:line="360" w:lineRule="auto"/>
              <w:jc w:val="center"/>
              <w:rPr>
                <w:sz w:val="24"/>
                <w:szCs w:val="24"/>
              </w:rPr>
            </w:pPr>
            <w:r>
              <w:rPr>
                <w:sz w:val="24"/>
                <w:szCs w:val="24"/>
              </w:rPr>
              <w:t>编号</w:t>
            </w:r>
          </w:p>
        </w:tc>
        <w:tc>
          <w:tcPr>
            <w:tcW w:w="1145" w:type="dxa"/>
          </w:tcPr>
          <w:p w14:paraId="5851E1D3">
            <w:pPr>
              <w:pStyle w:val="10"/>
              <w:spacing w:line="360" w:lineRule="auto"/>
              <w:jc w:val="center"/>
              <w:rPr>
                <w:sz w:val="24"/>
                <w:szCs w:val="24"/>
              </w:rPr>
            </w:pPr>
            <w:r>
              <w:rPr>
                <w:sz w:val="24"/>
                <w:szCs w:val="24"/>
              </w:rPr>
              <w:t>内容明细</w:t>
            </w:r>
          </w:p>
        </w:tc>
        <w:tc>
          <w:tcPr>
            <w:tcW w:w="5602" w:type="dxa"/>
          </w:tcPr>
          <w:p w14:paraId="363D677C">
            <w:pPr>
              <w:pStyle w:val="10"/>
              <w:spacing w:line="360" w:lineRule="auto"/>
              <w:jc w:val="center"/>
              <w:rPr>
                <w:sz w:val="24"/>
                <w:szCs w:val="24"/>
              </w:rPr>
            </w:pPr>
            <w:r>
              <w:rPr>
                <w:sz w:val="24"/>
                <w:szCs w:val="24"/>
              </w:rPr>
              <w:t>内容说明</w:t>
            </w:r>
          </w:p>
        </w:tc>
      </w:tr>
      <w:tr w14:paraId="48631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2" w:type="dxa"/>
          </w:tcPr>
          <w:p w14:paraId="65D6D562">
            <w:pPr>
              <w:pStyle w:val="10"/>
              <w:spacing w:line="360" w:lineRule="auto"/>
              <w:jc w:val="center"/>
              <w:rPr>
                <w:sz w:val="24"/>
                <w:szCs w:val="24"/>
              </w:rPr>
            </w:pPr>
            <w:r>
              <w:rPr>
                <w:sz w:val="24"/>
                <w:szCs w:val="24"/>
              </w:rPr>
              <w:t>★</w:t>
            </w:r>
          </w:p>
        </w:tc>
        <w:tc>
          <w:tcPr>
            <w:tcW w:w="675" w:type="dxa"/>
          </w:tcPr>
          <w:p w14:paraId="01FEFE19">
            <w:pPr>
              <w:pStyle w:val="10"/>
              <w:spacing w:line="360" w:lineRule="auto"/>
              <w:jc w:val="center"/>
              <w:rPr>
                <w:sz w:val="24"/>
                <w:szCs w:val="24"/>
              </w:rPr>
            </w:pPr>
            <w:r>
              <w:rPr>
                <w:sz w:val="24"/>
                <w:szCs w:val="24"/>
              </w:rPr>
              <w:t>1</w:t>
            </w:r>
          </w:p>
        </w:tc>
        <w:tc>
          <w:tcPr>
            <w:tcW w:w="1145" w:type="dxa"/>
          </w:tcPr>
          <w:p w14:paraId="7C9B12D7">
            <w:pPr>
              <w:pStyle w:val="10"/>
              <w:spacing w:line="360" w:lineRule="auto"/>
              <w:jc w:val="left"/>
              <w:rPr>
                <w:sz w:val="24"/>
                <w:szCs w:val="24"/>
              </w:rPr>
            </w:pPr>
            <w:r>
              <w:rPr>
                <w:sz w:val="24"/>
                <w:szCs w:val="24"/>
              </w:rPr>
              <w:t>报价要求</w:t>
            </w:r>
          </w:p>
        </w:tc>
        <w:tc>
          <w:tcPr>
            <w:tcW w:w="5602" w:type="dxa"/>
          </w:tcPr>
          <w:p w14:paraId="5F87B765">
            <w:pPr>
              <w:pStyle w:val="10"/>
              <w:spacing w:line="360" w:lineRule="auto"/>
              <w:jc w:val="left"/>
              <w:rPr>
                <w:rFonts w:hint="default" w:eastAsiaTheme="minorEastAsia"/>
                <w:sz w:val="24"/>
                <w:szCs w:val="24"/>
                <w:lang w:val="en-US" w:eastAsia="zh-CN"/>
              </w:rPr>
            </w:pPr>
            <w:r>
              <w:rPr>
                <w:b w:val="0"/>
                <w:bCs w:val="0"/>
                <w:sz w:val="24"/>
              </w:rPr>
              <w:t>1</w:t>
            </w:r>
            <w:r>
              <w:rPr>
                <w:rFonts w:hint="eastAsia"/>
                <w:b w:val="0"/>
                <w:bCs w:val="0"/>
                <w:sz w:val="24"/>
                <w:lang w:val="en-US" w:eastAsia="zh-CN"/>
              </w:rPr>
              <w:t>.1..</w:t>
            </w:r>
            <w:r>
              <w:rPr>
                <w:b w:val="0"/>
                <w:bCs w:val="0"/>
                <w:sz w:val="24"/>
              </w:rPr>
              <w:t>本项目投标上限</w:t>
            </w:r>
            <w:r>
              <w:rPr>
                <w:rFonts w:hint="eastAsia"/>
                <w:b w:val="0"/>
                <w:bCs w:val="0"/>
                <w:sz w:val="24"/>
                <w:lang w:val="en-US" w:eastAsia="zh-CN"/>
              </w:rPr>
              <w:t>价</w:t>
            </w:r>
            <w:r>
              <w:rPr>
                <w:b w:val="0"/>
                <w:bCs w:val="0"/>
                <w:sz w:val="24"/>
              </w:rPr>
              <w:t>为：人民币壹佰叁拾柒万肆仟柒佰玖拾伍元整（￥1,</w:t>
            </w:r>
            <w:r>
              <w:rPr>
                <w:rFonts w:hint="eastAsia"/>
                <w:b w:val="0"/>
                <w:bCs w:val="0"/>
                <w:sz w:val="24"/>
                <w:lang w:val="en-US" w:eastAsia="zh-CN"/>
              </w:rPr>
              <w:t>3</w:t>
            </w:r>
            <w:r>
              <w:rPr>
                <w:b w:val="0"/>
                <w:bCs w:val="0"/>
                <w:sz w:val="24"/>
              </w:rPr>
              <w:t>7</w:t>
            </w:r>
            <w:r>
              <w:rPr>
                <w:rFonts w:hint="eastAsia"/>
                <w:b w:val="0"/>
                <w:bCs w:val="0"/>
                <w:sz w:val="24"/>
                <w:lang w:val="en-US" w:eastAsia="zh-CN"/>
              </w:rPr>
              <w:t>4</w:t>
            </w:r>
            <w:r>
              <w:rPr>
                <w:b w:val="0"/>
                <w:bCs w:val="0"/>
                <w:sz w:val="24"/>
              </w:rPr>
              <w:t>,</w:t>
            </w:r>
            <w:r>
              <w:rPr>
                <w:rFonts w:hint="eastAsia"/>
                <w:b w:val="0"/>
                <w:bCs w:val="0"/>
                <w:sz w:val="24"/>
                <w:lang w:val="en-US" w:eastAsia="zh-CN"/>
              </w:rPr>
              <w:t>795</w:t>
            </w:r>
            <w:r>
              <w:rPr>
                <w:b w:val="0"/>
                <w:bCs w:val="0"/>
                <w:sz w:val="24"/>
              </w:rPr>
              <w:t>.00元）。本项目除</w:t>
            </w:r>
            <w:r>
              <w:rPr>
                <w:rFonts w:hint="eastAsia"/>
                <w:b w:val="0"/>
                <w:bCs w:val="0"/>
                <w:sz w:val="24"/>
                <w:lang w:val="en-US" w:eastAsia="zh-CN"/>
              </w:rPr>
              <w:t>报</w:t>
            </w:r>
            <w:r>
              <w:rPr>
                <w:b w:val="0"/>
                <w:bCs w:val="0"/>
                <w:sz w:val="24"/>
              </w:rPr>
              <w:t>总价外，</w:t>
            </w:r>
            <w:r>
              <w:rPr>
                <w:rFonts w:hint="eastAsia"/>
                <w:b w:val="0"/>
                <w:bCs w:val="0"/>
                <w:sz w:val="24"/>
                <w:lang w:val="en-US" w:eastAsia="zh-CN"/>
              </w:rPr>
              <w:t>供应商</w:t>
            </w:r>
            <w:r>
              <w:rPr>
                <w:b w:val="0"/>
                <w:bCs w:val="0"/>
                <w:sz w:val="24"/>
              </w:rPr>
              <w:t>还需</w:t>
            </w:r>
            <w:r>
              <w:rPr>
                <w:rFonts w:hint="eastAsia"/>
                <w:b w:val="0"/>
                <w:bCs w:val="0"/>
                <w:sz w:val="24"/>
                <w:lang w:val="en-US" w:eastAsia="zh-CN"/>
              </w:rPr>
              <w:t>进行</w:t>
            </w:r>
            <w:r>
              <w:rPr>
                <w:b w:val="0"/>
                <w:bCs w:val="0"/>
                <w:sz w:val="24"/>
              </w:rPr>
              <w:t>分项报价，</w:t>
            </w:r>
            <w:r>
              <w:rPr>
                <w:rFonts w:hint="eastAsia"/>
                <w:b w:val="0"/>
                <w:bCs w:val="0"/>
                <w:sz w:val="24"/>
                <w:lang w:val="en-US" w:eastAsia="zh-CN"/>
              </w:rPr>
              <w:t>分项报价</w:t>
            </w:r>
            <w:r>
              <w:rPr>
                <w:b w:val="0"/>
                <w:bCs w:val="0"/>
                <w:sz w:val="24"/>
              </w:rPr>
              <w:t>需明确包含各类体检服务的人均费用单价且不得超过单价</w:t>
            </w:r>
            <w:r>
              <w:rPr>
                <w:rFonts w:hint="eastAsia"/>
                <w:b w:val="0"/>
                <w:bCs w:val="0"/>
                <w:sz w:val="24"/>
                <w:lang w:val="en-US" w:eastAsia="zh-CN"/>
              </w:rPr>
              <w:t>最高</w:t>
            </w:r>
            <w:r>
              <w:rPr>
                <w:b w:val="0"/>
                <w:bCs w:val="0"/>
                <w:sz w:val="24"/>
              </w:rPr>
              <w:t>限价，否则按无效投标处理。</w:t>
            </w:r>
            <w:r>
              <w:rPr>
                <w:b w:val="0"/>
                <w:bCs w:val="0"/>
                <w:sz w:val="24"/>
              </w:rPr>
              <w:br w:type="textWrapping"/>
            </w:r>
            <w:r>
              <w:rPr>
                <w:b w:val="0"/>
                <w:bCs w:val="0"/>
                <w:sz w:val="24"/>
              </w:rPr>
              <w:t>【注：投标人须在投标（响应）文件中附上完整的分项报价表，分项报价表中应清晰列出每一类别体检服务的人均单价</w:t>
            </w:r>
            <w:r>
              <w:rPr>
                <w:rFonts w:hint="eastAsia"/>
                <w:b w:val="0"/>
                <w:bCs w:val="0"/>
                <w:sz w:val="24"/>
                <w:lang w:eastAsia="zh-CN"/>
              </w:rPr>
              <w:t>，</w:t>
            </w:r>
            <w:r>
              <w:rPr>
                <w:b w:val="0"/>
                <w:bCs w:val="0"/>
                <w:sz w:val="24"/>
              </w:rPr>
              <w:t>人均体检单价保留至小数点后两位数】。</w:t>
            </w:r>
            <w:r>
              <w:rPr>
                <w:b w:val="0"/>
                <w:bCs w:val="0"/>
                <w:sz w:val="24"/>
              </w:rPr>
              <w:br w:type="textWrapping"/>
            </w:r>
            <w:r>
              <w:rPr>
                <w:rFonts w:hint="eastAsia"/>
                <w:b w:val="0"/>
                <w:bCs w:val="0"/>
                <w:sz w:val="24"/>
                <w:lang w:val="en-US" w:eastAsia="zh-CN"/>
              </w:rPr>
              <w:t>1.2.常规健康体检服务项目</w:t>
            </w:r>
            <w:r>
              <w:rPr>
                <w:b w:val="0"/>
                <w:bCs w:val="0"/>
                <w:sz w:val="24"/>
              </w:rPr>
              <w:t>的（全部项目）</w:t>
            </w:r>
            <w:r>
              <w:rPr>
                <w:rFonts w:hint="eastAsia"/>
                <w:b w:val="0"/>
                <w:bCs w:val="0"/>
                <w:sz w:val="24"/>
                <w:lang w:val="en-US" w:eastAsia="zh-CN"/>
              </w:rPr>
              <w:t>单价最高上限价</w:t>
            </w:r>
            <w:r>
              <w:rPr>
                <w:b w:val="0"/>
                <w:bCs w:val="0"/>
                <w:sz w:val="24"/>
              </w:rPr>
              <w:t>为</w:t>
            </w:r>
            <w:r>
              <w:rPr>
                <w:rFonts w:hint="eastAsia"/>
                <w:b w:val="0"/>
                <w:bCs w:val="0"/>
                <w:sz w:val="24"/>
                <w:lang w:val="en-US" w:eastAsia="zh-CN"/>
              </w:rPr>
              <w:t>245.91</w:t>
            </w:r>
            <w:r>
              <w:rPr>
                <w:b w:val="0"/>
                <w:bCs w:val="0"/>
                <w:sz w:val="24"/>
              </w:rPr>
              <w:t>元/人；</w:t>
            </w:r>
            <w:r>
              <w:rPr>
                <w:rFonts w:hint="eastAsia"/>
                <w:b w:val="0"/>
                <w:bCs w:val="0"/>
                <w:sz w:val="24"/>
                <w:lang w:val="en-US" w:eastAsia="zh-CN"/>
              </w:rPr>
              <w:t>体检完成后选做胸部DR检查单价最高上限价</w:t>
            </w:r>
            <w:r>
              <w:rPr>
                <w:b w:val="0"/>
                <w:bCs w:val="0"/>
                <w:sz w:val="24"/>
              </w:rPr>
              <w:t>为</w:t>
            </w:r>
            <w:r>
              <w:rPr>
                <w:rFonts w:hint="eastAsia"/>
                <w:b w:val="0"/>
                <w:bCs w:val="0"/>
                <w:sz w:val="24"/>
                <w:lang w:val="en-US" w:eastAsia="zh-CN"/>
              </w:rPr>
              <w:t>59.6</w:t>
            </w:r>
            <w:r>
              <w:rPr>
                <w:b w:val="0"/>
                <w:bCs w:val="0"/>
                <w:sz w:val="24"/>
              </w:rPr>
              <w:t>元/人</w:t>
            </w:r>
            <w:r>
              <w:rPr>
                <w:rFonts w:hint="eastAsia"/>
                <w:b w:val="0"/>
                <w:bCs w:val="0"/>
                <w:sz w:val="24"/>
                <w:lang w:eastAsia="zh-CN"/>
              </w:rPr>
              <w:t>。</w:t>
            </w:r>
            <w:r>
              <w:rPr>
                <w:rFonts w:hint="eastAsia"/>
                <w:b w:val="0"/>
                <w:bCs w:val="0"/>
                <w:sz w:val="24"/>
                <w:lang w:val="en-US" w:eastAsia="zh-CN"/>
              </w:rPr>
              <w:t>供应商的分项</w:t>
            </w:r>
            <w:r>
              <w:rPr>
                <w:b w:val="0"/>
                <w:bCs w:val="0"/>
                <w:sz w:val="24"/>
              </w:rPr>
              <w:t>报价不得</w:t>
            </w:r>
            <w:r>
              <w:rPr>
                <w:rFonts w:hint="eastAsia"/>
                <w:b w:val="0"/>
                <w:bCs w:val="0"/>
                <w:sz w:val="24"/>
                <w:lang w:val="en-US" w:eastAsia="zh-CN"/>
              </w:rPr>
              <w:t>超过单价上限价</w:t>
            </w:r>
            <w:r>
              <w:rPr>
                <w:b w:val="0"/>
                <w:bCs w:val="0"/>
                <w:sz w:val="24"/>
              </w:rPr>
              <w:t>，否则为无效报价，结算时按实际参加</w:t>
            </w:r>
            <w:r>
              <w:rPr>
                <w:rFonts w:hint="eastAsia"/>
                <w:b w:val="0"/>
                <w:bCs w:val="0"/>
                <w:sz w:val="24"/>
                <w:lang w:val="en-US" w:eastAsia="zh-CN"/>
              </w:rPr>
              <w:t>选做</w:t>
            </w:r>
            <w:r>
              <w:rPr>
                <w:b w:val="0"/>
                <w:bCs w:val="0"/>
                <w:sz w:val="24"/>
              </w:rPr>
              <w:t>检查人次计算。</w:t>
            </w:r>
            <w:r>
              <w:rPr>
                <w:b w:val="0"/>
                <w:bCs w:val="0"/>
                <w:sz w:val="24"/>
              </w:rPr>
              <w:br w:type="textWrapping"/>
            </w:r>
            <w:r>
              <w:rPr>
                <w:rFonts w:hint="eastAsia"/>
                <w:b w:val="0"/>
                <w:bCs w:val="0"/>
                <w:sz w:val="24"/>
                <w:lang w:val="en-US" w:eastAsia="zh-CN"/>
              </w:rPr>
              <w:t>1.3.</w:t>
            </w:r>
            <w:bookmarkStart w:id="0" w:name="_GoBack"/>
            <w:bookmarkEnd w:id="0"/>
            <w:r>
              <w:rPr>
                <w:rFonts w:hint="eastAsia"/>
                <w:b w:val="0"/>
                <w:bCs w:val="0"/>
                <w:sz w:val="24"/>
                <w:lang w:val="en-US" w:eastAsia="zh-CN"/>
              </w:rPr>
              <w:t>本项目报价包括但不限于人工费、医疗耗材、设备使用费、税费、合理利润等合同实施过程中的可预见和不可预见的费用，采购人不额外支付合同总价之外的任何费用。</w:t>
            </w:r>
          </w:p>
        </w:tc>
      </w:tr>
      <w:tr w14:paraId="165BB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2" w:type="dxa"/>
          </w:tcPr>
          <w:p w14:paraId="6C7E2EB4">
            <w:pPr>
              <w:pStyle w:val="10"/>
              <w:spacing w:line="360" w:lineRule="auto"/>
              <w:jc w:val="center"/>
              <w:rPr>
                <w:sz w:val="24"/>
                <w:szCs w:val="24"/>
              </w:rPr>
            </w:pPr>
          </w:p>
        </w:tc>
        <w:tc>
          <w:tcPr>
            <w:tcW w:w="675" w:type="dxa"/>
          </w:tcPr>
          <w:p w14:paraId="253456F1">
            <w:pPr>
              <w:pStyle w:val="10"/>
              <w:spacing w:line="360" w:lineRule="auto"/>
              <w:jc w:val="center"/>
              <w:rPr>
                <w:rFonts w:hint="eastAsia" w:eastAsiaTheme="minorEastAsia"/>
                <w:sz w:val="24"/>
                <w:szCs w:val="24"/>
                <w:lang w:val="en-US" w:eastAsia="zh-CN"/>
              </w:rPr>
            </w:pPr>
            <w:r>
              <w:rPr>
                <w:rFonts w:hint="eastAsia"/>
                <w:sz w:val="24"/>
                <w:szCs w:val="24"/>
                <w:lang w:val="en-US" w:eastAsia="zh-CN"/>
              </w:rPr>
              <w:t>2</w:t>
            </w:r>
          </w:p>
        </w:tc>
        <w:tc>
          <w:tcPr>
            <w:tcW w:w="1145" w:type="dxa"/>
          </w:tcPr>
          <w:p w14:paraId="5F0FBAC3">
            <w:pPr>
              <w:pStyle w:val="10"/>
              <w:spacing w:line="360" w:lineRule="auto"/>
              <w:jc w:val="left"/>
              <w:rPr>
                <w:rFonts w:hint="eastAsia" w:ascii="宋体" w:hAnsi="宋体" w:eastAsia="宋体" w:cs="宋体"/>
                <w:sz w:val="24"/>
                <w:szCs w:val="24"/>
              </w:rPr>
            </w:pPr>
            <w:r>
              <w:rPr>
                <w:rFonts w:hint="eastAsia" w:ascii="宋体" w:hAnsi="宋体" w:eastAsia="宋体" w:cs="宋体"/>
                <w:sz w:val="24"/>
                <w:szCs w:val="24"/>
              </w:rPr>
              <w:t>其他需要满足的要求</w:t>
            </w:r>
          </w:p>
        </w:tc>
        <w:tc>
          <w:tcPr>
            <w:tcW w:w="5602" w:type="dxa"/>
          </w:tcPr>
          <w:p w14:paraId="4E31A0CE">
            <w:pPr>
              <w:pStyle w:val="10"/>
              <w:spacing w:line="360" w:lineRule="auto"/>
              <w:jc w:val="left"/>
              <w:rPr>
                <w:rFonts w:hint="eastAsia" w:ascii="宋体" w:hAnsi="宋体" w:eastAsia="宋体" w:cs="宋体"/>
                <w:b w:val="0"/>
                <w:bCs w:val="0"/>
                <w:sz w:val="24"/>
              </w:rPr>
            </w:pPr>
            <w:r>
              <w:rPr>
                <w:rFonts w:hint="eastAsia" w:ascii="宋体" w:hAnsi="宋体" w:eastAsia="宋体" w:cs="宋体"/>
                <w:sz w:val="24"/>
                <w:lang w:val="en-US" w:eastAsia="zh-CN"/>
              </w:rPr>
              <w:t>2.1.成交供应商需</w:t>
            </w:r>
            <w:r>
              <w:rPr>
                <w:rFonts w:hint="eastAsia" w:ascii="宋体" w:hAnsi="宋体" w:eastAsia="宋体" w:cs="宋体"/>
                <w:sz w:val="24"/>
              </w:rPr>
              <w:t>在</w:t>
            </w:r>
            <w:r>
              <w:rPr>
                <w:rFonts w:hint="eastAsia" w:ascii="宋体" w:hAnsi="宋体" w:eastAsia="宋体" w:cs="宋体"/>
                <w:sz w:val="24"/>
                <w:lang w:eastAsia="zh-CN"/>
              </w:rPr>
              <w:t>南头</w:t>
            </w:r>
            <w:r>
              <w:rPr>
                <w:rFonts w:hint="eastAsia" w:ascii="宋体" w:hAnsi="宋体" w:eastAsia="宋体" w:cs="宋体"/>
                <w:sz w:val="24"/>
              </w:rPr>
              <w:t>定点长期开展老年人体检工作。</w:t>
            </w:r>
            <w:r>
              <w:rPr>
                <w:rFonts w:hint="eastAsia" w:ascii="宋体" w:hAnsi="宋体" w:eastAsia="宋体" w:cs="宋体"/>
                <w:sz w:val="24"/>
              </w:rPr>
              <w:br w:type="textWrapping"/>
            </w:r>
            <w:r>
              <w:rPr>
                <w:rFonts w:hint="eastAsia" w:ascii="宋体" w:hAnsi="宋体" w:eastAsia="宋体" w:cs="宋体"/>
                <w:sz w:val="24"/>
                <w:lang w:val="en-US" w:eastAsia="zh-CN"/>
              </w:rPr>
              <w:t>2.2.本项目</w:t>
            </w:r>
            <w:r>
              <w:rPr>
                <w:rFonts w:hint="eastAsia" w:ascii="宋体" w:hAnsi="宋体" w:eastAsia="宋体" w:cs="宋体"/>
                <w:sz w:val="24"/>
              </w:rPr>
              <w:t>拟于</w:t>
            </w:r>
            <w:r>
              <w:rPr>
                <w:rFonts w:hint="eastAsia" w:ascii="宋体" w:hAnsi="宋体" w:eastAsia="宋体" w:cs="宋体"/>
                <w:sz w:val="24"/>
                <w:lang w:val="en-US" w:eastAsia="zh-CN"/>
              </w:rPr>
              <w:t>2025年7-8</w:t>
            </w:r>
            <w:r>
              <w:rPr>
                <w:rFonts w:hint="eastAsia" w:ascii="宋体" w:hAnsi="宋体" w:eastAsia="宋体" w:cs="宋体"/>
                <w:sz w:val="24"/>
              </w:rPr>
              <w:t>月到</w:t>
            </w:r>
            <w:r>
              <w:rPr>
                <w:rFonts w:hint="eastAsia" w:ascii="宋体" w:hAnsi="宋体" w:eastAsia="宋体" w:cs="宋体"/>
                <w:sz w:val="24"/>
                <w:lang w:val="en-US" w:eastAsia="zh-CN"/>
              </w:rPr>
              <w:t>南头镇</w:t>
            </w:r>
            <w:r>
              <w:rPr>
                <w:rFonts w:hint="eastAsia" w:ascii="宋体" w:hAnsi="宋体" w:eastAsia="宋体" w:cs="宋体"/>
                <w:sz w:val="24"/>
              </w:rPr>
              <w:t>各村开展集中体检工作。</w:t>
            </w:r>
            <w:r>
              <w:rPr>
                <w:rFonts w:hint="eastAsia" w:ascii="宋体" w:hAnsi="宋体" w:eastAsia="宋体" w:cs="宋体"/>
                <w:sz w:val="24"/>
              </w:rPr>
              <w:br w:type="textWrapping"/>
            </w:r>
            <w:r>
              <w:rPr>
                <w:rFonts w:hint="eastAsia" w:ascii="宋体" w:hAnsi="宋体" w:eastAsia="宋体" w:cs="宋体"/>
                <w:sz w:val="24"/>
                <w:lang w:val="en-US" w:eastAsia="zh-CN"/>
              </w:rPr>
              <w:t>2.3.本项目</w:t>
            </w:r>
            <w:r>
              <w:rPr>
                <w:rFonts w:hint="eastAsia" w:ascii="宋体" w:hAnsi="宋体" w:eastAsia="宋体" w:cs="宋体"/>
                <w:sz w:val="24"/>
              </w:rPr>
              <w:t>拟于</w:t>
            </w:r>
            <w:r>
              <w:rPr>
                <w:rFonts w:hint="eastAsia" w:ascii="宋体" w:hAnsi="宋体" w:eastAsia="宋体" w:cs="宋体"/>
                <w:sz w:val="24"/>
                <w:lang w:val="en-US" w:eastAsia="zh-CN"/>
              </w:rPr>
              <w:t>2025年9-10月后开展南头镇</w:t>
            </w:r>
            <w:r>
              <w:rPr>
                <w:rFonts w:hint="eastAsia" w:ascii="宋体" w:hAnsi="宋体" w:eastAsia="宋体" w:cs="宋体"/>
                <w:sz w:val="24"/>
              </w:rPr>
              <w:t>各村</w:t>
            </w:r>
            <w:r>
              <w:rPr>
                <w:rFonts w:hint="eastAsia" w:ascii="宋体" w:hAnsi="宋体" w:eastAsia="宋体" w:cs="宋体"/>
                <w:sz w:val="24"/>
                <w:lang w:val="en-US" w:eastAsia="zh-CN"/>
              </w:rPr>
              <w:t>老年人入户体检工作</w:t>
            </w:r>
            <w:r>
              <w:rPr>
                <w:rFonts w:hint="eastAsia" w:ascii="宋体" w:hAnsi="宋体" w:eastAsia="宋体" w:cs="宋体"/>
                <w:sz w:val="24"/>
              </w:rPr>
              <w:t>。</w:t>
            </w:r>
          </w:p>
        </w:tc>
      </w:tr>
      <w:tr w14:paraId="15B56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92" w:type="dxa"/>
            <w:gridSpan w:val="3"/>
          </w:tcPr>
          <w:p w14:paraId="34F4B0A4">
            <w:pPr>
              <w:pStyle w:val="10"/>
              <w:spacing w:line="360" w:lineRule="auto"/>
              <w:rPr>
                <w:sz w:val="24"/>
                <w:szCs w:val="24"/>
              </w:rPr>
            </w:pPr>
            <w:r>
              <w:rPr>
                <w:sz w:val="24"/>
                <w:szCs w:val="24"/>
              </w:rPr>
              <w:t>说明</w:t>
            </w:r>
          </w:p>
        </w:tc>
        <w:tc>
          <w:tcPr>
            <w:tcW w:w="5602" w:type="dxa"/>
          </w:tcPr>
          <w:p w14:paraId="7EF06A00">
            <w:pPr>
              <w:pStyle w:val="10"/>
              <w:spacing w:line="360" w:lineRule="auto"/>
              <w:jc w:val="left"/>
              <w:rPr>
                <w:sz w:val="24"/>
                <w:szCs w:val="24"/>
              </w:rPr>
            </w:pPr>
            <w:r>
              <w:rPr>
                <w:sz w:val="24"/>
                <w:szCs w:val="24"/>
              </w:rPr>
              <w:t xml:space="preserve"> 打“★”号条款为实质性条款，若有任何一条负偏离或不满足则导致投标（响应）无效。 </w:t>
            </w:r>
            <w:r>
              <w:rPr>
                <w:sz w:val="24"/>
                <w:szCs w:val="24"/>
              </w:rPr>
              <w:br w:type="textWrapping"/>
            </w:r>
            <w:r>
              <w:rPr>
                <w:sz w:val="24"/>
                <w:szCs w:val="24"/>
              </w:rPr>
              <w:t>打“▲”号条款为重要参数（如有），若有部分“▲”条款未响应或不满足，将根据评审要求影响其得分，但不作为无效投标（响应）条款。</w:t>
            </w:r>
          </w:p>
        </w:tc>
      </w:tr>
    </w:tbl>
    <w:p w14:paraId="3C13F271">
      <w:pPr>
        <w:pStyle w:val="10"/>
        <w:rPr>
          <w:b/>
        </w:rPr>
      </w:pPr>
      <w:r>
        <w:rPr>
          <w:b/>
        </w:rPr>
        <w:br w:type="textWrapping"/>
      </w:r>
    </w:p>
    <w:p w14:paraId="4903BFD8">
      <w:pPr>
        <w:pStyle w:val="10"/>
        <w:rPr>
          <w:sz w:val="24"/>
          <w:szCs w:val="24"/>
        </w:rPr>
      </w:pPr>
      <w:r>
        <w:rPr>
          <w:b/>
          <w:sz w:val="24"/>
          <w:szCs w:val="24"/>
        </w:rPr>
        <w:t>2.技术标准与要求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8"/>
        <w:gridCol w:w="769"/>
        <w:gridCol w:w="840"/>
        <w:gridCol w:w="769"/>
        <w:gridCol w:w="915"/>
        <w:gridCol w:w="1492"/>
        <w:gridCol w:w="1492"/>
        <w:gridCol w:w="708"/>
        <w:gridCol w:w="769"/>
      </w:tblGrid>
      <w:tr w14:paraId="30BFE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6" w:type="dxa"/>
          </w:tcPr>
          <w:p w14:paraId="05C2D430">
            <w:pPr>
              <w:pStyle w:val="10"/>
              <w:jc w:val="center"/>
              <w:rPr>
                <w:sz w:val="24"/>
                <w:szCs w:val="24"/>
              </w:rPr>
            </w:pPr>
            <w:r>
              <w:rPr>
                <w:sz w:val="24"/>
                <w:szCs w:val="24"/>
              </w:rPr>
              <w:t>序号</w:t>
            </w:r>
          </w:p>
        </w:tc>
        <w:tc>
          <w:tcPr>
            <w:tcW w:w="896" w:type="dxa"/>
          </w:tcPr>
          <w:p w14:paraId="5AAFF5A6">
            <w:pPr>
              <w:pStyle w:val="10"/>
              <w:jc w:val="center"/>
              <w:rPr>
                <w:sz w:val="24"/>
                <w:szCs w:val="24"/>
              </w:rPr>
            </w:pPr>
            <w:r>
              <w:rPr>
                <w:sz w:val="24"/>
                <w:szCs w:val="24"/>
              </w:rPr>
              <w:t>品目名称</w:t>
            </w:r>
          </w:p>
        </w:tc>
        <w:tc>
          <w:tcPr>
            <w:tcW w:w="896" w:type="dxa"/>
          </w:tcPr>
          <w:p w14:paraId="445AAFA1">
            <w:pPr>
              <w:pStyle w:val="10"/>
              <w:jc w:val="center"/>
              <w:rPr>
                <w:sz w:val="24"/>
                <w:szCs w:val="24"/>
              </w:rPr>
            </w:pPr>
            <w:r>
              <w:rPr>
                <w:sz w:val="24"/>
                <w:szCs w:val="24"/>
              </w:rPr>
              <w:t>标的名称</w:t>
            </w:r>
          </w:p>
        </w:tc>
        <w:tc>
          <w:tcPr>
            <w:tcW w:w="896" w:type="dxa"/>
          </w:tcPr>
          <w:p w14:paraId="6D0114AE">
            <w:pPr>
              <w:pStyle w:val="10"/>
              <w:jc w:val="center"/>
              <w:rPr>
                <w:sz w:val="24"/>
                <w:szCs w:val="24"/>
              </w:rPr>
            </w:pPr>
            <w:r>
              <w:rPr>
                <w:sz w:val="24"/>
                <w:szCs w:val="24"/>
              </w:rPr>
              <w:t>单位</w:t>
            </w:r>
          </w:p>
        </w:tc>
        <w:tc>
          <w:tcPr>
            <w:tcW w:w="1026" w:type="dxa"/>
          </w:tcPr>
          <w:p w14:paraId="335CF432">
            <w:pPr>
              <w:pStyle w:val="10"/>
              <w:jc w:val="center"/>
              <w:rPr>
                <w:sz w:val="24"/>
                <w:szCs w:val="24"/>
              </w:rPr>
            </w:pPr>
            <w:r>
              <w:rPr>
                <w:sz w:val="24"/>
                <w:szCs w:val="24"/>
              </w:rPr>
              <w:t>数量</w:t>
            </w:r>
          </w:p>
        </w:tc>
        <w:tc>
          <w:tcPr>
            <w:tcW w:w="925" w:type="dxa"/>
          </w:tcPr>
          <w:p w14:paraId="48D139E3">
            <w:pPr>
              <w:pStyle w:val="10"/>
              <w:jc w:val="center"/>
              <w:rPr>
                <w:sz w:val="24"/>
                <w:szCs w:val="24"/>
              </w:rPr>
            </w:pPr>
            <w:r>
              <w:rPr>
                <w:sz w:val="24"/>
                <w:szCs w:val="24"/>
              </w:rPr>
              <w:t>分项预算单价（元）</w:t>
            </w:r>
          </w:p>
        </w:tc>
        <w:tc>
          <w:tcPr>
            <w:tcW w:w="1279" w:type="dxa"/>
          </w:tcPr>
          <w:p w14:paraId="5D5FEF3B">
            <w:pPr>
              <w:pStyle w:val="10"/>
              <w:jc w:val="center"/>
              <w:rPr>
                <w:sz w:val="24"/>
                <w:szCs w:val="24"/>
              </w:rPr>
            </w:pPr>
            <w:r>
              <w:rPr>
                <w:sz w:val="24"/>
                <w:szCs w:val="24"/>
              </w:rPr>
              <w:t>分项预算总价（元）</w:t>
            </w:r>
          </w:p>
        </w:tc>
        <w:tc>
          <w:tcPr>
            <w:tcW w:w="811" w:type="dxa"/>
          </w:tcPr>
          <w:p w14:paraId="10615C3F">
            <w:pPr>
              <w:pStyle w:val="10"/>
              <w:rPr>
                <w:sz w:val="24"/>
                <w:szCs w:val="24"/>
              </w:rPr>
            </w:pPr>
            <w:r>
              <w:rPr>
                <w:sz w:val="24"/>
                <w:szCs w:val="24"/>
              </w:rPr>
              <w:t>所属行业</w:t>
            </w:r>
          </w:p>
        </w:tc>
        <w:tc>
          <w:tcPr>
            <w:tcW w:w="897" w:type="dxa"/>
          </w:tcPr>
          <w:p w14:paraId="646F8BA1">
            <w:pPr>
              <w:pStyle w:val="10"/>
              <w:jc w:val="center"/>
              <w:rPr>
                <w:sz w:val="24"/>
                <w:szCs w:val="24"/>
              </w:rPr>
            </w:pPr>
            <w:r>
              <w:rPr>
                <w:sz w:val="24"/>
                <w:szCs w:val="24"/>
              </w:rPr>
              <w:t>技术要求</w:t>
            </w:r>
          </w:p>
        </w:tc>
      </w:tr>
      <w:tr w14:paraId="3828F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6" w:type="dxa"/>
          </w:tcPr>
          <w:p w14:paraId="4916F48A">
            <w:pPr>
              <w:pStyle w:val="10"/>
              <w:jc w:val="center"/>
              <w:rPr>
                <w:sz w:val="24"/>
                <w:szCs w:val="24"/>
              </w:rPr>
            </w:pPr>
            <w:r>
              <w:rPr>
                <w:sz w:val="24"/>
                <w:szCs w:val="24"/>
              </w:rPr>
              <w:t>1</w:t>
            </w:r>
          </w:p>
        </w:tc>
        <w:tc>
          <w:tcPr>
            <w:tcW w:w="896" w:type="dxa"/>
          </w:tcPr>
          <w:p w14:paraId="57F91A76">
            <w:pPr>
              <w:pStyle w:val="10"/>
              <w:jc w:val="left"/>
              <w:rPr>
                <w:sz w:val="24"/>
                <w:szCs w:val="24"/>
              </w:rPr>
            </w:pPr>
            <w:r>
              <w:rPr>
                <w:sz w:val="24"/>
                <w:szCs w:val="24"/>
              </w:rPr>
              <w:t>体检服务</w:t>
            </w:r>
          </w:p>
        </w:tc>
        <w:tc>
          <w:tcPr>
            <w:tcW w:w="896" w:type="dxa"/>
          </w:tcPr>
          <w:p w14:paraId="5E6FCED9">
            <w:pPr>
              <w:pStyle w:val="10"/>
              <w:jc w:val="left"/>
              <w:rPr>
                <w:sz w:val="24"/>
                <w:szCs w:val="24"/>
              </w:rPr>
            </w:pPr>
            <w:r>
              <w:rPr>
                <w:rFonts w:hint="eastAsia"/>
                <w:sz w:val="24"/>
                <w:szCs w:val="24"/>
                <w:lang w:eastAsia="zh-CN"/>
              </w:rPr>
              <w:t>2025年中山市南头镇老年人健康体检服务项目</w:t>
            </w:r>
          </w:p>
        </w:tc>
        <w:tc>
          <w:tcPr>
            <w:tcW w:w="896" w:type="dxa"/>
          </w:tcPr>
          <w:p w14:paraId="18B0B467">
            <w:pPr>
              <w:pStyle w:val="10"/>
              <w:jc w:val="left"/>
              <w:rPr>
                <w:rFonts w:hint="eastAsia" w:eastAsiaTheme="minorEastAsia"/>
                <w:sz w:val="24"/>
                <w:szCs w:val="24"/>
                <w:lang w:eastAsia="zh-CN"/>
              </w:rPr>
            </w:pPr>
            <w:r>
              <w:rPr>
                <w:rFonts w:hint="eastAsia"/>
                <w:sz w:val="24"/>
                <w:szCs w:val="24"/>
                <w:lang w:val="en-US" w:eastAsia="zh-CN"/>
              </w:rPr>
              <w:t>项</w:t>
            </w:r>
          </w:p>
        </w:tc>
        <w:tc>
          <w:tcPr>
            <w:tcW w:w="1026" w:type="dxa"/>
          </w:tcPr>
          <w:p w14:paraId="3A5E8308">
            <w:pPr>
              <w:pStyle w:val="10"/>
              <w:jc w:val="right"/>
              <w:rPr>
                <w:rFonts w:hint="default" w:eastAsiaTheme="minorEastAsia"/>
                <w:sz w:val="24"/>
                <w:szCs w:val="24"/>
                <w:lang w:val="en-US" w:eastAsia="zh-CN"/>
              </w:rPr>
            </w:pPr>
            <w:r>
              <w:rPr>
                <w:rFonts w:hint="eastAsia"/>
                <w:sz w:val="24"/>
                <w:szCs w:val="24"/>
                <w:lang w:val="en-US" w:eastAsia="zh-CN"/>
              </w:rPr>
              <w:t>1.00</w:t>
            </w:r>
          </w:p>
        </w:tc>
        <w:tc>
          <w:tcPr>
            <w:tcW w:w="925" w:type="dxa"/>
          </w:tcPr>
          <w:p w14:paraId="5A861AE8">
            <w:pPr>
              <w:pStyle w:val="10"/>
              <w:jc w:val="right"/>
              <w:rPr>
                <w:sz w:val="24"/>
                <w:szCs w:val="24"/>
              </w:rPr>
            </w:pPr>
            <w:r>
              <w:rPr>
                <w:b w:val="0"/>
                <w:bCs w:val="0"/>
                <w:sz w:val="24"/>
              </w:rPr>
              <w:t>1,</w:t>
            </w:r>
            <w:r>
              <w:rPr>
                <w:rFonts w:hint="eastAsia"/>
                <w:b w:val="0"/>
                <w:bCs w:val="0"/>
                <w:sz w:val="24"/>
                <w:lang w:val="en-US" w:eastAsia="zh-CN"/>
              </w:rPr>
              <w:t>3</w:t>
            </w:r>
            <w:r>
              <w:rPr>
                <w:b w:val="0"/>
                <w:bCs w:val="0"/>
                <w:sz w:val="24"/>
              </w:rPr>
              <w:t>7</w:t>
            </w:r>
            <w:r>
              <w:rPr>
                <w:rFonts w:hint="eastAsia"/>
                <w:b w:val="0"/>
                <w:bCs w:val="0"/>
                <w:sz w:val="24"/>
                <w:lang w:val="en-US" w:eastAsia="zh-CN"/>
              </w:rPr>
              <w:t>4</w:t>
            </w:r>
            <w:r>
              <w:rPr>
                <w:b w:val="0"/>
                <w:bCs w:val="0"/>
                <w:sz w:val="24"/>
              </w:rPr>
              <w:t>,</w:t>
            </w:r>
            <w:r>
              <w:rPr>
                <w:rFonts w:hint="eastAsia"/>
                <w:b w:val="0"/>
                <w:bCs w:val="0"/>
                <w:sz w:val="24"/>
                <w:lang w:val="en-US" w:eastAsia="zh-CN"/>
              </w:rPr>
              <w:t>795</w:t>
            </w:r>
            <w:r>
              <w:rPr>
                <w:b w:val="0"/>
                <w:bCs w:val="0"/>
                <w:sz w:val="24"/>
              </w:rPr>
              <w:t>.00</w:t>
            </w:r>
          </w:p>
        </w:tc>
        <w:tc>
          <w:tcPr>
            <w:tcW w:w="1279" w:type="dxa"/>
          </w:tcPr>
          <w:p w14:paraId="013085AF">
            <w:pPr>
              <w:pStyle w:val="10"/>
              <w:jc w:val="right"/>
              <w:rPr>
                <w:sz w:val="24"/>
                <w:szCs w:val="24"/>
              </w:rPr>
            </w:pPr>
            <w:r>
              <w:rPr>
                <w:b w:val="0"/>
                <w:bCs w:val="0"/>
                <w:sz w:val="24"/>
              </w:rPr>
              <w:t>1,</w:t>
            </w:r>
            <w:r>
              <w:rPr>
                <w:rFonts w:hint="eastAsia"/>
                <w:b w:val="0"/>
                <w:bCs w:val="0"/>
                <w:sz w:val="24"/>
                <w:lang w:val="en-US" w:eastAsia="zh-CN"/>
              </w:rPr>
              <w:t>3</w:t>
            </w:r>
            <w:r>
              <w:rPr>
                <w:b w:val="0"/>
                <w:bCs w:val="0"/>
                <w:sz w:val="24"/>
              </w:rPr>
              <w:t>7</w:t>
            </w:r>
            <w:r>
              <w:rPr>
                <w:rFonts w:hint="eastAsia"/>
                <w:b w:val="0"/>
                <w:bCs w:val="0"/>
                <w:sz w:val="24"/>
                <w:lang w:val="en-US" w:eastAsia="zh-CN"/>
              </w:rPr>
              <w:t>4</w:t>
            </w:r>
            <w:r>
              <w:rPr>
                <w:b w:val="0"/>
                <w:bCs w:val="0"/>
                <w:sz w:val="24"/>
              </w:rPr>
              <w:t>,</w:t>
            </w:r>
            <w:r>
              <w:rPr>
                <w:rFonts w:hint="eastAsia"/>
                <w:b w:val="0"/>
                <w:bCs w:val="0"/>
                <w:sz w:val="24"/>
                <w:lang w:val="en-US" w:eastAsia="zh-CN"/>
              </w:rPr>
              <w:t>795</w:t>
            </w:r>
            <w:r>
              <w:rPr>
                <w:b w:val="0"/>
                <w:bCs w:val="0"/>
                <w:sz w:val="24"/>
              </w:rPr>
              <w:t>.00</w:t>
            </w:r>
          </w:p>
        </w:tc>
        <w:tc>
          <w:tcPr>
            <w:tcW w:w="811" w:type="dxa"/>
          </w:tcPr>
          <w:p w14:paraId="1FE67BDC">
            <w:pPr>
              <w:pStyle w:val="10"/>
              <w:rPr>
                <w:sz w:val="24"/>
                <w:szCs w:val="24"/>
              </w:rPr>
            </w:pPr>
            <w:r>
              <w:rPr>
                <w:sz w:val="24"/>
                <w:szCs w:val="24"/>
              </w:rPr>
              <w:t>其他未列明行业</w:t>
            </w:r>
          </w:p>
        </w:tc>
        <w:tc>
          <w:tcPr>
            <w:tcW w:w="897" w:type="dxa"/>
          </w:tcPr>
          <w:p w14:paraId="47AD2326">
            <w:pPr>
              <w:pStyle w:val="10"/>
              <w:rPr>
                <w:sz w:val="24"/>
                <w:szCs w:val="24"/>
              </w:rPr>
            </w:pPr>
            <w:r>
              <w:rPr>
                <w:sz w:val="24"/>
                <w:szCs w:val="24"/>
              </w:rPr>
              <w:t>详见附表一</w:t>
            </w:r>
          </w:p>
        </w:tc>
      </w:tr>
    </w:tbl>
    <w:p w14:paraId="6CB88027">
      <w:pPr>
        <w:pStyle w:val="10"/>
        <w:spacing w:line="360" w:lineRule="auto"/>
        <w:rPr>
          <w:rFonts w:hint="eastAsia" w:ascii="宋体" w:hAnsi="宋体" w:eastAsia="宋体" w:cs="宋体"/>
          <w:sz w:val="24"/>
          <w:szCs w:val="24"/>
        </w:rPr>
      </w:pPr>
      <w:r>
        <w:rPr>
          <w:b/>
        </w:rPr>
        <w:br w:type="textWrapping"/>
      </w:r>
      <w:r>
        <w:rPr>
          <w:rFonts w:hint="eastAsia" w:ascii="宋体" w:hAnsi="宋体" w:eastAsia="宋体" w:cs="宋体"/>
          <w:b/>
          <w:sz w:val="24"/>
          <w:szCs w:val="24"/>
        </w:rPr>
        <w:t>附表一：2025年中山市南头镇老年人健康体检服务项目</w:t>
      </w:r>
    </w:p>
    <w:tbl>
      <w:tblPr>
        <w:tblStyle w:val="6"/>
        <w:tblW w:w="9280" w:type="dxa"/>
        <w:tblInd w:w="-80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83"/>
        <w:gridCol w:w="550"/>
        <w:gridCol w:w="7947"/>
      </w:tblGrid>
      <w:tr w14:paraId="4E43C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88" w:hRule="atLeast"/>
        </w:trPr>
        <w:tc>
          <w:tcPr>
            <w:tcW w:w="783" w:type="dxa"/>
          </w:tcPr>
          <w:p w14:paraId="21EE4474">
            <w:pPr>
              <w:pStyle w:val="10"/>
              <w:spacing w:line="360" w:lineRule="auto"/>
              <w:rPr>
                <w:rFonts w:hint="eastAsia" w:ascii="宋体" w:hAnsi="宋体" w:eastAsia="宋体" w:cs="宋体"/>
                <w:sz w:val="24"/>
                <w:szCs w:val="24"/>
              </w:rPr>
            </w:pPr>
            <w:r>
              <w:rPr>
                <w:rFonts w:hint="eastAsia" w:ascii="宋体" w:hAnsi="宋体" w:eastAsia="宋体" w:cs="宋体"/>
                <w:sz w:val="24"/>
                <w:szCs w:val="24"/>
              </w:rPr>
              <w:t>参数性质</w:t>
            </w:r>
          </w:p>
        </w:tc>
        <w:tc>
          <w:tcPr>
            <w:tcW w:w="550" w:type="dxa"/>
          </w:tcPr>
          <w:p w14:paraId="050407F4">
            <w:pPr>
              <w:pStyle w:val="10"/>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7947" w:type="dxa"/>
          </w:tcPr>
          <w:p w14:paraId="6ED640FB">
            <w:pPr>
              <w:pStyle w:val="10"/>
              <w:spacing w:line="360" w:lineRule="auto"/>
              <w:rPr>
                <w:rFonts w:hint="eastAsia" w:ascii="宋体" w:hAnsi="宋体" w:eastAsia="宋体" w:cs="宋体"/>
                <w:sz w:val="24"/>
                <w:szCs w:val="24"/>
              </w:rPr>
            </w:pPr>
            <w:r>
              <w:rPr>
                <w:rFonts w:hint="eastAsia" w:ascii="宋体" w:hAnsi="宋体" w:eastAsia="宋体" w:cs="宋体"/>
                <w:sz w:val="24"/>
                <w:szCs w:val="24"/>
              </w:rPr>
              <w:t>具体技术(参数)要求</w:t>
            </w:r>
          </w:p>
        </w:tc>
      </w:tr>
      <w:tr w14:paraId="54BAB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17" w:hRule="atLeast"/>
        </w:trPr>
        <w:tc>
          <w:tcPr>
            <w:tcW w:w="783" w:type="dxa"/>
          </w:tcPr>
          <w:p w14:paraId="508187B4">
            <w:pPr>
              <w:spacing w:line="360" w:lineRule="auto"/>
              <w:rPr>
                <w:rFonts w:hint="eastAsia" w:ascii="宋体" w:hAnsi="宋体" w:eastAsia="宋体" w:cs="宋体"/>
                <w:sz w:val="24"/>
                <w:szCs w:val="24"/>
              </w:rPr>
            </w:pPr>
          </w:p>
        </w:tc>
        <w:tc>
          <w:tcPr>
            <w:tcW w:w="550" w:type="dxa"/>
          </w:tcPr>
          <w:p w14:paraId="5B46B977">
            <w:pPr>
              <w:pStyle w:val="10"/>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7947" w:type="dxa"/>
          </w:tcPr>
          <w:p w14:paraId="1163DE4C">
            <w:pPr>
              <w:spacing w:line="360" w:lineRule="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一、服务对象</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中山市南头镇辖区内2025年内年满65岁（1960年12月31日前出生）的常住居民（不限户籍）。</w:t>
            </w:r>
          </w:p>
        </w:tc>
      </w:tr>
      <w:tr w14:paraId="1A4C1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3" w:hRule="atLeast"/>
        </w:trPr>
        <w:tc>
          <w:tcPr>
            <w:tcW w:w="783" w:type="dxa"/>
          </w:tcPr>
          <w:p w14:paraId="646A7292">
            <w:pPr>
              <w:spacing w:line="360" w:lineRule="auto"/>
              <w:rPr>
                <w:rFonts w:hint="eastAsia" w:ascii="宋体" w:hAnsi="宋体" w:eastAsia="宋体" w:cs="宋体"/>
                <w:sz w:val="24"/>
                <w:szCs w:val="24"/>
              </w:rPr>
            </w:pPr>
          </w:p>
        </w:tc>
        <w:tc>
          <w:tcPr>
            <w:tcW w:w="550" w:type="dxa"/>
          </w:tcPr>
          <w:p w14:paraId="600C5A4D">
            <w:pPr>
              <w:pStyle w:val="10"/>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7947" w:type="dxa"/>
          </w:tcPr>
          <w:p w14:paraId="037CD523">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b/>
                <w:bCs/>
                <w:sz w:val="24"/>
                <w:szCs w:val="24"/>
                <w:lang w:val="en-US" w:eastAsia="zh-CN"/>
              </w:rPr>
              <w:t>二、服务内容</w:t>
            </w:r>
            <w:r>
              <w:rPr>
                <w:rFonts w:hint="eastAsia" w:ascii="宋体" w:hAnsi="宋体" w:eastAsia="宋体" w:cs="宋体"/>
                <w:sz w:val="24"/>
                <w:szCs w:val="24"/>
                <w:lang w:val="en-US" w:eastAsia="zh-CN"/>
              </w:rPr>
              <w:br w:type="textWrapping"/>
            </w:r>
            <w:r>
              <w:rPr>
                <w:rFonts w:hint="eastAsia" w:ascii="宋体" w:hAnsi="宋体" w:eastAsia="宋体" w:cs="宋体"/>
                <w:color w:val="auto"/>
                <w:spacing w:val="6"/>
                <w:sz w:val="24"/>
                <w:szCs w:val="24"/>
                <w:lang w:val="en-US" w:eastAsia="zh-CN"/>
              </w:rPr>
              <w:t>（一）常规健康体检服务</w:t>
            </w:r>
          </w:p>
          <w:p w14:paraId="3A285125">
            <w:pPr>
              <w:keepNext w:val="0"/>
              <w:keepLines w:val="0"/>
              <w:pageBreakBefore w:val="0"/>
              <w:widowControl w:val="0"/>
              <w:kinsoku/>
              <w:wordWrap/>
              <w:overflowPunct/>
              <w:topLinePunct w:val="0"/>
              <w:autoSpaceDE/>
              <w:autoSpaceDN/>
              <w:bidi w:val="0"/>
              <w:adjustRightInd w:val="0"/>
              <w:snapToGrid w:val="0"/>
              <w:spacing w:line="336" w:lineRule="auto"/>
              <w:ind w:firstLine="504" w:firstLineChars="200"/>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val="en-US" w:eastAsia="zh-CN"/>
              </w:rPr>
              <w:t>成交供应商需</w:t>
            </w:r>
            <w:r>
              <w:rPr>
                <w:rFonts w:hint="eastAsia" w:ascii="宋体" w:hAnsi="宋体" w:eastAsia="宋体" w:cs="宋体"/>
                <w:color w:val="auto"/>
                <w:spacing w:val="6"/>
                <w:sz w:val="24"/>
                <w:szCs w:val="24"/>
              </w:rPr>
              <w:t>为</w:t>
            </w:r>
            <w:r>
              <w:rPr>
                <w:rFonts w:hint="eastAsia" w:ascii="宋体" w:hAnsi="宋体" w:eastAsia="宋体" w:cs="宋体"/>
                <w:color w:val="auto"/>
                <w:spacing w:val="6"/>
                <w:sz w:val="24"/>
                <w:szCs w:val="24"/>
                <w:lang w:val="en-US" w:eastAsia="zh-CN"/>
              </w:rPr>
              <w:t>服务对象</w:t>
            </w:r>
            <w:r>
              <w:rPr>
                <w:rFonts w:hint="eastAsia" w:ascii="宋体" w:hAnsi="宋体" w:eastAsia="宋体" w:cs="宋体"/>
                <w:color w:val="auto"/>
                <w:spacing w:val="6"/>
                <w:sz w:val="24"/>
                <w:szCs w:val="24"/>
              </w:rPr>
              <w:t>提供</w:t>
            </w:r>
            <w:r>
              <w:rPr>
                <w:rFonts w:hint="eastAsia" w:ascii="宋体" w:hAnsi="宋体" w:eastAsia="宋体" w:cs="宋体"/>
                <w:color w:val="auto"/>
                <w:spacing w:val="6"/>
                <w:sz w:val="24"/>
                <w:szCs w:val="24"/>
                <w:lang w:val="en-US" w:eastAsia="zh-CN"/>
              </w:rPr>
              <w:t>全面、规范的常规健康</w:t>
            </w:r>
            <w:r>
              <w:rPr>
                <w:rFonts w:hint="eastAsia" w:ascii="宋体" w:hAnsi="宋体" w:eastAsia="宋体" w:cs="宋体"/>
                <w:color w:val="auto"/>
                <w:spacing w:val="6"/>
                <w:sz w:val="24"/>
                <w:szCs w:val="24"/>
              </w:rPr>
              <w:t>体检服务</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lang w:val="en-US" w:eastAsia="zh-CN"/>
              </w:rPr>
              <w:t>具体</w:t>
            </w:r>
            <w:r>
              <w:rPr>
                <w:rFonts w:hint="eastAsia" w:ascii="宋体" w:hAnsi="宋体" w:eastAsia="宋体" w:cs="宋体"/>
                <w:color w:val="auto"/>
                <w:spacing w:val="6"/>
                <w:sz w:val="24"/>
                <w:szCs w:val="24"/>
              </w:rPr>
              <w:t>体检内容包括</w:t>
            </w:r>
            <w:r>
              <w:rPr>
                <w:rFonts w:hint="eastAsia" w:ascii="宋体" w:hAnsi="宋体" w:eastAsia="宋体" w:cs="宋体"/>
                <w:color w:val="auto"/>
                <w:spacing w:val="6"/>
                <w:sz w:val="24"/>
                <w:szCs w:val="24"/>
                <w:lang w:eastAsia="zh-CN"/>
              </w:rPr>
              <w:t>：</w:t>
            </w:r>
          </w:p>
          <w:p w14:paraId="530E3984">
            <w:pPr>
              <w:keepNext w:val="0"/>
              <w:keepLines w:val="0"/>
              <w:pageBreakBefore w:val="0"/>
              <w:widowControl w:val="0"/>
              <w:kinsoku/>
              <w:wordWrap/>
              <w:overflowPunct/>
              <w:topLinePunct w:val="0"/>
              <w:autoSpaceDE/>
              <w:autoSpaceDN/>
              <w:bidi w:val="0"/>
              <w:adjustRightInd w:val="0"/>
              <w:snapToGrid w:val="0"/>
              <w:spacing w:line="336" w:lineRule="auto"/>
              <w:ind w:firstLine="504" w:firstLineChars="200"/>
              <w:textAlignment w:val="auto"/>
              <w:rPr>
                <w:rFonts w:hint="eastAsia" w:ascii="宋体" w:hAnsi="宋体" w:eastAsia="宋体" w:cs="宋体"/>
                <w:color w:val="auto"/>
                <w:spacing w:val="13"/>
                <w:sz w:val="24"/>
                <w:szCs w:val="24"/>
                <w:lang w:eastAsia="zh-CN"/>
              </w:rPr>
            </w:pPr>
            <w:r>
              <w:rPr>
                <w:rFonts w:hint="eastAsia" w:ascii="宋体" w:hAnsi="宋体" w:eastAsia="宋体" w:cs="宋体"/>
                <w:color w:val="auto"/>
                <w:spacing w:val="6"/>
                <w:sz w:val="24"/>
                <w:szCs w:val="24"/>
                <w:lang w:val="en-US" w:eastAsia="zh-CN"/>
              </w:rPr>
              <w:t>1.体格检查：包括</w:t>
            </w:r>
            <w:r>
              <w:rPr>
                <w:rFonts w:hint="eastAsia" w:ascii="宋体" w:hAnsi="宋体" w:eastAsia="宋体" w:cs="宋体"/>
                <w:color w:val="auto"/>
                <w:spacing w:val="4"/>
                <w:sz w:val="24"/>
                <w:szCs w:val="24"/>
              </w:rPr>
              <w:t>体温、脉搏、呼吸、双侧血压、身高、体重、</w:t>
            </w:r>
            <w:r>
              <w:rPr>
                <w:rFonts w:hint="eastAsia" w:ascii="宋体" w:hAnsi="宋体" w:eastAsia="宋体" w:cs="宋体"/>
                <w:color w:val="auto"/>
                <w:spacing w:val="3"/>
                <w:sz w:val="24"/>
                <w:szCs w:val="24"/>
              </w:rPr>
              <w:t>腰围、皮肤、</w:t>
            </w:r>
            <w:r>
              <w:rPr>
                <w:rFonts w:hint="eastAsia" w:ascii="宋体" w:hAnsi="宋体" w:eastAsia="宋体" w:cs="宋体"/>
                <w:color w:val="auto"/>
                <w:spacing w:val="-2"/>
                <w:sz w:val="24"/>
                <w:szCs w:val="24"/>
              </w:rPr>
              <w:t>浅表淋巴结、肺部、心脏、腹部、足背动脉触诊等常规体格检查，</w:t>
            </w:r>
            <w:r>
              <w:rPr>
                <w:rFonts w:hint="eastAsia" w:ascii="宋体" w:hAnsi="宋体" w:eastAsia="宋体" w:cs="宋体"/>
                <w:color w:val="auto"/>
                <w:spacing w:val="13"/>
                <w:sz w:val="24"/>
                <w:szCs w:val="24"/>
              </w:rPr>
              <w:t>并对口腔、视力、听力和运动功能等进行粗测判断</w:t>
            </w:r>
            <w:r>
              <w:rPr>
                <w:rFonts w:hint="eastAsia" w:ascii="宋体" w:hAnsi="宋体" w:eastAsia="宋体" w:cs="宋体"/>
                <w:color w:val="auto"/>
                <w:spacing w:val="13"/>
                <w:sz w:val="24"/>
                <w:szCs w:val="24"/>
                <w:lang w:eastAsia="zh-CN"/>
              </w:rPr>
              <w:t>。</w:t>
            </w:r>
          </w:p>
          <w:p w14:paraId="133FF956">
            <w:pPr>
              <w:keepNext w:val="0"/>
              <w:keepLines w:val="0"/>
              <w:pageBreakBefore w:val="0"/>
              <w:widowControl w:val="0"/>
              <w:kinsoku/>
              <w:wordWrap/>
              <w:overflowPunct/>
              <w:topLinePunct w:val="0"/>
              <w:autoSpaceDE/>
              <w:autoSpaceDN/>
              <w:bidi w:val="0"/>
              <w:adjustRightInd w:val="0"/>
              <w:snapToGrid w:val="0"/>
              <w:spacing w:line="336" w:lineRule="auto"/>
              <w:ind w:firstLine="532" w:firstLineChars="200"/>
              <w:textAlignment w:val="auto"/>
              <w:rPr>
                <w:rFonts w:hint="eastAsia" w:ascii="宋体" w:hAnsi="宋体" w:eastAsia="宋体" w:cs="宋体"/>
                <w:color w:val="auto"/>
                <w:spacing w:val="16"/>
                <w:sz w:val="24"/>
                <w:szCs w:val="24"/>
              </w:rPr>
            </w:pPr>
            <w:r>
              <w:rPr>
                <w:rFonts w:hint="eastAsia" w:ascii="宋体" w:hAnsi="宋体" w:eastAsia="宋体" w:cs="宋体"/>
                <w:color w:val="auto"/>
                <w:spacing w:val="13"/>
                <w:sz w:val="24"/>
                <w:szCs w:val="24"/>
                <w:lang w:val="en-US" w:eastAsia="zh-CN"/>
              </w:rPr>
              <w:t>2.辅助检查：</w:t>
            </w:r>
            <w:r>
              <w:rPr>
                <w:rFonts w:hint="eastAsia" w:ascii="宋体" w:hAnsi="宋体" w:eastAsia="宋体" w:cs="宋体"/>
                <w:color w:val="auto"/>
                <w:spacing w:val="13"/>
                <w:sz w:val="24"/>
                <w:szCs w:val="24"/>
              </w:rPr>
              <w:t>血常规、</w:t>
            </w:r>
            <w:r>
              <w:rPr>
                <w:rFonts w:hint="eastAsia" w:ascii="宋体" w:hAnsi="宋体" w:eastAsia="宋体" w:cs="宋体"/>
                <w:color w:val="auto"/>
                <w:spacing w:val="4"/>
                <w:sz w:val="24"/>
                <w:szCs w:val="24"/>
              </w:rPr>
              <w:t>尿常规、肝功能（血清谷草转氨酶、血清谷丙转氨酶</w:t>
            </w:r>
            <w:r>
              <w:rPr>
                <w:rFonts w:hint="eastAsia" w:ascii="宋体" w:hAnsi="宋体" w:eastAsia="宋体" w:cs="宋体"/>
                <w:color w:val="auto"/>
                <w:spacing w:val="3"/>
                <w:sz w:val="24"/>
                <w:szCs w:val="24"/>
                <w:lang w:val="en-US" w:eastAsia="zh-CN"/>
              </w:rPr>
              <w:t>和</w:t>
            </w:r>
            <w:r>
              <w:rPr>
                <w:rFonts w:hint="eastAsia" w:ascii="宋体" w:hAnsi="宋体" w:eastAsia="宋体" w:cs="宋体"/>
                <w:color w:val="auto"/>
                <w:spacing w:val="3"/>
                <w:sz w:val="24"/>
                <w:szCs w:val="24"/>
              </w:rPr>
              <w:t>总胆红素</w:t>
            </w:r>
            <w:r>
              <w:rPr>
                <w:rFonts w:hint="eastAsia" w:ascii="宋体" w:hAnsi="宋体" w:eastAsia="宋体" w:cs="宋体"/>
                <w:color w:val="auto"/>
                <w:spacing w:val="16"/>
                <w:sz w:val="24"/>
                <w:szCs w:val="24"/>
              </w:rPr>
              <w:t>）、肾功能（血清肌酐</w:t>
            </w:r>
            <w:r>
              <w:rPr>
                <w:rFonts w:hint="eastAsia" w:ascii="宋体" w:hAnsi="宋体" w:eastAsia="宋体" w:cs="宋体"/>
                <w:color w:val="auto"/>
                <w:spacing w:val="16"/>
                <w:sz w:val="24"/>
                <w:szCs w:val="24"/>
                <w:lang w:val="en-US" w:eastAsia="zh-CN"/>
              </w:rPr>
              <w:t>和</w:t>
            </w:r>
            <w:r>
              <w:rPr>
                <w:rFonts w:hint="eastAsia" w:ascii="宋体" w:hAnsi="宋体" w:eastAsia="宋体" w:cs="宋体"/>
                <w:color w:val="auto"/>
                <w:spacing w:val="16"/>
                <w:sz w:val="24"/>
                <w:szCs w:val="24"/>
              </w:rPr>
              <w:t>血尿素</w:t>
            </w:r>
            <w:r>
              <w:rPr>
                <w:rFonts w:hint="eastAsia" w:ascii="宋体" w:hAnsi="宋体" w:eastAsia="宋体" w:cs="宋体"/>
                <w:color w:val="auto"/>
                <w:spacing w:val="11"/>
                <w:sz w:val="24"/>
                <w:szCs w:val="24"/>
              </w:rPr>
              <w:t>）、空腹血糖、血脂（总胆固醇、甘油三酯、低密度脂蛋白胆固醇、高密度脂蛋白胆固醇）、心电图</w:t>
            </w:r>
            <w:r>
              <w:rPr>
                <w:rFonts w:hint="eastAsia" w:ascii="宋体" w:hAnsi="宋体" w:eastAsia="宋体" w:cs="宋体"/>
                <w:color w:val="auto"/>
                <w:spacing w:val="11"/>
                <w:sz w:val="24"/>
                <w:szCs w:val="24"/>
                <w:lang w:eastAsia="zh-CN"/>
              </w:rPr>
              <w:t>（</w:t>
            </w:r>
            <w:r>
              <w:rPr>
                <w:rFonts w:hint="eastAsia" w:ascii="宋体" w:hAnsi="宋体" w:eastAsia="宋体" w:cs="宋体"/>
                <w:color w:val="auto"/>
                <w:spacing w:val="11"/>
                <w:sz w:val="24"/>
                <w:szCs w:val="24"/>
              </w:rPr>
              <w:t>十二导联</w:t>
            </w:r>
            <w:r>
              <w:rPr>
                <w:rFonts w:hint="eastAsia" w:ascii="宋体" w:hAnsi="宋体" w:eastAsia="宋体" w:cs="宋体"/>
                <w:color w:val="auto"/>
                <w:spacing w:val="11"/>
                <w:sz w:val="24"/>
                <w:szCs w:val="24"/>
                <w:lang w:eastAsia="zh-CN"/>
              </w:rPr>
              <w:t>）</w:t>
            </w:r>
            <w:r>
              <w:rPr>
                <w:rFonts w:hint="eastAsia" w:ascii="宋体" w:hAnsi="宋体" w:eastAsia="宋体" w:cs="宋体"/>
                <w:color w:val="auto"/>
                <w:spacing w:val="11"/>
                <w:sz w:val="24"/>
                <w:szCs w:val="24"/>
              </w:rPr>
              <w:t>和</w:t>
            </w:r>
            <w:r>
              <w:rPr>
                <w:rFonts w:hint="eastAsia" w:ascii="宋体" w:hAnsi="宋体" w:eastAsia="宋体" w:cs="宋体"/>
                <w:color w:val="auto"/>
                <w:spacing w:val="20"/>
                <w:sz w:val="24"/>
                <w:szCs w:val="24"/>
              </w:rPr>
              <w:t>腹部</w:t>
            </w:r>
            <w:r>
              <w:rPr>
                <w:rFonts w:hint="eastAsia" w:ascii="宋体" w:hAnsi="宋体" w:eastAsia="宋体" w:cs="宋体"/>
                <w:color w:val="auto"/>
                <w:spacing w:val="19"/>
                <w:sz w:val="24"/>
                <w:szCs w:val="24"/>
              </w:rPr>
              <w:t>B超（</w:t>
            </w:r>
            <w:r>
              <w:rPr>
                <w:rFonts w:hint="eastAsia" w:ascii="宋体" w:hAnsi="宋体" w:eastAsia="宋体" w:cs="宋体"/>
                <w:color w:val="auto"/>
                <w:spacing w:val="16"/>
                <w:sz w:val="24"/>
                <w:szCs w:val="24"/>
              </w:rPr>
              <w:t>肝胆胰脾）检查。</w:t>
            </w:r>
          </w:p>
          <w:p w14:paraId="6C0ACB4E">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kern w:val="2"/>
                <w:sz w:val="24"/>
                <w:szCs w:val="24"/>
                <w:lang w:val="en-US" w:eastAsia="zh-CN" w:bidi="ar-SA"/>
              </w:rPr>
              <w:t>（二）</w:t>
            </w:r>
            <w:r>
              <w:rPr>
                <w:rFonts w:hint="eastAsia" w:ascii="宋体" w:hAnsi="宋体" w:eastAsia="宋体" w:cs="宋体"/>
                <w:color w:val="auto"/>
                <w:spacing w:val="6"/>
                <w:sz w:val="24"/>
                <w:szCs w:val="24"/>
                <w:lang w:val="en-US" w:eastAsia="zh-CN"/>
              </w:rPr>
              <w:t>选做服务</w:t>
            </w:r>
          </w:p>
          <w:p w14:paraId="411B3EC4">
            <w:pPr>
              <w:keepNext w:val="0"/>
              <w:keepLines w:val="0"/>
              <w:pageBreakBefore w:val="0"/>
              <w:widowControl w:val="0"/>
              <w:kinsoku/>
              <w:wordWrap/>
              <w:overflowPunct/>
              <w:topLinePunct w:val="0"/>
              <w:autoSpaceDE/>
              <w:autoSpaceDN/>
              <w:bidi w:val="0"/>
              <w:adjustRightInd w:val="0"/>
              <w:snapToGrid w:val="0"/>
              <w:spacing w:line="336" w:lineRule="auto"/>
              <w:ind w:firstLine="504" w:firstLineChars="200"/>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1.</w:t>
            </w:r>
            <w:r>
              <w:rPr>
                <w:rFonts w:hint="eastAsia" w:ascii="宋体" w:hAnsi="宋体" w:eastAsia="宋体" w:cs="宋体"/>
                <w:color w:val="auto"/>
                <w:spacing w:val="6"/>
                <w:sz w:val="24"/>
                <w:szCs w:val="24"/>
              </w:rPr>
              <w:t>胸部DR检查服务：为有需求</w:t>
            </w:r>
            <w:r>
              <w:rPr>
                <w:rFonts w:hint="eastAsia" w:ascii="宋体" w:hAnsi="宋体" w:eastAsia="宋体" w:cs="宋体"/>
                <w:color w:val="auto"/>
                <w:spacing w:val="6"/>
                <w:sz w:val="24"/>
                <w:szCs w:val="24"/>
                <w:lang w:val="en-US" w:eastAsia="zh-CN"/>
              </w:rPr>
              <w:t>且自愿</w:t>
            </w:r>
            <w:r>
              <w:rPr>
                <w:rFonts w:hint="eastAsia" w:ascii="宋体" w:hAnsi="宋体" w:eastAsia="宋体" w:cs="宋体"/>
                <w:color w:val="auto"/>
                <w:spacing w:val="6"/>
                <w:sz w:val="24"/>
                <w:szCs w:val="24"/>
              </w:rPr>
              <w:t>的体检对象提供胸部DR检查服务</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lang w:val="en-US" w:eastAsia="zh-CN"/>
              </w:rPr>
              <w:br w:type="textWrapping"/>
            </w:r>
            <w:r>
              <w:rPr>
                <w:rFonts w:hint="eastAsia" w:ascii="宋体" w:hAnsi="宋体" w:eastAsia="宋体" w:cs="宋体"/>
                <w:color w:val="auto"/>
                <w:spacing w:val="6"/>
                <w:sz w:val="24"/>
                <w:szCs w:val="24"/>
                <w:lang w:val="en-US" w:eastAsia="zh-CN"/>
              </w:rPr>
              <w:t>（三）检查项目内容一览表</w:t>
            </w:r>
          </w:p>
          <w:tbl>
            <w:tblPr>
              <w:tblStyle w:val="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382"/>
              <w:gridCol w:w="5101"/>
            </w:tblGrid>
            <w:tr w14:paraId="3F4696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19535DAF">
                  <w:pPr>
                    <w:pStyle w:val="10"/>
                    <w:spacing w:line="360" w:lineRule="auto"/>
                    <w:jc w:val="center"/>
                    <w:rPr>
                      <w:sz w:val="24"/>
                      <w:szCs w:val="24"/>
                    </w:rPr>
                  </w:pPr>
                  <w:r>
                    <w:rPr>
                      <w:sz w:val="24"/>
                      <w:szCs w:val="24"/>
                    </w:rPr>
                    <w:t>序号</w:t>
                  </w:r>
                </w:p>
              </w:tc>
              <w:tc>
                <w:tcPr>
                  <w:tcW w:w="13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785D91F3">
                  <w:pPr>
                    <w:pStyle w:val="10"/>
                    <w:spacing w:line="360" w:lineRule="auto"/>
                    <w:jc w:val="center"/>
                    <w:rPr>
                      <w:sz w:val="24"/>
                      <w:szCs w:val="24"/>
                    </w:rPr>
                  </w:pPr>
                  <w:r>
                    <w:rPr>
                      <w:rFonts w:hint="eastAsia"/>
                      <w:sz w:val="24"/>
                      <w:szCs w:val="24"/>
                      <w:lang w:val="en-US" w:eastAsia="zh-CN"/>
                    </w:rPr>
                    <w:t>检查</w:t>
                  </w:r>
                  <w:r>
                    <w:rPr>
                      <w:sz w:val="24"/>
                      <w:szCs w:val="24"/>
                    </w:rPr>
                    <w:t>项目</w:t>
                  </w:r>
                </w:p>
              </w:tc>
              <w:tc>
                <w:tcPr>
                  <w:tcW w:w="510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109BB429">
                  <w:pPr>
                    <w:pStyle w:val="10"/>
                    <w:spacing w:line="360" w:lineRule="auto"/>
                    <w:jc w:val="center"/>
                    <w:rPr>
                      <w:sz w:val="24"/>
                      <w:szCs w:val="24"/>
                    </w:rPr>
                  </w:pPr>
                  <w:r>
                    <w:rPr>
                      <w:sz w:val="24"/>
                      <w:szCs w:val="24"/>
                    </w:rPr>
                    <w:t>服务说明</w:t>
                  </w:r>
                </w:p>
              </w:tc>
            </w:tr>
            <w:tr w14:paraId="0E1F8B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4" w:type="dxa"/>
                  <w:tcBorders>
                    <w:top w:val="single" w:color="auto"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37FC49">
                  <w:pPr>
                    <w:pStyle w:val="10"/>
                    <w:spacing w:line="360" w:lineRule="auto"/>
                    <w:jc w:val="center"/>
                    <w:rPr>
                      <w:sz w:val="24"/>
                      <w:szCs w:val="24"/>
                    </w:rPr>
                  </w:pPr>
                  <w:r>
                    <w:rPr>
                      <w:sz w:val="24"/>
                      <w:szCs w:val="24"/>
                    </w:rPr>
                    <w:t>1</w:t>
                  </w:r>
                </w:p>
              </w:tc>
              <w:tc>
                <w:tcPr>
                  <w:tcW w:w="1382" w:type="dxa"/>
                  <w:tcBorders>
                    <w:top w:val="single" w:color="auto" w:sz="4" w:space="0"/>
                    <w:left w:val="nil"/>
                    <w:bottom w:val="single" w:color="000000" w:sz="4" w:space="0"/>
                    <w:right w:val="single" w:color="000000" w:sz="4" w:space="0"/>
                  </w:tcBorders>
                  <w:tcMar>
                    <w:top w:w="0" w:type="dxa"/>
                    <w:left w:w="105" w:type="dxa"/>
                    <w:bottom w:w="0" w:type="dxa"/>
                    <w:right w:w="105" w:type="dxa"/>
                  </w:tcMar>
                  <w:vAlign w:val="top"/>
                </w:tcPr>
                <w:p w14:paraId="2FAE50CB">
                  <w:pPr>
                    <w:pStyle w:val="10"/>
                    <w:spacing w:line="360" w:lineRule="auto"/>
                    <w:jc w:val="center"/>
                    <w:rPr>
                      <w:sz w:val="24"/>
                      <w:szCs w:val="24"/>
                    </w:rPr>
                  </w:pPr>
                  <w:r>
                    <w:rPr>
                      <w:rFonts w:hint="eastAsia"/>
                      <w:sz w:val="24"/>
                      <w:szCs w:val="24"/>
                    </w:rPr>
                    <w:t>体格检查</w:t>
                  </w:r>
                </w:p>
              </w:tc>
              <w:tc>
                <w:tcPr>
                  <w:tcW w:w="5101" w:type="dxa"/>
                  <w:tcBorders>
                    <w:top w:val="single" w:color="auto" w:sz="4" w:space="0"/>
                    <w:left w:val="nil"/>
                    <w:bottom w:val="single" w:color="000000" w:sz="4" w:space="0"/>
                    <w:right w:val="single" w:color="000000" w:sz="4" w:space="0"/>
                  </w:tcBorders>
                  <w:tcMar>
                    <w:top w:w="0" w:type="dxa"/>
                    <w:left w:w="105" w:type="dxa"/>
                    <w:bottom w:w="0" w:type="dxa"/>
                    <w:right w:w="105" w:type="dxa"/>
                  </w:tcMar>
                  <w:vAlign w:val="top"/>
                </w:tcPr>
                <w:p w14:paraId="5990F803">
                  <w:pPr>
                    <w:pStyle w:val="10"/>
                    <w:spacing w:line="360" w:lineRule="auto"/>
                    <w:jc w:val="left"/>
                    <w:rPr>
                      <w:sz w:val="24"/>
                      <w:szCs w:val="24"/>
                    </w:rPr>
                  </w:pPr>
                  <w:r>
                    <w:rPr>
                      <w:rFonts w:hint="eastAsia"/>
                      <w:sz w:val="24"/>
                      <w:szCs w:val="24"/>
                    </w:rPr>
                    <w:t>包括体温、脉搏、呼吸、血压、身高、体重、腰围、皮肤、浅表淋巴结、肺部、心脏、腹部等常规体格检查，并对口腔、视力、听力和运动功能等进行粗测判断，写总检报告</w:t>
                  </w:r>
                  <w:r>
                    <w:rPr>
                      <w:sz w:val="24"/>
                      <w:szCs w:val="24"/>
                    </w:rPr>
                    <w:t>。</w:t>
                  </w:r>
                </w:p>
              </w:tc>
            </w:tr>
            <w:tr w14:paraId="26F85F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E77091">
                  <w:pPr>
                    <w:pStyle w:val="10"/>
                    <w:spacing w:line="360" w:lineRule="auto"/>
                    <w:jc w:val="center"/>
                    <w:rPr>
                      <w:sz w:val="24"/>
                      <w:szCs w:val="24"/>
                    </w:rPr>
                  </w:pPr>
                  <w:r>
                    <w:rPr>
                      <w:sz w:val="24"/>
                      <w:szCs w:val="24"/>
                    </w:rPr>
                    <w:t>2</w:t>
                  </w:r>
                </w:p>
              </w:tc>
              <w:tc>
                <w:tcPr>
                  <w:tcW w:w="13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3F47BB">
                  <w:pPr>
                    <w:pStyle w:val="10"/>
                    <w:spacing w:line="360" w:lineRule="auto"/>
                    <w:jc w:val="center"/>
                    <w:rPr>
                      <w:sz w:val="24"/>
                      <w:szCs w:val="24"/>
                    </w:rPr>
                  </w:pPr>
                  <w:r>
                    <w:rPr>
                      <w:rFonts w:hint="eastAsia"/>
                      <w:sz w:val="24"/>
                      <w:szCs w:val="24"/>
                    </w:rPr>
                    <w:t>心电图</w:t>
                  </w:r>
                </w:p>
              </w:tc>
              <w:tc>
                <w:tcPr>
                  <w:tcW w:w="51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867EAA">
                  <w:pPr>
                    <w:pStyle w:val="10"/>
                    <w:spacing w:line="360" w:lineRule="auto"/>
                    <w:jc w:val="left"/>
                    <w:rPr>
                      <w:sz w:val="24"/>
                      <w:szCs w:val="24"/>
                    </w:rPr>
                  </w:pPr>
                  <w:r>
                    <w:rPr>
                      <w:rFonts w:hint="eastAsia"/>
                      <w:sz w:val="24"/>
                      <w:szCs w:val="24"/>
                    </w:rPr>
                    <w:t>指多通道、常规导联（十二导联）。</w:t>
                  </w:r>
                </w:p>
              </w:tc>
            </w:tr>
            <w:tr w14:paraId="44FF7E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EF954C">
                  <w:pPr>
                    <w:pStyle w:val="10"/>
                    <w:spacing w:line="360" w:lineRule="auto"/>
                    <w:jc w:val="center"/>
                    <w:rPr>
                      <w:sz w:val="24"/>
                      <w:szCs w:val="24"/>
                    </w:rPr>
                  </w:pPr>
                  <w:r>
                    <w:rPr>
                      <w:sz w:val="24"/>
                      <w:szCs w:val="24"/>
                    </w:rPr>
                    <w:t>3</w:t>
                  </w:r>
                </w:p>
              </w:tc>
              <w:tc>
                <w:tcPr>
                  <w:tcW w:w="13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732863">
                  <w:pPr>
                    <w:pStyle w:val="10"/>
                    <w:spacing w:line="360" w:lineRule="auto"/>
                    <w:jc w:val="center"/>
                    <w:rPr>
                      <w:sz w:val="24"/>
                      <w:szCs w:val="24"/>
                    </w:rPr>
                  </w:pPr>
                  <w:r>
                    <w:rPr>
                      <w:rFonts w:hint="eastAsia"/>
                      <w:sz w:val="24"/>
                      <w:szCs w:val="24"/>
                    </w:rPr>
                    <w:t>肝功三项</w:t>
                  </w:r>
                </w:p>
              </w:tc>
              <w:tc>
                <w:tcPr>
                  <w:tcW w:w="51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3D9069">
                  <w:pPr>
                    <w:pStyle w:val="10"/>
                    <w:spacing w:line="360" w:lineRule="auto"/>
                    <w:jc w:val="left"/>
                    <w:rPr>
                      <w:sz w:val="24"/>
                      <w:szCs w:val="24"/>
                    </w:rPr>
                  </w:pPr>
                  <w:r>
                    <w:rPr>
                      <w:rFonts w:hint="eastAsia"/>
                      <w:sz w:val="24"/>
                      <w:szCs w:val="24"/>
                    </w:rPr>
                    <w:t>血清总胆红素测定-酶促法，血清丙氨酸氨基转移酶测定-速率法，血清天门冬氨酸氨基转移酶测定-速率法。</w:t>
                  </w:r>
                </w:p>
              </w:tc>
            </w:tr>
            <w:tr w14:paraId="799380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DDEBB5">
                  <w:pPr>
                    <w:pStyle w:val="10"/>
                    <w:spacing w:line="360" w:lineRule="auto"/>
                    <w:jc w:val="center"/>
                    <w:rPr>
                      <w:sz w:val="24"/>
                      <w:szCs w:val="24"/>
                    </w:rPr>
                  </w:pPr>
                  <w:r>
                    <w:rPr>
                      <w:sz w:val="24"/>
                      <w:szCs w:val="24"/>
                    </w:rPr>
                    <w:t>4</w:t>
                  </w:r>
                </w:p>
              </w:tc>
              <w:tc>
                <w:tcPr>
                  <w:tcW w:w="13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0B6628">
                  <w:pPr>
                    <w:pStyle w:val="10"/>
                    <w:spacing w:line="360" w:lineRule="auto"/>
                    <w:jc w:val="center"/>
                    <w:rPr>
                      <w:sz w:val="24"/>
                      <w:szCs w:val="24"/>
                    </w:rPr>
                  </w:pPr>
                  <w:r>
                    <w:rPr>
                      <w:rFonts w:hint="eastAsia"/>
                      <w:sz w:val="24"/>
                      <w:szCs w:val="24"/>
                    </w:rPr>
                    <w:t>血常规</w:t>
                  </w:r>
                </w:p>
              </w:tc>
              <w:tc>
                <w:tcPr>
                  <w:tcW w:w="51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E0E334">
                  <w:pPr>
                    <w:pStyle w:val="10"/>
                    <w:spacing w:line="360" w:lineRule="auto"/>
                    <w:jc w:val="left"/>
                    <w:rPr>
                      <w:sz w:val="24"/>
                      <w:szCs w:val="24"/>
                    </w:rPr>
                  </w:pPr>
                  <w:r>
                    <w:rPr>
                      <w:rFonts w:hint="eastAsia"/>
                      <w:sz w:val="24"/>
                      <w:szCs w:val="24"/>
                    </w:rPr>
                    <w:t>血常规-五分类，含全血细胞计数。</w:t>
                  </w:r>
                </w:p>
              </w:tc>
            </w:tr>
            <w:tr w14:paraId="0F39D1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A3DF9A">
                  <w:pPr>
                    <w:pStyle w:val="10"/>
                    <w:spacing w:line="360" w:lineRule="auto"/>
                    <w:jc w:val="center"/>
                    <w:rPr>
                      <w:sz w:val="24"/>
                      <w:szCs w:val="24"/>
                    </w:rPr>
                  </w:pPr>
                  <w:r>
                    <w:rPr>
                      <w:sz w:val="24"/>
                      <w:szCs w:val="24"/>
                    </w:rPr>
                    <w:t>5</w:t>
                  </w:r>
                </w:p>
              </w:tc>
              <w:tc>
                <w:tcPr>
                  <w:tcW w:w="13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54F3A3">
                  <w:pPr>
                    <w:pStyle w:val="10"/>
                    <w:spacing w:line="360" w:lineRule="auto"/>
                    <w:jc w:val="center"/>
                    <w:rPr>
                      <w:sz w:val="24"/>
                      <w:szCs w:val="24"/>
                    </w:rPr>
                  </w:pPr>
                  <w:r>
                    <w:rPr>
                      <w:rFonts w:hint="eastAsia"/>
                      <w:sz w:val="24"/>
                      <w:szCs w:val="24"/>
                    </w:rPr>
                    <w:t>肾功两项</w:t>
                  </w:r>
                </w:p>
              </w:tc>
              <w:tc>
                <w:tcPr>
                  <w:tcW w:w="51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7B430F">
                  <w:pPr>
                    <w:pStyle w:val="10"/>
                    <w:spacing w:line="360" w:lineRule="auto"/>
                    <w:jc w:val="left"/>
                    <w:rPr>
                      <w:sz w:val="24"/>
                      <w:szCs w:val="24"/>
                    </w:rPr>
                  </w:pPr>
                  <w:r>
                    <w:rPr>
                      <w:rFonts w:hint="eastAsia"/>
                      <w:sz w:val="24"/>
                      <w:szCs w:val="24"/>
                    </w:rPr>
                    <w:t>尿素测定-酶促法，肌酐测定-酶促法。</w:t>
                  </w:r>
                </w:p>
              </w:tc>
            </w:tr>
            <w:tr w14:paraId="349A05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126A7E">
                  <w:pPr>
                    <w:pStyle w:val="10"/>
                    <w:spacing w:line="360" w:lineRule="auto"/>
                    <w:jc w:val="center"/>
                    <w:rPr>
                      <w:sz w:val="24"/>
                      <w:szCs w:val="24"/>
                    </w:rPr>
                  </w:pPr>
                  <w:r>
                    <w:rPr>
                      <w:sz w:val="24"/>
                      <w:szCs w:val="24"/>
                    </w:rPr>
                    <w:t>6</w:t>
                  </w:r>
                </w:p>
              </w:tc>
              <w:tc>
                <w:tcPr>
                  <w:tcW w:w="13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471625">
                  <w:pPr>
                    <w:pStyle w:val="10"/>
                    <w:spacing w:line="360" w:lineRule="auto"/>
                    <w:jc w:val="center"/>
                    <w:rPr>
                      <w:sz w:val="24"/>
                      <w:szCs w:val="24"/>
                    </w:rPr>
                  </w:pPr>
                  <w:r>
                    <w:rPr>
                      <w:rFonts w:hint="eastAsia"/>
                      <w:sz w:val="24"/>
                      <w:szCs w:val="24"/>
                    </w:rPr>
                    <w:t>血脂四项</w:t>
                  </w:r>
                </w:p>
              </w:tc>
              <w:tc>
                <w:tcPr>
                  <w:tcW w:w="51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3724D0">
                  <w:pPr>
                    <w:pStyle w:val="10"/>
                    <w:spacing w:line="360" w:lineRule="auto"/>
                    <w:jc w:val="left"/>
                    <w:rPr>
                      <w:sz w:val="24"/>
                      <w:szCs w:val="24"/>
                    </w:rPr>
                  </w:pPr>
                  <w:r>
                    <w:rPr>
                      <w:rFonts w:hint="eastAsia"/>
                      <w:sz w:val="24"/>
                      <w:szCs w:val="24"/>
                    </w:rPr>
                    <w:t>血清总胆固醇测定-酶法，血清甘油三酸测定-酶法，血清高密度脂蛋白胆固醇测定，血清低密度脂蛋白胆固醇测定。</w:t>
                  </w:r>
                </w:p>
              </w:tc>
            </w:tr>
            <w:tr w14:paraId="2F5B11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CE0CBD">
                  <w:pPr>
                    <w:pStyle w:val="10"/>
                    <w:spacing w:line="360" w:lineRule="auto"/>
                    <w:jc w:val="center"/>
                    <w:rPr>
                      <w:sz w:val="24"/>
                      <w:szCs w:val="24"/>
                    </w:rPr>
                  </w:pPr>
                  <w:r>
                    <w:rPr>
                      <w:sz w:val="24"/>
                      <w:szCs w:val="24"/>
                    </w:rPr>
                    <w:t>7</w:t>
                  </w:r>
                </w:p>
              </w:tc>
              <w:tc>
                <w:tcPr>
                  <w:tcW w:w="13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F97351">
                  <w:pPr>
                    <w:pStyle w:val="10"/>
                    <w:spacing w:line="360" w:lineRule="auto"/>
                    <w:jc w:val="center"/>
                    <w:rPr>
                      <w:sz w:val="24"/>
                      <w:szCs w:val="24"/>
                    </w:rPr>
                  </w:pPr>
                  <w:r>
                    <w:rPr>
                      <w:rFonts w:hint="eastAsia"/>
                      <w:sz w:val="24"/>
                      <w:szCs w:val="24"/>
                    </w:rPr>
                    <w:t>空腹血糖</w:t>
                  </w:r>
                </w:p>
              </w:tc>
              <w:tc>
                <w:tcPr>
                  <w:tcW w:w="51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F3E3A4">
                  <w:pPr>
                    <w:pStyle w:val="10"/>
                    <w:spacing w:line="360" w:lineRule="auto"/>
                    <w:jc w:val="left"/>
                    <w:rPr>
                      <w:sz w:val="24"/>
                      <w:szCs w:val="24"/>
                    </w:rPr>
                  </w:pPr>
                  <w:r>
                    <w:rPr>
                      <w:rFonts w:hint="eastAsia"/>
                      <w:sz w:val="24"/>
                      <w:szCs w:val="24"/>
                    </w:rPr>
                    <w:t>葡萄糖测定-各种酶法。</w:t>
                  </w:r>
                </w:p>
              </w:tc>
            </w:tr>
            <w:tr w14:paraId="548614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074D63">
                  <w:pPr>
                    <w:pStyle w:val="10"/>
                    <w:spacing w:line="360" w:lineRule="auto"/>
                    <w:jc w:val="center"/>
                    <w:rPr>
                      <w:sz w:val="24"/>
                      <w:szCs w:val="24"/>
                    </w:rPr>
                  </w:pPr>
                  <w:r>
                    <w:rPr>
                      <w:sz w:val="24"/>
                      <w:szCs w:val="24"/>
                    </w:rPr>
                    <w:t>8</w:t>
                  </w:r>
                </w:p>
              </w:tc>
              <w:tc>
                <w:tcPr>
                  <w:tcW w:w="13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B3DD0F">
                  <w:pPr>
                    <w:pStyle w:val="10"/>
                    <w:spacing w:line="360" w:lineRule="auto"/>
                    <w:jc w:val="center"/>
                    <w:rPr>
                      <w:sz w:val="24"/>
                      <w:szCs w:val="24"/>
                    </w:rPr>
                  </w:pPr>
                  <w:r>
                    <w:rPr>
                      <w:rFonts w:hint="eastAsia"/>
                      <w:sz w:val="24"/>
                      <w:szCs w:val="24"/>
                    </w:rPr>
                    <w:t>尿常规</w:t>
                  </w:r>
                </w:p>
              </w:tc>
              <w:tc>
                <w:tcPr>
                  <w:tcW w:w="51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F891F2">
                  <w:pPr>
                    <w:pStyle w:val="10"/>
                    <w:spacing w:line="360" w:lineRule="auto"/>
                    <w:jc w:val="left"/>
                    <w:rPr>
                      <w:sz w:val="24"/>
                      <w:szCs w:val="24"/>
                    </w:rPr>
                  </w:pPr>
                  <w:r>
                    <w:rPr>
                      <w:rFonts w:hint="eastAsia"/>
                      <w:sz w:val="24"/>
                      <w:szCs w:val="24"/>
                    </w:rPr>
                    <w:t>尿液分析（仪器法）。</w:t>
                  </w:r>
                </w:p>
              </w:tc>
            </w:tr>
            <w:tr w14:paraId="3276C0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8B6A30">
                  <w:pPr>
                    <w:pStyle w:val="10"/>
                    <w:spacing w:line="360" w:lineRule="auto"/>
                    <w:jc w:val="center"/>
                    <w:rPr>
                      <w:sz w:val="24"/>
                      <w:szCs w:val="24"/>
                    </w:rPr>
                  </w:pPr>
                  <w:r>
                    <w:rPr>
                      <w:sz w:val="24"/>
                      <w:szCs w:val="24"/>
                    </w:rPr>
                    <w:t>9</w:t>
                  </w:r>
                </w:p>
              </w:tc>
              <w:tc>
                <w:tcPr>
                  <w:tcW w:w="13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B675EB">
                  <w:pPr>
                    <w:pStyle w:val="10"/>
                    <w:spacing w:line="360" w:lineRule="auto"/>
                    <w:jc w:val="center"/>
                    <w:rPr>
                      <w:sz w:val="24"/>
                      <w:szCs w:val="24"/>
                    </w:rPr>
                  </w:pPr>
                  <w:r>
                    <w:rPr>
                      <w:rFonts w:hint="eastAsia"/>
                      <w:sz w:val="24"/>
                      <w:szCs w:val="24"/>
                    </w:rPr>
                    <w:t>肝胆脾胰彩超</w:t>
                  </w:r>
                </w:p>
              </w:tc>
              <w:tc>
                <w:tcPr>
                  <w:tcW w:w="51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2B9A18">
                  <w:pPr>
                    <w:pStyle w:val="10"/>
                    <w:spacing w:line="360" w:lineRule="auto"/>
                    <w:jc w:val="left"/>
                    <w:rPr>
                      <w:sz w:val="24"/>
                      <w:szCs w:val="24"/>
                    </w:rPr>
                  </w:pPr>
                  <w:r>
                    <w:rPr>
                      <w:rFonts w:hint="eastAsia"/>
                      <w:sz w:val="24"/>
                      <w:szCs w:val="24"/>
                    </w:rPr>
                    <w:t>超声计算机图文报告，彩色多普勒超声常规检查。</w:t>
                  </w:r>
                </w:p>
              </w:tc>
            </w:tr>
            <w:tr w14:paraId="2EC805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7C3792">
                  <w:pPr>
                    <w:pStyle w:val="10"/>
                    <w:spacing w:line="360" w:lineRule="auto"/>
                    <w:jc w:val="center"/>
                    <w:rPr>
                      <w:sz w:val="24"/>
                      <w:szCs w:val="24"/>
                    </w:rPr>
                  </w:pPr>
                  <w:r>
                    <w:rPr>
                      <w:sz w:val="24"/>
                      <w:szCs w:val="24"/>
                    </w:rPr>
                    <w:t>10</w:t>
                  </w:r>
                </w:p>
              </w:tc>
              <w:tc>
                <w:tcPr>
                  <w:tcW w:w="13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AF044A">
                  <w:pPr>
                    <w:pStyle w:val="10"/>
                    <w:spacing w:line="360" w:lineRule="auto"/>
                    <w:jc w:val="center"/>
                    <w:rPr>
                      <w:sz w:val="24"/>
                      <w:szCs w:val="24"/>
                    </w:rPr>
                  </w:pPr>
                  <w:r>
                    <w:rPr>
                      <w:rFonts w:hint="eastAsia"/>
                      <w:sz w:val="24"/>
                      <w:szCs w:val="24"/>
                    </w:rPr>
                    <w:t>抽血+</w:t>
                  </w:r>
                  <w:r>
                    <w:rPr>
                      <w:rFonts w:hint="eastAsia"/>
                      <w:sz w:val="24"/>
                      <w:szCs w:val="24"/>
                      <w:lang w:val="en-US" w:eastAsia="zh-CN"/>
                    </w:rPr>
                    <w:t>耗材</w:t>
                  </w:r>
                </w:p>
              </w:tc>
              <w:tc>
                <w:tcPr>
                  <w:tcW w:w="51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769B7A">
                  <w:pPr>
                    <w:pStyle w:val="10"/>
                    <w:spacing w:line="360" w:lineRule="auto"/>
                    <w:jc w:val="left"/>
                    <w:rPr>
                      <w:sz w:val="24"/>
                      <w:szCs w:val="24"/>
                    </w:rPr>
                  </w:pPr>
                  <w:r>
                    <w:rPr>
                      <w:rFonts w:hint="eastAsia"/>
                      <w:sz w:val="24"/>
                      <w:szCs w:val="24"/>
                    </w:rPr>
                    <w:t>静脉采血，EDTA采血管，3根真空采血管0.77*3管。</w:t>
                  </w:r>
                </w:p>
              </w:tc>
            </w:tr>
            <w:tr w14:paraId="776302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CEDD64">
                  <w:pPr>
                    <w:pStyle w:val="10"/>
                    <w:spacing w:line="360" w:lineRule="auto"/>
                    <w:jc w:val="center"/>
                    <w:rPr>
                      <w:sz w:val="24"/>
                      <w:szCs w:val="24"/>
                    </w:rPr>
                  </w:pPr>
                  <w:r>
                    <w:rPr>
                      <w:sz w:val="24"/>
                      <w:szCs w:val="24"/>
                    </w:rPr>
                    <w:t>11</w:t>
                  </w:r>
                </w:p>
              </w:tc>
              <w:tc>
                <w:tcPr>
                  <w:tcW w:w="138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9391C0">
                  <w:pPr>
                    <w:spacing w:line="360" w:lineRule="auto"/>
                    <w:jc w:val="center"/>
                    <w:rPr>
                      <w:sz w:val="24"/>
                      <w:szCs w:val="24"/>
                    </w:rPr>
                  </w:pPr>
                  <w:r>
                    <w:rPr>
                      <w:rFonts w:hint="eastAsia"/>
                      <w:sz w:val="24"/>
                      <w:szCs w:val="24"/>
                    </w:rPr>
                    <w:t>胸片</w:t>
                  </w:r>
                </w:p>
              </w:tc>
              <w:tc>
                <w:tcPr>
                  <w:tcW w:w="510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FC5119">
                  <w:pPr>
                    <w:spacing w:line="360" w:lineRule="auto"/>
                    <w:jc w:val="left"/>
                    <w:rPr>
                      <w:rFonts w:hint="eastAsia" w:eastAsia="宋体"/>
                      <w:sz w:val="24"/>
                      <w:szCs w:val="24"/>
                      <w:lang w:eastAsia="zh-CN"/>
                    </w:rPr>
                  </w:pPr>
                  <w:r>
                    <w:rPr>
                      <w:rFonts w:hint="eastAsia"/>
                      <w:sz w:val="24"/>
                      <w:szCs w:val="24"/>
                    </w:rPr>
                    <w:t>DR曝光一次正位，云胶片</w:t>
                  </w:r>
                  <w:r>
                    <w:rPr>
                      <w:rFonts w:hint="eastAsia"/>
                      <w:sz w:val="24"/>
                      <w:szCs w:val="24"/>
                      <w:lang w:eastAsia="zh-CN"/>
                    </w:rPr>
                    <w:t>。</w:t>
                  </w:r>
                </w:p>
              </w:tc>
            </w:tr>
          </w:tbl>
          <w:p w14:paraId="5901ED95">
            <w:pPr>
              <w:pStyle w:val="10"/>
              <w:spacing w:line="360" w:lineRule="auto"/>
              <w:rPr>
                <w:rFonts w:hint="default" w:ascii="宋体" w:hAnsi="宋体" w:eastAsia="宋体" w:cs="宋体"/>
                <w:sz w:val="24"/>
                <w:szCs w:val="24"/>
                <w:lang w:val="en-US" w:eastAsia="zh-CN"/>
              </w:rPr>
            </w:pPr>
          </w:p>
        </w:tc>
      </w:tr>
      <w:tr w14:paraId="26E7F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52" w:hRule="atLeast"/>
        </w:trPr>
        <w:tc>
          <w:tcPr>
            <w:tcW w:w="783" w:type="dxa"/>
          </w:tcPr>
          <w:p w14:paraId="0A37DF10">
            <w:pPr>
              <w:spacing w:line="360" w:lineRule="auto"/>
              <w:rPr>
                <w:rFonts w:hint="eastAsia" w:ascii="宋体" w:hAnsi="宋体" w:eastAsia="宋体" w:cs="宋体"/>
                <w:sz w:val="24"/>
                <w:szCs w:val="24"/>
              </w:rPr>
            </w:pPr>
          </w:p>
        </w:tc>
        <w:tc>
          <w:tcPr>
            <w:tcW w:w="550" w:type="dxa"/>
          </w:tcPr>
          <w:p w14:paraId="4BB79609">
            <w:pPr>
              <w:pStyle w:val="10"/>
              <w:spacing w:line="360" w:lineRule="auto"/>
              <w:rPr>
                <w:rFonts w:hint="eastAsia" w:ascii="宋体" w:hAnsi="宋体" w:eastAsia="宋体" w:cs="宋体"/>
                <w:sz w:val="24"/>
                <w:szCs w:val="24"/>
              </w:rPr>
            </w:pPr>
            <w:r>
              <w:rPr>
                <w:rFonts w:hint="eastAsia" w:ascii="宋体" w:hAnsi="宋体" w:eastAsia="宋体" w:cs="宋体"/>
                <w:sz w:val="24"/>
                <w:szCs w:val="24"/>
              </w:rPr>
              <w:t>3</w:t>
            </w:r>
          </w:p>
        </w:tc>
        <w:tc>
          <w:tcPr>
            <w:tcW w:w="7947" w:type="dxa"/>
          </w:tcPr>
          <w:p w14:paraId="6113242C">
            <w:pPr>
              <w:pStyle w:val="10"/>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三、服务费用</w:t>
            </w:r>
          </w:p>
          <w:p w14:paraId="59A27AEC">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（一）费用统计</w:t>
            </w:r>
          </w:p>
          <w:p w14:paraId="47758E2A">
            <w:pPr>
              <w:keepNext w:val="0"/>
              <w:keepLines w:val="0"/>
              <w:pageBreakBefore w:val="0"/>
              <w:widowControl w:val="0"/>
              <w:kinsoku/>
              <w:wordWrap/>
              <w:overflowPunct/>
              <w:topLinePunct w:val="0"/>
              <w:autoSpaceDE/>
              <w:autoSpaceDN/>
              <w:bidi w:val="0"/>
              <w:adjustRightInd w:val="0"/>
              <w:snapToGrid w:val="0"/>
              <w:spacing w:line="336" w:lineRule="auto"/>
              <w:ind w:firstLine="504" w:firstLineChars="200"/>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1.若服务对象未参与常规健康体检服务中两项及以上项目，则该例常规健康体检服务费用不予结算；若仅未参加常规健康体检服务中的一项项目，此例费用按照实际开展的项目进行结算。</w:t>
            </w:r>
          </w:p>
          <w:p w14:paraId="26B5E120">
            <w:pPr>
              <w:keepNext w:val="0"/>
              <w:keepLines w:val="0"/>
              <w:pageBreakBefore w:val="0"/>
              <w:widowControl w:val="0"/>
              <w:kinsoku/>
              <w:wordWrap/>
              <w:overflowPunct/>
              <w:topLinePunct w:val="0"/>
              <w:autoSpaceDE/>
              <w:autoSpaceDN/>
              <w:bidi w:val="0"/>
              <w:adjustRightInd w:val="0"/>
              <w:snapToGrid w:val="0"/>
              <w:spacing w:line="336" w:lineRule="auto"/>
              <w:ind w:firstLine="504" w:firstLineChars="200"/>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2.若服务对象仅参加胸部DR检查服务，而未参加常规健康体检时，该例的全部费用均不予结算。</w:t>
            </w:r>
          </w:p>
          <w:p w14:paraId="36D17B33">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lang w:val="en-US" w:eastAsia="zh-CN"/>
              </w:rPr>
              <w:t>（二）</w:t>
            </w:r>
            <w:r>
              <w:rPr>
                <w:rFonts w:hint="eastAsia" w:ascii="宋体" w:hAnsi="宋体" w:eastAsia="宋体" w:cs="宋体"/>
                <w:color w:val="auto"/>
                <w:spacing w:val="6"/>
                <w:sz w:val="24"/>
                <w:szCs w:val="24"/>
                <w:highlight w:val="none"/>
                <w:lang w:val="en-US" w:eastAsia="zh-CN"/>
              </w:rPr>
              <w:t>费用明细</w:t>
            </w:r>
          </w:p>
          <w:tbl>
            <w:tblPr>
              <w:tblStyle w:val="7"/>
              <w:tblpPr w:leftFromText="180" w:rightFromText="180" w:vertAnchor="text" w:horzAnchor="page" w:tblpX="256" w:tblpY="785"/>
              <w:tblOverlap w:val="never"/>
              <w:tblW w:w="477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914"/>
              <w:gridCol w:w="1537"/>
              <w:gridCol w:w="1003"/>
              <w:gridCol w:w="1017"/>
              <w:gridCol w:w="1172"/>
              <w:gridCol w:w="1155"/>
            </w:tblGrid>
            <w:tr w14:paraId="02EBD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trPr>
              <w:tc>
                <w:tcPr>
                  <w:tcW w:w="390" w:type="pct"/>
                  <w:vAlign w:val="center"/>
                </w:tcPr>
                <w:p w14:paraId="398F4A4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619" w:type="pct"/>
                  <w:vAlign w:val="center"/>
                </w:tcPr>
                <w:p w14:paraId="5EE6F36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服务内容</w:t>
                  </w:r>
                </w:p>
              </w:tc>
              <w:tc>
                <w:tcPr>
                  <w:tcW w:w="1042" w:type="pct"/>
                  <w:vAlign w:val="center"/>
                </w:tcPr>
                <w:p w14:paraId="4D72608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项目</w:t>
                  </w:r>
                </w:p>
              </w:tc>
              <w:tc>
                <w:tcPr>
                  <w:tcW w:w="680" w:type="pct"/>
                  <w:vAlign w:val="center"/>
                </w:tcPr>
                <w:p w14:paraId="53157C1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费用</w:t>
                  </w:r>
                </w:p>
                <w:p w14:paraId="071BFF9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（元/人）</w:t>
                  </w:r>
                </w:p>
              </w:tc>
              <w:tc>
                <w:tcPr>
                  <w:tcW w:w="689" w:type="pct"/>
                  <w:vAlign w:val="center"/>
                </w:tcPr>
                <w:p w14:paraId="30F19EF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合计</w:t>
                  </w:r>
                </w:p>
                <w:p w14:paraId="1C2CE26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（元）</w:t>
                  </w:r>
                </w:p>
              </w:tc>
              <w:tc>
                <w:tcPr>
                  <w:tcW w:w="794" w:type="pct"/>
                  <w:vAlign w:val="center"/>
                </w:tcPr>
                <w:p w14:paraId="420D801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预计</w:t>
                  </w:r>
                </w:p>
                <w:p w14:paraId="70C474B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工作量（人）</w:t>
                  </w:r>
                </w:p>
              </w:tc>
              <w:tc>
                <w:tcPr>
                  <w:tcW w:w="783" w:type="pct"/>
                  <w:vAlign w:val="center"/>
                </w:tcPr>
                <w:p w14:paraId="319C799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合计</w:t>
                  </w:r>
                </w:p>
                <w:p w14:paraId="3581E47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（元）</w:t>
                  </w:r>
                </w:p>
              </w:tc>
            </w:tr>
            <w:tr w14:paraId="5A7A0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390" w:type="pct"/>
                  <w:vMerge w:val="restart"/>
                  <w:vAlign w:val="center"/>
                </w:tcPr>
                <w:p w14:paraId="002718A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19" w:type="pct"/>
                  <w:vMerge w:val="restart"/>
                  <w:vAlign w:val="center"/>
                </w:tcPr>
                <w:p w14:paraId="1C27ABD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常规健康体检服务</w:t>
                  </w:r>
                </w:p>
              </w:tc>
              <w:tc>
                <w:tcPr>
                  <w:tcW w:w="1042" w:type="pct"/>
                  <w:vAlign w:val="center"/>
                </w:tcPr>
                <w:p w14:paraId="1E8B086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体格检查</w:t>
                  </w:r>
                </w:p>
              </w:tc>
              <w:tc>
                <w:tcPr>
                  <w:tcW w:w="680" w:type="pct"/>
                  <w:vAlign w:val="center"/>
                </w:tcPr>
                <w:p w14:paraId="0EF89CF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689" w:type="pct"/>
                  <w:vMerge w:val="restart"/>
                  <w:vAlign w:val="center"/>
                </w:tcPr>
                <w:p w14:paraId="444AC9F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245.91</w:t>
                  </w:r>
                </w:p>
              </w:tc>
              <w:tc>
                <w:tcPr>
                  <w:tcW w:w="794" w:type="pct"/>
                  <w:vMerge w:val="restart"/>
                  <w:vAlign w:val="center"/>
                </w:tcPr>
                <w:p w14:paraId="5A71689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4500</w:t>
                  </w:r>
                </w:p>
              </w:tc>
              <w:tc>
                <w:tcPr>
                  <w:tcW w:w="783" w:type="pct"/>
                  <w:vMerge w:val="restart"/>
                  <w:vAlign w:val="center"/>
                </w:tcPr>
                <w:p w14:paraId="2699987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1106595</w:t>
                  </w:r>
                </w:p>
              </w:tc>
            </w:tr>
            <w:tr w14:paraId="31514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390" w:type="pct"/>
                  <w:vMerge w:val="continue"/>
                  <w:vAlign w:val="center"/>
                </w:tcPr>
                <w:p w14:paraId="1AAB357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619" w:type="pct"/>
                  <w:vMerge w:val="continue"/>
                  <w:vAlign w:val="center"/>
                </w:tcPr>
                <w:p w14:paraId="0937913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1042" w:type="pct"/>
                  <w:vAlign w:val="center"/>
                </w:tcPr>
                <w:p w14:paraId="464B6DE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心电图</w:t>
                  </w:r>
                </w:p>
              </w:tc>
              <w:tc>
                <w:tcPr>
                  <w:tcW w:w="680" w:type="pct"/>
                  <w:vAlign w:val="center"/>
                </w:tcPr>
                <w:p w14:paraId="6DDE574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689" w:type="pct"/>
                  <w:vMerge w:val="continue"/>
                  <w:vAlign w:val="center"/>
                </w:tcPr>
                <w:p w14:paraId="66DD20C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794" w:type="pct"/>
                  <w:vMerge w:val="continue"/>
                  <w:vAlign w:val="center"/>
                </w:tcPr>
                <w:p w14:paraId="733F9C5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783" w:type="pct"/>
                  <w:vMerge w:val="continue"/>
                  <w:vAlign w:val="center"/>
                </w:tcPr>
                <w:p w14:paraId="12846CB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r>
            <w:tr w14:paraId="14A16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390" w:type="pct"/>
                  <w:vMerge w:val="continue"/>
                  <w:vAlign w:val="center"/>
                </w:tcPr>
                <w:p w14:paraId="3B18849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619" w:type="pct"/>
                  <w:vMerge w:val="continue"/>
                  <w:vAlign w:val="center"/>
                </w:tcPr>
                <w:p w14:paraId="06BDE98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1042" w:type="pct"/>
                  <w:vAlign w:val="center"/>
                </w:tcPr>
                <w:p w14:paraId="70B45FB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肝功</w:t>
                  </w: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项</w:t>
                  </w:r>
                </w:p>
              </w:tc>
              <w:tc>
                <w:tcPr>
                  <w:tcW w:w="680" w:type="pct"/>
                  <w:vAlign w:val="center"/>
                </w:tcPr>
                <w:p w14:paraId="680C4B6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12.3</w:t>
                  </w:r>
                </w:p>
              </w:tc>
              <w:tc>
                <w:tcPr>
                  <w:tcW w:w="689" w:type="pct"/>
                  <w:vMerge w:val="continue"/>
                  <w:vAlign w:val="center"/>
                </w:tcPr>
                <w:p w14:paraId="5B97F85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p>
              </w:tc>
              <w:tc>
                <w:tcPr>
                  <w:tcW w:w="794" w:type="pct"/>
                  <w:vMerge w:val="continue"/>
                  <w:vAlign w:val="center"/>
                </w:tcPr>
                <w:p w14:paraId="2FC591E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p>
              </w:tc>
              <w:tc>
                <w:tcPr>
                  <w:tcW w:w="783" w:type="pct"/>
                  <w:vMerge w:val="continue"/>
                  <w:vAlign w:val="center"/>
                </w:tcPr>
                <w:p w14:paraId="36EF1C5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p>
              </w:tc>
            </w:tr>
            <w:tr w14:paraId="444F6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390" w:type="pct"/>
                  <w:vMerge w:val="continue"/>
                  <w:vAlign w:val="center"/>
                </w:tcPr>
                <w:p w14:paraId="6C35A79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619" w:type="pct"/>
                  <w:vMerge w:val="continue"/>
                  <w:vAlign w:val="center"/>
                </w:tcPr>
                <w:p w14:paraId="7286FC0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1042" w:type="pct"/>
                  <w:vAlign w:val="center"/>
                </w:tcPr>
                <w:p w14:paraId="063A676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血常规</w:t>
                  </w:r>
                </w:p>
              </w:tc>
              <w:tc>
                <w:tcPr>
                  <w:tcW w:w="680" w:type="pct"/>
                  <w:vAlign w:val="center"/>
                </w:tcPr>
                <w:p w14:paraId="555BBAF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689" w:type="pct"/>
                  <w:vMerge w:val="continue"/>
                  <w:vAlign w:val="center"/>
                </w:tcPr>
                <w:p w14:paraId="1C5CF2A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794" w:type="pct"/>
                  <w:vMerge w:val="continue"/>
                  <w:vAlign w:val="center"/>
                </w:tcPr>
                <w:p w14:paraId="51E75A9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783" w:type="pct"/>
                  <w:vMerge w:val="continue"/>
                  <w:vAlign w:val="center"/>
                </w:tcPr>
                <w:p w14:paraId="57851D2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r>
            <w:tr w14:paraId="5BB8F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390" w:type="pct"/>
                  <w:vMerge w:val="continue"/>
                  <w:vAlign w:val="center"/>
                </w:tcPr>
                <w:p w14:paraId="01ACB3D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619" w:type="pct"/>
                  <w:vMerge w:val="continue"/>
                  <w:vAlign w:val="center"/>
                </w:tcPr>
                <w:p w14:paraId="34E5F65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1042" w:type="pct"/>
                  <w:vAlign w:val="center"/>
                </w:tcPr>
                <w:p w14:paraId="5214D77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肾功</w:t>
                  </w: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项</w:t>
                  </w:r>
                </w:p>
              </w:tc>
              <w:tc>
                <w:tcPr>
                  <w:tcW w:w="680" w:type="pct"/>
                  <w:vAlign w:val="center"/>
                </w:tcPr>
                <w:p w14:paraId="4B0AB0B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12.2</w:t>
                  </w:r>
                </w:p>
              </w:tc>
              <w:tc>
                <w:tcPr>
                  <w:tcW w:w="689" w:type="pct"/>
                  <w:vMerge w:val="continue"/>
                  <w:vAlign w:val="center"/>
                </w:tcPr>
                <w:p w14:paraId="5671791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p>
              </w:tc>
              <w:tc>
                <w:tcPr>
                  <w:tcW w:w="794" w:type="pct"/>
                  <w:vMerge w:val="continue"/>
                  <w:vAlign w:val="center"/>
                </w:tcPr>
                <w:p w14:paraId="51F66FF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p>
              </w:tc>
              <w:tc>
                <w:tcPr>
                  <w:tcW w:w="783" w:type="pct"/>
                  <w:vMerge w:val="continue"/>
                  <w:vAlign w:val="center"/>
                </w:tcPr>
                <w:p w14:paraId="47B2BDE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p>
              </w:tc>
            </w:tr>
            <w:tr w14:paraId="2A3E8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390" w:type="pct"/>
                  <w:vMerge w:val="continue"/>
                  <w:vAlign w:val="center"/>
                </w:tcPr>
                <w:p w14:paraId="62765DB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619" w:type="pct"/>
                  <w:vMerge w:val="continue"/>
                  <w:vAlign w:val="center"/>
                </w:tcPr>
                <w:p w14:paraId="5F204A3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1042" w:type="pct"/>
                  <w:vAlign w:val="center"/>
                </w:tcPr>
                <w:p w14:paraId="1ABB6FC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血脂四项</w:t>
                  </w:r>
                </w:p>
              </w:tc>
              <w:tc>
                <w:tcPr>
                  <w:tcW w:w="680" w:type="pct"/>
                  <w:vAlign w:val="center"/>
                </w:tcPr>
                <w:p w14:paraId="2719E29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25.6</w:t>
                  </w:r>
                </w:p>
              </w:tc>
              <w:tc>
                <w:tcPr>
                  <w:tcW w:w="689" w:type="pct"/>
                  <w:vMerge w:val="continue"/>
                  <w:vAlign w:val="center"/>
                </w:tcPr>
                <w:p w14:paraId="0E1DE74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794" w:type="pct"/>
                  <w:vMerge w:val="continue"/>
                  <w:vAlign w:val="center"/>
                </w:tcPr>
                <w:p w14:paraId="3935072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783" w:type="pct"/>
                  <w:vMerge w:val="continue"/>
                  <w:vAlign w:val="center"/>
                </w:tcPr>
                <w:p w14:paraId="5397258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r>
            <w:tr w14:paraId="2556F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390" w:type="pct"/>
                  <w:vMerge w:val="continue"/>
                  <w:vAlign w:val="center"/>
                </w:tcPr>
                <w:p w14:paraId="2A9FA05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619" w:type="pct"/>
                  <w:vMerge w:val="continue"/>
                  <w:vAlign w:val="center"/>
                </w:tcPr>
                <w:p w14:paraId="69F50DD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1042" w:type="pct"/>
                  <w:vAlign w:val="center"/>
                </w:tcPr>
                <w:p w14:paraId="6A9B00B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空腹血糖</w:t>
                  </w:r>
                </w:p>
              </w:tc>
              <w:tc>
                <w:tcPr>
                  <w:tcW w:w="680" w:type="pct"/>
                  <w:vAlign w:val="center"/>
                </w:tcPr>
                <w:p w14:paraId="74A0B4C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4.9</w:t>
                  </w:r>
                </w:p>
              </w:tc>
              <w:tc>
                <w:tcPr>
                  <w:tcW w:w="689" w:type="pct"/>
                  <w:vMerge w:val="continue"/>
                  <w:vAlign w:val="center"/>
                </w:tcPr>
                <w:p w14:paraId="70787A3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794" w:type="pct"/>
                  <w:vMerge w:val="continue"/>
                  <w:vAlign w:val="center"/>
                </w:tcPr>
                <w:p w14:paraId="261DF89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783" w:type="pct"/>
                  <w:vMerge w:val="continue"/>
                  <w:vAlign w:val="center"/>
                </w:tcPr>
                <w:p w14:paraId="3EBA3B4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r>
            <w:tr w14:paraId="7B4E3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390" w:type="pct"/>
                  <w:vMerge w:val="continue"/>
                  <w:vAlign w:val="center"/>
                </w:tcPr>
                <w:p w14:paraId="028C06A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619" w:type="pct"/>
                  <w:vMerge w:val="continue"/>
                  <w:vAlign w:val="center"/>
                </w:tcPr>
                <w:p w14:paraId="52F69F9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1042" w:type="pct"/>
                  <w:vAlign w:val="center"/>
                </w:tcPr>
                <w:p w14:paraId="0D986A4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尿常规</w:t>
                  </w:r>
                </w:p>
              </w:tc>
              <w:tc>
                <w:tcPr>
                  <w:tcW w:w="680" w:type="pct"/>
                  <w:vAlign w:val="center"/>
                </w:tcPr>
                <w:p w14:paraId="58CAC3F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7.4</w:t>
                  </w:r>
                </w:p>
              </w:tc>
              <w:tc>
                <w:tcPr>
                  <w:tcW w:w="689" w:type="pct"/>
                  <w:vMerge w:val="continue"/>
                  <w:vAlign w:val="center"/>
                </w:tcPr>
                <w:p w14:paraId="3D1C351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p>
              </w:tc>
              <w:tc>
                <w:tcPr>
                  <w:tcW w:w="794" w:type="pct"/>
                  <w:vMerge w:val="continue"/>
                  <w:vAlign w:val="center"/>
                </w:tcPr>
                <w:p w14:paraId="172FE0F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p>
              </w:tc>
              <w:tc>
                <w:tcPr>
                  <w:tcW w:w="783" w:type="pct"/>
                  <w:vMerge w:val="continue"/>
                  <w:vAlign w:val="center"/>
                </w:tcPr>
                <w:p w14:paraId="045079A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p>
              </w:tc>
            </w:tr>
            <w:tr w14:paraId="696B8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390" w:type="pct"/>
                  <w:vMerge w:val="continue"/>
                  <w:vAlign w:val="center"/>
                </w:tcPr>
                <w:p w14:paraId="386FA98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619" w:type="pct"/>
                  <w:vMerge w:val="continue"/>
                  <w:vAlign w:val="center"/>
                </w:tcPr>
                <w:p w14:paraId="04F0C63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1042" w:type="pct"/>
                  <w:vAlign w:val="center"/>
                </w:tcPr>
                <w:p w14:paraId="38133CD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肝胆脾胰彩超</w:t>
                  </w:r>
                </w:p>
              </w:tc>
              <w:tc>
                <w:tcPr>
                  <w:tcW w:w="680" w:type="pct"/>
                  <w:vAlign w:val="center"/>
                </w:tcPr>
                <w:p w14:paraId="6F8047A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113.2</w:t>
                  </w:r>
                </w:p>
              </w:tc>
              <w:tc>
                <w:tcPr>
                  <w:tcW w:w="689" w:type="pct"/>
                  <w:vMerge w:val="continue"/>
                  <w:vAlign w:val="center"/>
                </w:tcPr>
                <w:p w14:paraId="1D8FFFD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794" w:type="pct"/>
                  <w:vMerge w:val="continue"/>
                  <w:vAlign w:val="center"/>
                </w:tcPr>
                <w:p w14:paraId="46B1DD2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783" w:type="pct"/>
                  <w:vMerge w:val="continue"/>
                  <w:vAlign w:val="center"/>
                </w:tcPr>
                <w:p w14:paraId="1EA879D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r>
            <w:tr w14:paraId="76330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390" w:type="pct"/>
                  <w:vMerge w:val="continue"/>
                  <w:vAlign w:val="center"/>
                </w:tcPr>
                <w:p w14:paraId="4B44F06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619" w:type="pct"/>
                  <w:vMerge w:val="continue"/>
                  <w:vAlign w:val="center"/>
                </w:tcPr>
                <w:p w14:paraId="164407B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p>
              </w:tc>
              <w:tc>
                <w:tcPr>
                  <w:tcW w:w="1042" w:type="pct"/>
                  <w:vAlign w:val="center"/>
                </w:tcPr>
                <w:p w14:paraId="76C6C8A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抽血费+材料费</w:t>
                  </w:r>
                </w:p>
              </w:tc>
              <w:tc>
                <w:tcPr>
                  <w:tcW w:w="680" w:type="pct"/>
                  <w:vAlign w:val="center"/>
                </w:tcPr>
                <w:p w14:paraId="73BD54A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9.31</w:t>
                  </w:r>
                </w:p>
              </w:tc>
              <w:tc>
                <w:tcPr>
                  <w:tcW w:w="689" w:type="pct"/>
                  <w:vMerge w:val="continue"/>
                  <w:vAlign w:val="center"/>
                </w:tcPr>
                <w:p w14:paraId="5435FD5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p>
              </w:tc>
              <w:tc>
                <w:tcPr>
                  <w:tcW w:w="794" w:type="pct"/>
                  <w:vMerge w:val="continue"/>
                  <w:vAlign w:val="center"/>
                </w:tcPr>
                <w:p w14:paraId="50CBDFE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p>
              </w:tc>
              <w:tc>
                <w:tcPr>
                  <w:tcW w:w="783" w:type="pct"/>
                  <w:vMerge w:val="continue"/>
                  <w:vAlign w:val="center"/>
                </w:tcPr>
                <w:p w14:paraId="7C3CCA4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p>
              </w:tc>
            </w:tr>
            <w:tr w14:paraId="116AC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390" w:type="pct"/>
                  <w:vMerge w:val="restart"/>
                  <w:vAlign w:val="center"/>
                </w:tcPr>
                <w:p w14:paraId="6BECCC7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619" w:type="pct"/>
                  <w:vMerge w:val="restart"/>
                  <w:vAlign w:val="center"/>
                </w:tcPr>
                <w:p w14:paraId="2D50369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选做服务</w:t>
                  </w:r>
                </w:p>
              </w:tc>
              <w:tc>
                <w:tcPr>
                  <w:tcW w:w="1042" w:type="pct"/>
                  <w:vAlign w:val="center"/>
                </w:tcPr>
                <w:p w14:paraId="5E66318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胸部DR检查</w:t>
                  </w:r>
                </w:p>
              </w:tc>
              <w:tc>
                <w:tcPr>
                  <w:tcW w:w="680" w:type="pct"/>
                  <w:vAlign w:val="center"/>
                </w:tcPr>
                <w:p w14:paraId="0DF43CE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59.6</w:t>
                  </w:r>
                </w:p>
              </w:tc>
              <w:tc>
                <w:tcPr>
                  <w:tcW w:w="689" w:type="pct"/>
                  <w:vAlign w:val="center"/>
                </w:tcPr>
                <w:p w14:paraId="3031CF8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kern w:val="0"/>
                      <w:sz w:val="24"/>
                      <w:szCs w:val="24"/>
                      <w:highlight w:val="none"/>
                      <w:lang w:val="en-US" w:eastAsia="zh-CN"/>
                    </w:rPr>
                    <w:t>59.6</w:t>
                  </w:r>
                </w:p>
              </w:tc>
              <w:tc>
                <w:tcPr>
                  <w:tcW w:w="794" w:type="pct"/>
                  <w:vAlign w:val="center"/>
                </w:tcPr>
                <w:p w14:paraId="71967CD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4500</w:t>
                  </w:r>
                </w:p>
              </w:tc>
              <w:tc>
                <w:tcPr>
                  <w:tcW w:w="783" w:type="pct"/>
                  <w:vAlign w:val="center"/>
                </w:tcPr>
                <w:p w14:paraId="449A994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268200</w:t>
                  </w:r>
                </w:p>
              </w:tc>
            </w:tr>
            <w:tr w14:paraId="56C50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216" w:type="pct"/>
                  <w:gridSpan w:val="6"/>
                  <w:vAlign w:val="center"/>
                </w:tcPr>
                <w:p w14:paraId="1BA6486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合计（元）</w:t>
                  </w:r>
                </w:p>
              </w:tc>
              <w:tc>
                <w:tcPr>
                  <w:tcW w:w="783" w:type="pct"/>
                  <w:vAlign w:val="center"/>
                </w:tcPr>
                <w:p w14:paraId="01BECA8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1374795</w:t>
                  </w:r>
                </w:p>
              </w:tc>
            </w:tr>
            <w:tr w14:paraId="0EB84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5000" w:type="pct"/>
                  <w:gridSpan w:val="7"/>
                  <w:vAlign w:val="center"/>
                </w:tcPr>
                <w:p w14:paraId="2A6564EE">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备注：以上费用含税。</w:t>
                  </w:r>
                </w:p>
              </w:tc>
            </w:tr>
          </w:tbl>
          <w:p w14:paraId="20212BAF">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eastAsia="宋体" w:cs="宋体"/>
                <w:color w:val="auto"/>
                <w:spacing w:val="6"/>
                <w:sz w:val="24"/>
                <w:szCs w:val="24"/>
                <w:lang w:val="en-US" w:eastAsia="zh-CN"/>
              </w:rPr>
            </w:pPr>
          </w:p>
          <w:p w14:paraId="71BDBBF6">
            <w:pPr>
              <w:pStyle w:val="10"/>
              <w:numPr>
                <w:ilvl w:val="0"/>
                <w:numId w:val="0"/>
              </w:numPr>
              <w:spacing w:line="360" w:lineRule="auto"/>
              <w:rPr>
                <w:rFonts w:hint="eastAsia" w:ascii="宋体" w:hAnsi="宋体" w:eastAsia="宋体" w:cs="宋体"/>
                <w:b/>
                <w:bCs/>
                <w:sz w:val="24"/>
                <w:szCs w:val="24"/>
                <w:lang w:val="en-US" w:eastAsia="zh-CN"/>
              </w:rPr>
            </w:pPr>
          </w:p>
        </w:tc>
      </w:tr>
      <w:tr w14:paraId="0759C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trPr>
        <w:tc>
          <w:tcPr>
            <w:tcW w:w="783" w:type="dxa"/>
          </w:tcPr>
          <w:p w14:paraId="5851F7AC">
            <w:pPr>
              <w:spacing w:line="360" w:lineRule="auto"/>
              <w:rPr>
                <w:rFonts w:hint="eastAsia" w:ascii="宋体" w:hAnsi="宋体" w:eastAsia="宋体" w:cs="宋体"/>
                <w:sz w:val="24"/>
                <w:szCs w:val="24"/>
              </w:rPr>
            </w:pPr>
          </w:p>
        </w:tc>
        <w:tc>
          <w:tcPr>
            <w:tcW w:w="550" w:type="dxa"/>
          </w:tcPr>
          <w:p w14:paraId="174A578A">
            <w:pPr>
              <w:pStyle w:val="1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947" w:type="dxa"/>
          </w:tcPr>
          <w:p w14:paraId="24C76155">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sz w:val="24"/>
                <w:szCs w:val="24"/>
                <w:lang w:val="en-US" w:eastAsia="zh-CN"/>
              </w:rPr>
              <w:t>四、工作要求</w:t>
            </w:r>
            <w:r>
              <w:rPr>
                <w:rFonts w:hint="eastAsia" w:ascii="宋体" w:hAnsi="宋体" w:eastAsia="宋体" w:cs="宋体"/>
                <w:sz w:val="24"/>
                <w:szCs w:val="24"/>
                <w:lang w:val="en-US" w:eastAsia="zh-CN"/>
              </w:rPr>
              <w:br w:type="textWrapping"/>
            </w:r>
            <w:r>
              <w:rPr>
                <w:rFonts w:hint="eastAsia" w:ascii="宋体" w:hAnsi="宋体" w:eastAsia="宋体" w:cs="宋体"/>
                <w:color w:val="auto"/>
                <w:sz w:val="24"/>
                <w:szCs w:val="24"/>
                <w:lang w:val="en-US" w:eastAsia="zh-CN"/>
              </w:rPr>
              <w:t>（一）体检准备</w:t>
            </w:r>
          </w:p>
          <w:p w14:paraId="0701FFF4">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成交供应商需根据采购人需求，制定详细、科学的体检方案，包括但不限于体检项目安排、时间规划、人员调配等，并报采购人审核通过。相关检查项目的工作人员须由具备该工作岗位相匹配资格的医护人员操作，并将其相关资格证交给采购人备案。</w:t>
            </w:r>
          </w:p>
          <w:p w14:paraId="148ABE2F">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2.成交供应商须提前准备好体检所需的设备、器材和物资，确保设备性能良好、器材齐全、物资充足。</w:t>
            </w:r>
          </w:p>
          <w:p w14:paraId="5347F70B">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（二）体检现场</w:t>
            </w:r>
          </w:p>
          <w:p w14:paraId="37B4D0AD">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体检场地的选择确定及布置。前期由采购人协助成交供应商初步确定固定体检场所和流动体检场所，按照选址由成交供应商根据现场实地勘查的情况提前将设备布置到位。未经采购人同意，体检现场不得出现有关成交供应商的任何宣传标语及广告内容。</w:t>
            </w:r>
          </w:p>
          <w:p w14:paraId="5B0CE138">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成交供应商需提供齐全的体检物资设备和充足的工作人员，保证体检现场顺利进行，不得出现长时间的排队等待现象。每天体检工作结束后，成交供应商需及时向采购人反馈当日体检人次、名单以及体检项目清单。</w:t>
            </w:r>
          </w:p>
          <w:p w14:paraId="4DD41803">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生物样本（血液、尿液等）需严格按照规范贮存运送，及时检验，不得造假。如采购人发现成交供应商存在伪造检验结果的情形，采购人有权扣罚成交供应商已结算总款的20％作为违约金并追究因成交供应商违约行为而造成的法律责任。</w:t>
            </w:r>
          </w:p>
          <w:p w14:paraId="153ECFEC">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4.如果出现重大意外，供应商在接到采购人通知后，可在30分钟内响应，并安排急救车到达现场抢救。</w:t>
            </w:r>
          </w:p>
          <w:p w14:paraId="7D5924B5">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（三）体检报告与后续服务</w:t>
            </w:r>
          </w:p>
          <w:p w14:paraId="316AD381">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1.成交供应商需在体检之日起 15日内出具体检报告，及时通知采购人前往领取报告。纸质版体检报告要求两份，一份为体检报告，一份为体检报告和理化检验单复印件。同时体检报告系统需开放权限供采购人查验。如成交供应商未能提供体检报告的，该份体检视为无效。</w:t>
            </w:r>
          </w:p>
          <w:p w14:paraId="1535E71D">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2.成交供应商需在检查结果出现危急值后30分钟内通知采购人及服务对象，与服务对象核实情况，根据对象实际情况提供专业健康指导建议，并做好记录和协调工作。</w:t>
            </w:r>
          </w:p>
          <w:p w14:paraId="20E2E126">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3.成交供应商应针对检后出现特殊或重大健康问题的对象，提供就诊的绿色通道，协助安排转诊、会诊等医疗服务。</w:t>
            </w:r>
          </w:p>
          <w:p w14:paraId="0FD0AF15">
            <w:pPr>
              <w:pStyle w:val="10"/>
              <w:spacing w:line="360" w:lineRule="auto"/>
              <w:rPr>
                <w:rFonts w:hint="default" w:ascii="宋体" w:hAnsi="宋体" w:eastAsia="宋体" w:cs="宋体"/>
                <w:sz w:val="24"/>
                <w:szCs w:val="24"/>
                <w:lang w:val="en-US" w:eastAsia="zh-CN"/>
              </w:rPr>
            </w:pPr>
          </w:p>
        </w:tc>
      </w:tr>
      <w:tr w14:paraId="69EAC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67" w:hRule="atLeast"/>
        </w:trPr>
        <w:tc>
          <w:tcPr>
            <w:tcW w:w="783" w:type="dxa"/>
          </w:tcPr>
          <w:p w14:paraId="4A49CDD5">
            <w:pPr>
              <w:spacing w:line="360" w:lineRule="auto"/>
              <w:rPr>
                <w:rFonts w:hint="eastAsia" w:ascii="宋体" w:hAnsi="宋体" w:eastAsia="宋体" w:cs="宋体"/>
                <w:sz w:val="24"/>
                <w:szCs w:val="24"/>
              </w:rPr>
            </w:pPr>
          </w:p>
        </w:tc>
        <w:tc>
          <w:tcPr>
            <w:tcW w:w="550" w:type="dxa"/>
          </w:tcPr>
          <w:p w14:paraId="4403930A">
            <w:pPr>
              <w:pStyle w:val="1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947" w:type="dxa"/>
          </w:tcPr>
          <w:p w14:paraId="75C4E7D5">
            <w:pPr>
              <w:pStyle w:val="10"/>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五、考核办法</w:t>
            </w:r>
          </w:p>
          <w:p w14:paraId="2D20B45B">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（一）考核周期</w:t>
            </w:r>
          </w:p>
          <w:p w14:paraId="57CE8BDC">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采购人定期组织验收小组对成交供应商的服务质量进行评价考核。</w:t>
            </w:r>
          </w:p>
          <w:p w14:paraId="1767E98F">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（二）考核标准</w:t>
            </w:r>
          </w:p>
          <w:p w14:paraId="40AE23AB">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南头镇辖区内65岁及以上老年人常规健康体检的目标人数为4500人。成交供应商应按照本项目采购需求约定的服务内容、标准及工作要求开展服务，考核指标包括服务数量、服务质量、服务满意度等关键维度，具体考核细则详见附件《南头镇老年人健康管理项目服务质量评价考核表》。</w:t>
            </w:r>
          </w:p>
          <w:p w14:paraId="5BA45624">
            <w:pPr>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（三）考核流程</w:t>
            </w:r>
          </w:p>
          <w:p w14:paraId="14B98DCD">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1.成交供应商接到采购人验收通知，整理当前工作量</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内容</w:t>
            </w:r>
            <w:r>
              <w:rPr>
                <w:rFonts w:hint="default" w:ascii="宋体" w:hAnsi="宋体" w:eastAsia="宋体" w:cs="宋体"/>
                <w:color w:val="auto"/>
                <w:sz w:val="24"/>
                <w:szCs w:val="24"/>
                <w:lang w:val="en-US" w:eastAsia="zh-CN"/>
              </w:rPr>
              <w:t>包括服务人数、服务过程记录、体检结果汇总等资料。​</w:t>
            </w:r>
          </w:p>
          <w:p w14:paraId="70C797AD">
            <w:pPr>
              <w:spacing w:line="360" w:lineRule="auto"/>
              <w:ind w:firstLine="240" w:firstLineChars="100"/>
              <w:rPr>
                <w:rFonts w:hint="eastAsia" w:ascii="宋体" w:hAnsi="宋体" w:eastAsia="宋体" w:cs="宋体"/>
                <w:b w:val="0"/>
                <w:bCs/>
                <w:color w:val="000000"/>
                <w:kern w:val="0"/>
                <w:sz w:val="24"/>
                <w:szCs w:val="24"/>
                <w:lang w:val="en-US" w:eastAsia="zh-CN" w:bidi="ar"/>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验收小组依据评价考核表，通过查阅资料、实地走访、回访服务对象等方式进行考核。</w:t>
            </w:r>
            <w:r>
              <w:rPr>
                <w:rFonts w:hint="default"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（四）附件：《南头镇老年人健康管理项目服务质量评价考核表》（本表仅供参考，采购人可根据项目实际情况进行调整修改。）</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000000"/>
                <w:kern w:val="0"/>
                <w:sz w:val="24"/>
                <w:szCs w:val="24"/>
                <w:lang w:val="en-US" w:eastAsia="zh-CN" w:bidi="ar"/>
              </w:rPr>
              <w:t>南头镇老年人健康管理项目服务质量评价考核表</w:t>
            </w:r>
            <w:r>
              <w:rPr>
                <w:rFonts w:hint="eastAsia" w:ascii="方正小标宋_GBK" w:hAnsi="方正小标宋_GBK" w:eastAsia="方正小标宋_GBK" w:cs="方正小标宋_GBK"/>
                <w:color w:val="000000"/>
                <w:kern w:val="0"/>
                <w:sz w:val="28"/>
                <w:szCs w:val="28"/>
                <w:lang w:val="en-US" w:eastAsia="zh-CN" w:bidi="ar"/>
              </w:rPr>
              <w:br w:type="textWrapping"/>
            </w:r>
            <w:r>
              <w:rPr>
                <w:rFonts w:hint="eastAsia" w:ascii="宋体" w:hAnsi="宋体" w:eastAsia="宋体" w:cs="宋体"/>
                <w:b w:val="0"/>
                <w:bCs/>
                <w:sz w:val="24"/>
                <w:szCs w:val="24"/>
              </w:rPr>
              <w:t>机构名称：</w:t>
            </w:r>
          </w:p>
          <w:tbl>
            <w:tblPr>
              <w:tblStyle w:val="6"/>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840"/>
              <w:gridCol w:w="528"/>
              <w:gridCol w:w="3907"/>
              <w:gridCol w:w="1191"/>
              <w:gridCol w:w="607"/>
            </w:tblGrid>
            <w:tr w14:paraId="5DFC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blHeader/>
                <w:jc w:val="center"/>
              </w:trPr>
              <w:tc>
                <w:tcPr>
                  <w:tcW w:w="1164" w:type="dxa"/>
                  <w:shd w:val="clear" w:color="auto" w:fill="auto"/>
                  <w:vAlign w:val="center"/>
                </w:tcPr>
                <w:p w14:paraId="07EB256F">
                  <w:pPr>
                    <w:widowControl/>
                    <w:spacing w:line="36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i w:val="0"/>
                      <w:iCs w:val="0"/>
                      <w:color w:val="auto"/>
                      <w:kern w:val="0"/>
                      <w:sz w:val="24"/>
                      <w:szCs w:val="24"/>
                      <w:u w:val="none"/>
                      <w:lang w:val="en-US" w:eastAsia="zh-CN" w:bidi="ar"/>
                    </w:rPr>
                    <w:t>指标</w:t>
                  </w:r>
                </w:p>
              </w:tc>
              <w:tc>
                <w:tcPr>
                  <w:tcW w:w="840" w:type="dxa"/>
                  <w:shd w:val="clear" w:color="auto" w:fill="auto"/>
                  <w:vAlign w:val="center"/>
                </w:tcPr>
                <w:p w14:paraId="27A85494">
                  <w:pPr>
                    <w:widowControl/>
                    <w:spacing w:line="36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i w:val="0"/>
                      <w:iCs w:val="0"/>
                      <w:color w:val="auto"/>
                      <w:kern w:val="0"/>
                      <w:sz w:val="24"/>
                      <w:szCs w:val="24"/>
                      <w:u w:val="none"/>
                      <w:lang w:val="en-US" w:eastAsia="zh-CN" w:bidi="ar"/>
                    </w:rPr>
                    <w:t>评价</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内容</w:t>
                  </w:r>
                </w:p>
              </w:tc>
              <w:tc>
                <w:tcPr>
                  <w:tcW w:w="528" w:type="dxa"/>
                  <w:shd w:val="clear" w:color="auto" w:fill="auto"/>
                  <w:vAlign w:val="center"/>
                </w:tcPr>
                <w:p w14:paraId="4F7FC4EA">
                  <w:pPr>
                    <w:widowControl/>
                    <w:spacing w:line="360" w:lineRule="auto"/>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分值</w:t>
                  </w:r>
                </w:p>
              </w:tc>
              <w:tc>
                <w:tcPr>
                  <w:tcW w:w="3907" w:type="dxa"/>
                  <w:shd w:val="clear" w:color="auto" w:fill="auto"/>
                  <w:vAlign w:val="center"/>
                </w:tcPr>
                <w:p w14:paraId="41C2FB2C">
                  <w:pPr>
                    <w:widowControl/>
                    <w:spacing w:line="36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i w:val="0"/>
                      <w:iCs w:val="0"/>
                      <w:color w:val="auto"/>
                      <w:kern w:val="0"/>
                      <w:sz w:val="24"/>
                      <w:szCs w:val="24"/>
                      <w:u w:val="none"/>
                      <w:lang w:val="en-US" w:eastAsia="zh-CN" w:bidi="ar"/>
                    </w:rPr>
                    <w:t>评价方法</w:t>
                  </w:r>
                </w:p>
              </w:tc>
              <w:tc>
                <w:tcPr>
                  <w:tcW w:w="1191" w:type="dxa"/>
                  <w:shd w:val="clear" w:color="auto" w:fill="auto"/>
                  <w:vAlign w:val="center"/>
                </w:tcPr>
                <w:p w14:paraId="5623C358">
                  <w:pPr>
                    <w:widowControl/>
                    <w:spacing w:line="36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i w:val="0"/>
                      <w:iCs w:val="0"/>
                      <w:color w:val="auto"/>
                      <w:kern w:val="0"/>
                      <w:sz w:val="24"/>
                      <w:szCs w:val="24"/>
                      <w:u w:val="none"/>
                      <w:lang w:val="en-US" w:eastAsia="zh-CN" w:bidi="ar"/>
                    </w:rPr>
                    <w:t>评价</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记录</w:t>
                  </w:r>
                </w:p>
              </w:tc>
              <w:tc>
                <w:tcPr>
                  <w:tcW w:w="607" w:type="dxa"/>
                  <w:shd w:val="clear" w:color="auto" w:fill="auto"/>
                  <w:vAlign w:val="center"/>
                </w:tcPr>
                <w:p w14:paraId="2D2AC755">
                  <w:pPr>
                    <w:widowControl/>
                    <w:spacing w:line="360" w:lineRule="auto"/>
                    <w:jc w:val="center"/>
                    <w:textAlignment w:val="center"/>
                    <w:rPr>
                      <w:rFonts w:hint="eastAsia" w:ascii="宋体" w:hAnsi="宋体" w:eastAsia="宋体" w:cs="宋体"/>
                      <w:b/>
                      <w:bCs/>
                      <w:color w:val="auto"/>
                      <w:kern w:val="0"/>
                      <w:sz w:val="24"/>
                      <w:szCs w:val="24"/>
                      <w:lang w:bidi="ar"/>
                    </w:rPr>
                  </w:pPr>
                  <w:r>
                    <w:rPr>
                      <w:rFonts w:hint="eastAsia" w:ascii="宋体" w:hAnsi="宋体" w:eastAsia="宋体" w:cs="宋体"/>
                      <w:b/>
                      <w:bCs/>
                      <w:color w:val="auto"/>
                      <w:kern w:val="0"/>
                      <w:sz w:val="24"/>
                      <w:szCs w:val="24"/>
                      <w:lang w:bidi="ar"/>
                    </w:rPr>
                    <w:t>得分</w:t>
                  </w:r>
                </w:p>
              </w:tc>
            </w:tr>
            <w:tr w14:paraId="6C9E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jc w:val="center"/>
              </w:trPr>
              <w:tc>
                <w:tcPr>
                  <w:tcW w:w="1164" w:type="dxa"/>
                  <w:shd w:val="clear" w:color="auto" w:fill="auto"/>
                  <w:vAlign w:val="center"/>
                </w:tcPr>
                <w:p w14:paraId="7F9442D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服务</w:t>
                  </w:r>
                  <w:r>
                    <w:rPr>
                      <w:rFonts w:hint="eastAsia" w:ascii="宋体" w:hAnsi="宋体" w:eastAsia="宋体" w:cs="宋体"/>
                      <w:color w:val="auto"/>
                      <w:kern w:val="0"/>
                      <w:sz w:val="24"/>
                      <w:szCs w:val="24"/>
                      <w:lang w:val="en-US" w:eastAsia="zh-CN" w:bidi="ar"/>
                    </w:rPr>
                    <w:br w:type="textWrapping"/>
                  </w:r>
                  <w:r>
                    <w:rPr>
                      <w:rFonts w:hint="eastAsia" w:ascii="宋体" w:hAnsi="宋体" w:eastAsia="宋体" w:cs="宋体"/>
                      <w:color w:val="auto"/>
                      <w:kern w:val="0"/>
                      <w:sz w:val="24"/>
                      <w:szCs w:val="24"/>
                      <w:lang w:val="en-US" w:eastAsia="zh-CN" w:bidi="ar"/>
                    </w:rPr>
                    <w:t>数量</w:t>
                  </w:r>
                </w:p>
                <w:p w14:paraId="3ACCB277">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（20分</w:t>
                  </w:r>
                  <w:r>
                    <w:rPr>
                      <w:rFonts w:hint="eastAsia" w:ascii="宋体" w:hAnsi="宋体" w:eastAsia="宋体" w:cs="宋体"/>
                      <w:color w:val="auto"/>
                      <w:kern w:val="0"/>
                      <w:sz w:val="24"/>
                      <w:szCs w:val="24"/>
                      <w:lang w:eastAsia="zh-CN" w:bidi="ar"/>
                    </w:rPr>
                    <w:t>）</w:t>
                  </w:r>
                </w:p>
              </w:tc>
              <w:tc>
                <w:tcPr>
                  <w:tcW w:w="840" w:type="dxa"/>
                  <w:shd w:val="clear" w:color="auto" w:fill="auto"/>
                  <w:vAlign w:val="center"/>
                </w:tcPr>
                <w:p w14:paraId="4EB0750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vertAlign w:val="baseline"/>
                      <w:lang w:val="en-US" w:eastAsia="zh-CN"/>
                    </w:rPr>
                    <w:t>体检</w:t>
                  </w:r>
                  <w:r>
                    <w:rPr>
                      <w:rFonts w:hint="eastAsia" w:ascii="宋体" w:hAnsi="宋体" w:eastAsia="宋体" w:cs="宋体"/>
                      <w:b w:val="0"/>
                      <w:bCs w:val="0"/>
                      <w:color w:val="auto"/>
                      <w:sz w:val="24"/>
                      <w:szCs w:val="24"/>
                      <w:highlight w:val="none"/>
                      <w:vertAlign w:val="baseline"/>
                      <w:lang w:val="en-US" w:eastAsia="zh-CN"/>
                    </w:rPr>
                    <w:br w:type="textWrapping"/>
                  </w:r>
                  <w:r>
                    <w:rPr>
                      <w:rFonts w:hint="eastAsia" w:ascii="宋体" w:hAnsi="宋体" w:eastAsia="宋体" w:cs="宋体"/>
                      <w:b w:val="0"/>
                      <w:bCs w:val="0"/>
                      <w:color w:val="auto"/>
                      <w:sz w:val="24"/>
                      <w:szCs w:val="24"/>
                      <w:highlight w:val="none"/>
                      <w:vertAlign w:val="baseline"/>
                    </w:rPr>
                    <w:t>数量</w:t>
                  </w:r>
                </w:p>
              </w:tc>
              <w:tc>
                <w:tcPr>
                  <w:tcW w:w="528" w:type="dxa"/>
                  <w:shd w:val="clear" w:color="auto" w:fill="auto"/>
                  <w:vAlign w:val="center"/>
                </w:tcPr>
                <w:p w14:paraId="127CD61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20</w:t>
                  </w:r>
                </w:p>
              </w:tc>
              <w:tc>
                <w:tcPr>
                  <w:tcW w:w="3907" w:type="dxa"/>
                  <w:shd w:val="clear" w:color="auto" w:fill="auto"/>
                  <w:vAlign w:val="center"/>
                </w:tcPr>
                <w:p w14:paraId="0665197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查阅服务台账，</w:t>
                  </w:r>
                  <w:r>
                    <w:rPr>
                      <w:rFonts w:hint="eastAsia" w:ascii="宋体" w:hAnsi="宋体" w:eastAsia="宋体" w:cs="宋体"/>
                      <w:b w:val="0"/>
                      <w:bCs w:val="0"/>
                      <w:color w:val="auto"/>
                      <w:sz w:val="24"/>
                      <w:szCs w:val="24"/>
                      <w:highlight w:val="none"/>
                      <w:vertAlign w:val="baseline"/>
                    </w:rPr>
                    <w:t>按</w:t>
                  </w:r>
                  <w:r>
                    <w:rPr>
                      <w:rFonts w:hint="eastAsia" w:ascii="宋体" w:hAnsi="宋体" w:eastAsia="宋体" w:cs="宋体"/>
                      <w:b w:val="0"/>
                      <w:bCs w:val="0"/>
                      <w:color w:val="auto"/>
                      <w:sz w:val="24"/>
                      <w:szCs w:val="24"/>
                      <w:highlight w:val="none"/>
                      <w:vertAlign w:val="baseline"/>
                      <w:lang w:val="en-US" w:eastAsia="zh-CN"/>
                    </w:rPr>
                    <w:t>双方协商节点完成服务量。节点需要达到服务人数目标值如下：7月2510人、8月3137人、9月3451人、10月3765人、11-12月4500人。</w:t>
                  </w:r>
                </w:p>
                <w:p w14:paraId="22E7DF83">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得分=完成常规健康体检的人数/目标值×分值，达到或超过目标要求均得满分。未达标按比例得分。</w:t>
                  </w:r>
                </w:p>
              </w:tc>
              <w:tc>
                <w:tcPr>
                  <w:tcW w:w="1191" w:type="dxa"/>
                  <w:shd w:val="clear" w:color="auto" w:fill="auto"/>
                </w:tcPr>
                <w:p w14:paraId="544D4499">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color w:val="auto"/>
                      <w:kern w:val="0"/>
                      <w:sz w:val="24"/>
                      <w:szCs w:val="24"/>
                      <w:lang w:val="en-US" w:eastAsia="zh-CN"/>
                    </w:rPr>
                  </w:pPr>
                </w:p>
              </w:tc>
              <w:tc>
                <w:tcPr>
                  <w:tcW w:w="607" w:type="dxa"/>
                  <w:shd w:val="clear" w:color="auto" w:fill="auto"/>
                  <w:vAlign w:val="center"/>
                </w:tcPr>
                <w:p w14:paraId="14EB649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r>
            <w:tr w14:paraId="679D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164" w:type="dxa"/>
                  <w:vMerge w:val="restart"/>
                  <w:shd w:val="clear" w:color="auto" w:fill="auto"/>
                  <w:vAlign w:val="center"/>
                </w:tcPr>
                <w:p w14:paraId="33863A4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服务</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质量</w:t>
                  </w:r>
                </w:p>
                <w:p w14:paraId="2AE8D9E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val="en-US" w:eastAsia="zh-CN" w:bidi="ar"/>
                    </w:rPr>
                    <w:t>60</w:t>
                  </w:r>
                  <w:r>
                    <w:rPr>
                      <w:rFonts w:hint="eastAsia" w:ascii="宋体" w:hAnsi="宋体" w:eastAsia="宋体" w:cs="宋体"/>
                      <w:color w:val="auto"/>
                      <w:kern w:val="0"/>
                      <w:sz w:val="24"/>
                      <w:szCs w:val="24"/>
                      <w:lang w:bidi="ar"/>
                    </w:rPr>
                    <w:t>分）</w:t>
                  </w:r>
                </w:p>
              </w:tc>
              <w:tc>
                <w:tcPr>
                  <w:tcW w:w="840" w:type="dxa"/>
                  <w:shd w:val="clear" w:color="auto" w:fill="auto"/>
                  <w:vAlign w:val="center"/>
                </w:tcPr>
                <w:p w14:paraId="0F9B7D9F">
                  <w:pPr>
                    <w:keepNext w:val="0"/>
                    <w:keepLines w:val="0"/>
                    <w:pageBreakBefore w:val="0"/>
                    <w:widowControl/>
                    <w:kinsoku/>
                    <w:wordWrap/>
                    <w:overflowPunct/>
                    <w:topLinePunct w:val="0"/>
                    <w:autoSpaceDE/>
                    <w:autoSpaceDN/>
                    <w:bidi w:val="0"/>
                    <w:adjustRightInd/>
                    <w:snapToGrid/>
                    <w:spacing w:line="360" w:lineRule="auto"/>
                    <w:jc w:val="center"/>
                    <w:textAlignment w:val="center"/>
                    <w:rPr>
                      <w:rStyle w:val="9"/>
                      <w:rFonts w:hint="eastAsia" w:ascii="宋体" w:hAnsi="宋体" w:eastAsia="宋体" w:cs="宋体"/>
                      <w:b w:val="0"/>
                      <w:bCs w:val="0"/>
                      <w:color w:val="auto"/>
                      <w:sz w:val="24"/>
                      <w:szCs w:val="24"/>
                      <w:lang w:val="en-US" w:eastAsia="zh-CN"/>
                    </w:rPr>
                  </w:pPr>
                  <w:r>
                    <w:rPr>
                      <w:rFonts w:hint="eastAsia" w:ascii="宋体" w:hAnsi="宋体" w:eastAsia="宋体" w:cs="宋体"/>
                      <w:i w:val="0"/>
                      <w:iCs w:val="0"/>
                      <w:caps w:val="0"/>
                      <w:color w:val="auto"/>
                      <w:spacing w:val="0"/>
                      <w:sz w:val="24"/>
                      <w:szCs w:val="24"/>
                      <w:shd w:val="clear" w:fill="FFFFFF"/>
                      <w:lang w:val="en-US" w:eastAsia="zh-CN"/>
                    </w:rPr>
                    <w:t>现场</w:t>
                  </w:r>
                  <w:r>
                    <w:rPr>
                      <w:rFonts w:hint="eastAsia" w:ascii="宋体" w:hAnsi="宋体" w:eastAsia="宋体" w:cs="宋体"/>
                      <w:i w:val="0"/>
                      <w:iCs w:val="0"/>
                      <w:caps w:val="0"/>
                      <w:color w:val="auto"/>
                      <w:spacing w:val="0"/>
                      <w:sz w:val="24"/>
                      <w:szCs w:val="24"/>
                      <w:shd w:val="clear" w:fill="FFFFFF"/>
                      <w:lang w:val="en-US" w:eastAsia="zh-CN"/>
                    </w:rPr>
                    <w:br w:type="textWrapping"/>
                  </w:r>
                  <w:r>
                    <w:rPr>
                      <w:rFonts w:hint="eastAsia" w:ascii="宋体" w:hAnsi="宋体" w:eastAsia="宋体" w:cs="宋体"/>
                      <w:i w:val="0"/>
                      <w:iCs w:val="0"/>
                      <w:caps w:val="0"/>
                      <w:color w:val="auto"/>
                      <w:spacing w:val="0"/>
                      <w:sz w:val="24"/>
                      <w:szCs w:val="24"/>
                      <w:shd w:val="clear" w:fill="FFFFFF"/>
                      <w:lang w:val="en-US" w:eastAsia="zh-CN"/>
                    </w:rPr>
                    <w:t>布置</w:t>
                  </w:r>
                </w:p>
              </w:tc>
              <w:tc>
                <w:tcPr>
                  <w:tcW w:w="528" w:type="dxa"/>
                  <w:shd w:val="clear" w:color="auto" w:fill="auto"/>
                  <w:vAlign w:val="center"/>
                </w:tcPr>
                <w:p w14:paraId="05BE31F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w:t>
                  </w:r>
                </w:p>
              </w:tc>
              <w:tc>
                <w:tcPr>
                  <w:tcW w:w="3907" w:type="dxa"/>
                  <w:shd w:val="clear" w:color="auto" w:fill="auto"/>
                </w:tcPr>
                <w:p w14:paraId="16DFB2D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olor w:val="auto"/>
                      <w:kern w:val="0"/>
                      <w:sz w:val="24"/>
                      <w:szCs w:val="24"/>
                      <w:u w:val="none"/>
                      <w:lang w:val="en-US" w:eastAsia="zh-CN" w:bidi="ar"/>
                    </w:rPr>
                    <w:t>现场</w:t>
                  </w:r>
                  <w:r>
                    <w:rPr>
                      <w:rFonts w:hint="eastAsia" w:ascii="宋体" w:hAnsi="宋体" w:eastAsia="宋体" w:cs="宋体"/>
                      <w:i w:val="0"/>
                      <w:iCs w:val="0"/>
                      <w:caps w:val="0"/>
                      <w:color w:val="auto"/>
                      <w:spacing w:val="0"/>
                      <w:sz w:val="24"/>
                      <w:szCs w:val="24"/>
                      <w:shd w:val="clear" w:fill="FFFFFF"/>
                    </w:rPr>
                    <w:t>布局合理；体检流程顺畅，</w:t>
                  </w:r>
                  <w:r>
                    <w:rPr>
                      <w:rFonts w:hint="eastAsia" w:ascii="宋体" w:hAnsi="宋体" w:eastAsia="宋体" w:cs="宋体"/>
                      <w:i w:val="0"/>
                      <w:iCs w:val="0"/>
                      <w:color w:val="auto"/>
                      <w:kern w:val="0"/>
                      <w:sz w:val="24"/>
                      <w:szCs w:val="24"/>
                      <w:u w:val="none"/>
                      <w:lang w:val="en-US" w:eastAsia="zh-CN" w:bidi="ar"/>
                    </w:rPr>
                    <w:t>设备齐全且运行正常，物资充足</w:t>
                  </w:r>
                  <w:r>
                    <w:rPr>
                      <w:rFonts w:hint="eastAsia" w:ascii="宋体" w:hAnsi="宋体" w:eastAsia="宋体" w:cs="宋体"/>
                      <w:i w:val="0"/>
                      <w:iCs w:val="0"/>
                      <w:caps w:val="0"/>
                      <w:color w:val="auto"/>
                      <w:spacing w:val="0"/>
                      <w:sz w:val="24"/>
                      <w:szCs w:val="24"/>
                      <w:shd w:val="clear" w:fill="FFFFFF"/>
                      <w:lang w:eastAsia="zh-CN"/>
                    </w:rPr>
                    <w:t>，</w:t>
                  </w:r>
                </w:p>
                <w:p w14:paraId="60155BBF">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u w:val="none"/>
                      <w:lang w:val="en-US" w:eastAsia="zh-CN" w:bidi="ar"/>
                    </w:rPr>
                    <w:t>得满分；发现设备故障或物资短缺一处，一次扣2分；</w:t>
                  </w:r>
                  <w:r>
                    <w:rPr>
                      <w:rFonts w:hint="eastAsia" w:ascii="宋体" w:hAnsi="宋体" w:eastAsia="宋体" w:cs="宋体"/>
                      <w:i w:val="0"/>
                      <w:iCs w:val="0"/>
                      <w:caps w:val="0"/>
                      <w:color w:val="auto"/>
                      <w:spacing w:val="0"/>
                      <w:sz w:val="24"/>
                      <w:szCs w:val="24"/>
                      <w:shd w:val="clear" w:fill="FFFFFF"/>
                    </w:rPr>
                    <w:t>体检环境或流程存在问题</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一次</w:t>
                  </w:r>
                  <w:r>
                    <w:rPr>
                      <w:rFonts w:hint="eastAsia" w:ascii="宋体" w:hAnsi="宋体" w:eastAsia="宋体" w:cs="宋体"/>
                      <w:i w:val="0"/>
                      <w:iCs w:val="0"/>
                      <w:color w:val="auto"/>
                      <w:kern w:val="0"/>
                      <w:sz w:val="24"/>
                      <w:szCs w:val="24"/>
                      <w:u w:val="none"/>
                      <w:lang w:val="en-US" w:eastAsia="zh-CN" w:bidi="ar"/>
                    </w:rPr>
                    <w:t>扣2分；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本项总分10分，扣完为止。</w:t>
                  </w:r>
                </w:p>
              </w:tc>
              <w:tc>
                <w:tcPr>
                  <w:tcW w:w="1191" w:type="dxa"/>
                  <w:shd w:val="clear" w:color="auto" w:fill="auto"/>
                  <w:vAlign w:val="center"/>
                </w:tcPr>
                <w:p w14:paraId="17867BC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rPr>
                  </w:pPr>
                </w:p>
              </w:tc>
              <w:tc>
                <w:tcPr>
                  <w:tcW w:w="607" w:type="dxa"/>
                  <w:shd w:val="clear" w:color="auto" w:fill="auto"/>
                  <w:vAlign w:val="center"/>
                </w:tcPr>
                <w:p w14:paraId="4290FD4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r>
            <w:tr w14:paraId="03BC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1164" w:type="dxa"/>
                  <w:vMerge w:val="continue"/>
                  <w:shd w:val="clear" w:color="auto" w:fill="auto"/>
                  <w:vAlign w:val="center"/>
                </w:tcPr>
                <w:p w14:paraId="4205904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p>
              </w:tc>
              <w:tc>
                <w:tcPr>
                  <w:tcW w:w="840" w:type="dxa"/>
                  <w:shd w:val="clear" w:color="auto" w:fill="auto"/>
                  <w:vAlign w:val="center"/>
                </w:tcPr>
                <w:p w14:paraId="35AC885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工作纪律</w:t>
                  </w:r>
                </w:p>
              </w:tc>
              <w:tc>
                <w:tcPr>
                  <w:tcW w:w="528" w:type="dxa"/>
                  <w:shd w:val="clear" w:color="auto" w:fill="auto"/>
                  <w:vAlign w:val="center"/>
                </w:tcPr>
                <w:p w14:paraId="0DC5B8B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20</w:t>
                  </w:r>
                </w:p>
              </w:tc>
              <w:tc>
                <w:tcPr>
                  <w:tcW w:w="3907" w:type="dxa"/>
                  <w:shd w:val="clear" w:color="auto" w:fill="auto"/>
                </w:tcPr>
                <w:p w14:paraId="35D53AD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1.双方协商确定服务日期、时间和工作人员名单，出现工作人员迟到、早退，一次扣 2 分；工作人员缺勤无人替岗，一次扣 5 分。</w:t>
                  </w:r>
                </w:p>
                <w:p w14:paraId="5AC1109E">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严格依照医疗操作规范和标准开展体检，体检数据准确可靠，操作中</w:t>
                  </w:r>
                  <w:r>
                    <w:rPr>
                      <w:rFonts w:hint="eastAsia" w:ascii="宋体" w:hAnsi="宋体" w:eastAsia="宋体" w:cs="宋体"/>
                      <w:i w:val="0"/>
                      <w:iCs w:val="0"/>
                      <w:caps w:val="0"/>
                      <w:color w:val="auto"/>
                      <w:spacing w:val="0"/>
                      <w:sz w:val="24"/>
                      <w:szCs w:val="24"/>
                      <w:shd w:val="clear" w:fill="FFFFFF"/>
                      <w:lang w:val="en-US" w:eastAsia="zh-CN"/>
                    </w:rPr>
                    <w:t>出现</w:t>
                  </w:r>
                  <w:r>
                    <w:rPr>
                      <w:rFonts w:hint="eastAsia" w:ascii="宋体" w:hAnsi="宋体" w:eastAsia="宋体" w:cs="宋体"/>
                      <w:i w:val="0"/>
                      <w:iCs w:val="0"/>
                      <w:caps w:val="0"/>
                      <w:color w:val="auto"/>
                      <w:spacing w:val="0"/>
                      <w:sz w:val="24"/>
                      <w:szCs w:val="24"/>
                      <w:shd w:val="clear" w:fill="FFFFFF"/>
                    </w:rPr>
                    <w:t>不规范行为，</w:t>
                  </w:r>
                  <w:r>
                    <w:rPr>
                      <w:rFonts w:hint="eastAsia" w:ascii="宋体" w:hAnsi="宋体" w:eastAsia="宋体" w:cs="宋体"/>
                      <w:i w:val="0"/>
                      <w:iCs w:val="0"/>
                      <w:caps w:val="0"/>
                      <w:color w:val="auto"/>
                      <w:spacing w:val="0"/>
                      <w:sz w:val="24"/>
                      <w:szCs w:val="24"/>
                      <w:shd w:val="clear" w:fill="FFFFFF"/>
                      <w:lang w:val="en-US" w:eastAsia="zh-CN"/>
                    </w:rPr>
                    <w:t>一次扣 2 分</w:t>
                  </w:r>
                  <w:r>
                    <w:rPr>
                      <w:rFonts w:hint="eastAsia" w:ascii="宋体" w:hAnsi="宋体" w:eastAsia="宋体" w:cs="宋体"/>
                      <w:i w:val="0"/>
                      <w:iCs w:val="0"/>
                      <w:caps w:val="0"/>
                      <w:color w:val="auto"/>
                      <w:spacing w:val="0"/>
                      <w:sz w:val="24"/>
                      <w:szCs w:val="24"/>
                      <w:shd w:val="clear" w:fill="FFFFFF"/>
                    </w:rPr>
                    <w:t>；操作严重不规范，导致体检结果失准，</w:t>
                  </w:r>
                  <w:r>
                    <w:rPr>
                      <w:rFonts w:hint="eastAsia" w:ascii="宋体" w:hAnsi="宋体" w:eastAsia="宋体" w:cs="宋体"/>
                      <w:i w:val="0"/>
                      <w:iCs w:val="0"/>
                      <w:caps w:val="0"/>
                      <w:color w:val="auto"/>
                      <w:spacing w:val="0"/>
                      <w:sz w:val="24"/>
                      <w:szCs w:val="24"/>
                      <w:shd w:val="clear" w:fill="FFFFFF"/>
                      <w:lang w:val="en-US" w:eastAsia="zh-CN"/>
                    </w:rPr>
                    <w:t>一次扣 5 分。</w:t>
                  </w:r>
                </w:p>
                <w:p w14:paraId="19154C2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3.体检项目齐全，体检数据收集表因工作人员工作疏忽造成的漏项、错项，一处扣 2 分。</w:t>
                  </w:r>
                </w:p>
                <w:p w14:paraId="371707D6">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4.每天体检结束后，双方及时核对当日体检人次及名单。没有完成此项工作，一次扣2分。</w:t>
                  </w:r>
                </w:p>
                <w:p w14:paraId="3A20D36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5.生物样本（血液、尿液等）应严格按照规范贮存运送，及时检验，不得造假。发现一次造假，扣10分。</w:t>
                  </w:r>
                </w:p>
                <w:p w14:paraId="1BDDEF4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6.体检期间，工作人员应注意仪容仪表，必须穿着工作服、发型整洁，禁止穿拖鞋。发现一次仪容仪表不规范情况，扣2分。</w:t>
                  </w:r>
                </w:p>
                <w:p w14:paraId="3C4D44F7">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olor w:val="auto"/>
                      <w:kern w:val="0"/>
                      <w:sz w:val="24"/>
                      <w:szCs w:val="24"/>
                      <w:u w:val="none"/>
                      <w:lang w:val="en-US" w:eastAsia="zh-CN" w:bidi="ar"/>
                    </w:rPr>
                    <w:t>本项总分20分，扣完为止。</w:t>
                  </w:r>
                </w:p>
              </w:tc>
              <w:tc>
                <w:tcPr>
                  <w:tcW w:w="1191" w:type="dxa"/>
                  <w:shd w:val="clear" w:color="auto" w:fill="auto"/>
                  <w:vAlign w:val="center"/>
                </w:tcPr>
                <w:p w14:paraId="18621A3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rPr>
                  </w:pPr>
                </w:p>
              </w:tc>
              <w:tc>
                <w:tcPr>
                  <w:tcW w:w="607" w:type="dxa"/>
                  <w:shd w:val="clear" w:color="auto" w:fill="auto"/>
                  <w:vAlign w:val="center"/>
                </w:tcPr>
                <w:p w14:paraId="4246352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r>
            <w:tr w14:paraId="2A7E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jc w:val="center"/>
              </w:trPr>
              <w:tc>
                <w:tcPr>
                  <w:tcW w:w="1164" w:type="dxa"/>
                  <w:vMerge w:val="continue"/>
                  <w:shd w:val="clear" w:color="auto" w:fill="auto"/>
                  <w:vAlign w:val="center"/>
                </w:tcPr>
                <w:p w14:paraId="1614EA5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p>
              </w:tc>
              <w:tc>
                <w:tcPr>
                  <w:tcW w:w="840" w:type="dxa"/>
                  <w:shd w:val="clear" w:color="auto" w:fill="auto"/>
                  <w:vAlign w:val="center"/>
                </w:tcPr>
                <w:p w14:paraId="4C20AEE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bCs w:val="0"/>
                      <w:color w:val="auto"/>
                      <w:sz w:val="24"/>
                      <w:szCs w:val="24"/>
                      <w:highlight w:val="none"/>
                      <w:vertAlign w:val="baseline"/>
                    </w:rPr>
                    <w:t>报告出具</w:t>
                  </w:r>
                </w:p>
              </w:tc>
              <w:tc>
                <w:tcPr>
                  <w:tcW w:w="528" w:type="dxa"/>
                  <w:shd w:val="clear" w:color="auto" w:fill="auto"/>
                  <w:vAlign w:val="center"/>
                </w:tcPr>
                <w:p w14:paraId="1DE2B6C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3907" w:type="dxa"/>
                  <w:shd w:val="clear" w:color="auto" w:fill="auto"/>
                </w:tcPr>
                <w:p w14:paraId="11F189F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rPr>
                    <w:t>报告格式规范，内容完整，结论明确，建议合理，出具及时。</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lang w:val="en-US" w:eastAsia="zh-CN"/>
                    </w:rPr>
                    <w:t>1.出现以下情况，一次扣3分：</w:t>
                  </w:r>
                  <w:r>
                    <w:rPr>
                      <w:rFonts w:hint="eastAsia" w:ascii="宋体" w:hAnsi="宋体" w:eastAsia="宋体" w:cs="宋体"/>
                      <w:b w:val="0"/>
                      <w:bCs w:val="0"/>
                      <w:color w:val="auto"/>
                      <w:sz w:val="24"/>
                      <w:szCs w:val="24"/>
                    </w:rPr>
                    <w:t>报告格式不规范</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内容不完整</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结论不明确</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建议不合理</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出具不及时</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10份</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eastAsia="zh-CN"/>
                    </w:rPr>
                    <w:br w:type="textWrapping"/>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出具不及时</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10份-50份</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，扣10分；</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出具不及时</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50份以上</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扣15分。</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本项总分15分，</w:t>
                  </w:r>
                  <w:r>
                    <w:rPr>
                      <w:rFonts w:hint="eastAsia" w:ascii="宋体" w:hAnsi="宋体" w:eastAsia="宋体" w:cs="宋体"/>
                      <w:color w:val="auto"/>
                      <w:sz w:val="24"/>
                      <w:szCs w:val="24"/>
                      <w:lang w:val="en-US" w:eastAsia="zh-CN"/>
                    </w:rPr>
                    <w:t>扣完为止。</w:t>
                  </w:r>
                </w:p>
              </w:tc>
              <w:tc>
                <w:tcPr>
                  <w:tcW w:w="1191" w:type="dxa"/>
                  <w:shd w:val="clear" w:color="auto" w:fill="auto"/>
                  <w:vAlign w:val="center"/>
                </w:tcPr>
                <w:p w14:paraId="53292955">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rPr>
                  </w:pPr>
                </w:p>
              </w:tc>
              <w:tc>
                <w:tcPr>
                  <w:tcW w:w="607" w:type="dxa"/>
                  <w:shd w:val="clear" w:color="auto" w:fill="auto"/>
                  <w:vAlign w:val="center"/>
                </w:tcPr>
                <w:p w14:paraId="5CB325B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r>
            <w:tr w14:paraId="0E7F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164" w:type="dxa"/>
                  <w:vMerge w:val="continue"/>
                  <w:shd w:val="clear" w:color="auto" w:fill="auto"/>
                  <w:vAlign w:val="center"/>
                </w:tcPr>
                <w:p w14:paraId="5371E96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aps w:val="0"/>
                      <w:color w:val="auto"/>
                      <w:spacing w:val="0"/>
                      <w:sz w:val="24"/>
                      <w:szCs w:val="24"/>
                      <w:shd w:val="clear" w:fill="EFF0F1"/>
                    </w:rPr>
                  </w:pPr>
                </w:p>
              </w:tc>
              <w:tc>
                <w:tcPr>
                  <w:tcW w:w="840" w:type="dxa"/>
                  <w:shd w:val="clear" w:color="auto" w:fill="auto"/>
                  <w:vAlign w:val="center"/>
                </w:tcPr>
                <w:p w14:paraId="027959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aps w:val="0"/>
                      <w:color w:val="auto"/>
                      <w:spacing w:val="0"/>
                      <w:sz w:val="24"/>
                      <w:szCs w:val="24"/>
                      <w:shd w:val="clear" w:fill="FFFFFF"/>
                    </w:rPr>
                    <w:t>异常结果处理</w:t>
                  </w:r>
                </w:p>
              </w:tc>
              <w:tc>
                <w:tcPr>
                  <w:tcW w:w="528" w:type="dxa"/>
                  <w:shd w:val="clear" w:color="auto" w:fill="auto"/>
                  <w:vAlign w:val="center"/>
                </w:tcPr>
                <w:p w14:paraId="2E2DB58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3907" w:type="dxa"/>
                  <w:shd w:val="clear" w:color="auto" w:fill="auto"/>
                  <w:vAlign w:val="center"/>
                </w:tcPr>
                <w:p w14:paraId="4FA25EB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color w:val="auto"/>
                      <w:sz w:val="24"/>
                      <w:szCs w:val="24"/>
                      <w:lang w:val="en-US" w:eastAsia="zh-CN"/>
                    </w:rPr>
                    <w:t>在检查结果出现危急值后30分钟内通知采购人及服务对象，与服务对象核实情况，根据对象实际情况提供专业健康指导建议，并做好记录和协调工作。未及时处理或处理不当一次扣5分，</w:t>
                  </w:r>
                  <w:r>
                    <w:rPr>
                      <w:rFonts w:hint="eastAsia" w:ascii="宋体" w:hAnsi="宋体" w:eastAsia="宋体" w:cs="宋体"/>
                      <w:b w:val="0"/>
                      <w:bCs w:val="0"/>
                      <w:color w:val="auto"/>
                      <w:sz w:val="24"/>
                      <w:szCs w:val="24"/>
                      <w:lang w:val="en-US" w:eastAsia="zh-CN"/>
                    </w:rPr>
                    <w:t>本项总分10分，</w:t>
                  </w:r>
                  <w:r>
                    <w:rPr>
                      <w:rFonts w:hint="eastAsia" w:ascii="宋体" w:hAnsi="宋体" w:eastAsia="宋体" w:cs="宋体"/>
                      <w:color w:val="auto"/>
                      <w:sz w:val="24"/>
                      <w:szCs w:val="24"/>
                      <w:lang w:val="en-US" w:eastAsia="zh-CN"/>
                    </w:rPr>
                    <w:t>扣完为止。</w:t>
                  </w:r>
                </w:p>
              </w:tc>
              <w:tc>
                <w:tcPr>
                  <w:tcW w:w="1191" w:type="dxa"/>
                  <w:shd w:val="clear" w:color="auto" w:fill="auto"/>
                  <w:vAlign w:val="center"/>
                </w:tcPr>
                <w:p w14:paraId="452EF6DE">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4"/>
                      <w:szCs w:val="24"/>
                      <w:lang w:bidi="ar"/>
                    </w:rPr>
                  </w:pPr>
                </w:p>
              </w:tc>
              <w:tc>
                <w:tcPr>
                  <w:tcW w:w="607" w:type="dxa"/>
                  <w:shd w:val="clear" w:color="auto" w:fill="auto"/>
                  <w:vAlign w:val="center"/>
                </w:tcPr>
                <w:p w14:paraId="5429305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r>
            <w:tr w14:paraId="5B37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164" w:type="dxa"/>
                  <w:vMerge w:val="continue"/>
                  <w:shd w:val="clear" w:color="auto" w:fill="auto"/>
                  <w:vAlign w:val="center"/>
                </w:tcPr>
                <w:p w14:paraId="627C287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aps w:val="0"/>
                      <w:color w:val="auto"/>
                      <w:spacing w:val="0"/>
                      <w:sz w:val="24"/>
                      <w:szCs w:val="24"/>
                      <w:shd w:val="clear" w:fill="EFF0F1"/>
                    </w:rPr>
                  </w:pPr>
                </w:p>
              </w:tc>
              <w:tc>
                <w:tcPr>
                  <w:tcW w:w="840" w:type="dxa"/>
                  <w:shd w:val="clear" w:color="auto" w:fill="auto"/>
                  <w:vAlign w:val="center"/>
                </w:tcPr>
                <w:p w14:paraId="2A6780D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eastAsia="zh-CN" w:bidi="ar"/>
                    </w:rPr>
                  </w:pPr>
                  <w:r>
                    <w:rPr>
                      <w:rFonts w:hint="eastAsia" w:ascii="宋体" w:hAnsi="宋体" w:eastAsia="宋体" w:cs="宋体"/>
                      <w:i w:val="0"/>
                      <w:iCs w:val="0"/>
                      <w:caps w:val="0"/>
                      <w:color w:val="auto"/>
                      <w:spacing w:val="0"/>
                      <w:sz w:val="24"/>
                      <w:szCs w:val="24"/>
                      <w:shd w:val="clear" w:fill="FFFFFF"/>
                    </w:rPr>
                    <w:t>突发情况处理</w:t>
                  </w:r>
                </w:p>
              </w:tc>
              <w:tc>
                <w:tcPr>
                  <w:tcW w:w="528" w:type="dxa"/>
                  <w:shd w:val="clear" w:color="auto" w:fill="auto"/>
                  <w:vAlign w:val="center"/>
                </w:tcPr>
                <w:p w14:paraId="4F655FA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w:t>
                  </w:r>
                </w:p>
              </w:tc>
              <w:tc>
                <w:tcPr>
                  <w:tcW w:w="3907" w:type="dxa"/>
                  <w:shd w:val="clear" w:color="auto" w:fill="auto"/>
                  <w:vAlign w:val="center"/>
                </w:tcPr>
                <w:p w14:paraId="32FF4F56">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i w:val="0"/>
                      <w:iCs w:val="0"/>
                      <w:caps w:val="0"/>
                      <w:color w:val="auto"/>
                      <w:spacing w:val="0"/>
                      <w:sz w:val="24"/>
                      <w:szCs w:val="24"/>
                      <w:shd w:val="clear" w:fill="FFFFFF"/>
                    </w:rPr>
                    <w:t>面对体检过程中的突发情况，能够迅速响应，妥善处理，保障体检对象生命安全</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若出现</w:t>
                  </w:r>
                  <w:r>
                    <w:rPr>
                      <w:rFonts w:hint="eastAsia" w:ascii="宋体" w:hAnsi="宋体" w:eastAsia="宋体" w:cs="宋体"/>
                      <w:i w:val="0"/>
                      <w:iCs w:val="0"/>
                      <w:caps w:val="0"/>
                      <w:color w:val="auto"/>
                      <w:spacing w:val="0"/>
                      <w:sz w:val="24"/>
                      <w:szCs w:val="24"/>
                      <w:shd w:val="clear" w:fill="FFFFFF"/>
                    </w:rPr>
                    <w:t>处理突发情况不及时或</w:t>
                  </w:r>
                  <w:r>
                    <w:rPr>
                      <w:rFonts w:hint="eastAsia" w:ascii="宋体" w:hAnsi="宋体" w:eastAsia="宋体" w:cs="宋体"/>
                      <w:i w:val="0"/>
                      <w:iCs w:val="0"/>
                      <w:caps w:val="0"/>
                      <w:color w:val="auto"/>
                      <w:spacing w:val="0"/>
                      <w:sz w:val="24"/>
                      <w:szCs w:val="24"/>
                      <w:shd w:val="clear" w:fill="FFFFFF"/>
                      <w:lang w:val="en-US" w:eastAsia="zh-CN"/>
                    </w:rPr>
                    <w:t>处置无效的</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color w:val="auto"/>
                      <w:sz w:val="24"/>
                      <w:szCs w:val="24"/>
                      <w:lang w:val="en-US" w:eastAsia="zh-CN"/>
                    </w:rPr>
                    <w:t>一次扣5分。</w:t>
                  </w:r>
                </w:p>
              </w:tc>
              <w:tc>
                <w:tcPr>
                  <w:tcW w:w="1191" w:type="dxa"/>
                  <w:shd w:val="clear" w:color="auto" w:fill="auto"/>
                  <w:vAlign w:val="center"/>
                </w:tcPr>
                <w:p w14:paraId="4E3E2433">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4"/>
                      <w:szCs w:val="24"/>
                      <w:lang w:val="en-US" w:eastAsia="zh-CN" w:bidi="ar"/>
                    </w:rPr>
                  </w:pPr>
                </w:p>
              </w:tc>
              <w:tc>
                <w:tcPr>
                  <w:tcW w:w="607" w:type="dxa"/>
                  <w:shd w:val="clear" w:color="auto" w:fill="auto"/>
                  <w:vAlign w:val="center"/>
                </w:tcPr>
                <w:p w14:paraId="60A208B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r>
            <w:tr w14:paraId="4171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64" w:type="dxa"/>
                  <w:vMerge w:val="restart"/>
                  <w:shd w:val="clear" w:color="auto" w:fill="auto"/>
                  <w:vAlign w:val="center"/>
                </w:tcPr>
                <w:p w14:paraId="63E7CA6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服务满意度</w:t>
                  </w:r>
                </w:p>
                <w:p w14:paraId="177CF2F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（20分）</w:t>
                  </w:r>
                </w:p>
              </w:tc>
              <w:tc>
                <w:tcPr>
                  <w:tcW w:w="840" w:type="dxa"/>
                  <w:shd w:val="clear" w:color="auto" w:fill="auto"/>
                  <w:vAlign w:val="center"/>
                </w:tcPr>
                <w:p w14:paraId="75FC1CD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b w:val="0"/>
                      <w:bCs w:val="0"/>
                      <w:color w:val="auto"/>
                      <w:sz w:val="24"/>
                      <w:szCs w:val="24"/>
                      <w:highlight w:val="none"/>
                      <w:vertAlign w:val="baseline"/>
                    </w:rPr>
                    <w:t>服务态度</w:t>
                  </w:r>
                </w:p>
              </w:tc>
              <w:tc>
                <w:tcPr>
                  <w:tcW w:w="528" w:type="dxa"/>
                  <w:shd w:val="clear" w:color="auto" w:fill="auto"/>
                  <w:vAlign w:val="center"/>
                </w:tcPr>
                <w:p w14:paraId="0F21A1D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w:t>
                  </w:r>
                </w:p>
              </w:tc>
              <w:tc>
                <w:tcPr>
                  <w:tcW w:w="3907" w:type="dxa"/>
                  <w:shd w:val="clear" w:color="auto" w:fill="auto"/>
                  <w:vAlign w:val="top"/>
                </w:tcPr>
                <w:p w14:paraId="00B839B0">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highlight w:val="none"/>
                      <w:vertAlign w:val="baseline"/>
                      <w:lang w:val="en-US" w:eastAsia="zh-CN"/>
                    </w:rPr>
                    <w:t>工作</w:t>
                  </w:r>
                  <w:r>
                    <w:rPr>
                      <w:rFonts w:hint="eastAsia" w:ascii="宋体" w:hAnsi="宋体" w:eastAsia="宋体" w:cs="宋体"/>
                      <w:b w:val="0"/>
                      <w:bCs w:val="0"/>
                      <w:color w:val="auto"/>
                      <w:sz w:val="24"/>
                      <w:szCs w:val="24"/>
                      <w:highlight w:val="none"/>
                      <w:vertAlign w:val="baseline"/>
                    </w:rPr>
                    <w:t>人员服务</w:t>
                  </w:r>
                  <w:r>
                    <w:rPr>
                      <w:rFonts w:hint="eastAsia" w:ascii="宋体" w:hAnsi="宋体" w:eastAsia="宋体" w:cs="宋体"/>
                      <w:b w:val="0"/>
                      <w:bCs w:val="0"/>
                      <w:color w:val="auto"/>
                      <w:sz w:val="24"/>
                      <w:szCs w:val="24"/>
                      <w:highlight w:val="none"/>
                      <w:vertAlign w:val="baseline"/>
                      <w:lang w:val="en-US" w:eastAsia="zh-CN"/>
                    </w:rPr>
                    <w:t>应</w:t>
                  </w:r>
                  <w:r>
                    <w:rPr>
                      <w:rFonts w:hint="eastAsia" w:ascii="宋体" w:hAnsi="宋体" w:eastAsia="宋体" w:cs="宋体"/>
                      <w:b w:val="0"/>
                      <w:bCs w:val="0"/>
                      <w:color w:val="auto"/>
                      <w:sz w:val="24"/>
                      <w:szCs w:val="24"/>
                      <w:highlight w:val="none"/>
                      <w:vertAlign w:val="baseline"/>
                    </w:rPr>
                    <w:t>热情、耐心</w:t>
                  </w: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b w:val="0"/>
                      <w:bCs w:val="0"/>
                      <w:color w:val="auto"/>
                      <w:sz w:val="24"/>
                      <w:szCs w:val="24"/>
                      <w:highlight w:val="none"/>
                      <w:vertAlign w:val="baseline"/>
                      <w:lang w:val="en-US" w:eastAsia="zh-CN"/>
                    </w:rPr>
                    <w:t>出现</w:t>
                  </w:r>
                  <w:r>
                    <w:rPr>
                      <w:rFonts w:hint="eastAsia" w:ascii="宋体" w:hAnsi="宋体" w:eastAsia="宋体" w:cs="宋体"/>
                      <w:b w:val="0"/>
                      <w:bCs w:val="0"/>
                      <w:color w:val="auto"/>
                      <w:sz w:val="24"/>
                      <w:szCs w:val="24"/>
                      <w:highlight w:val="none"/>
                      <w:vertAlign w:val="baseline"/>
                    </w:rPr>
                    <w:t>被</w:t>
                  </w:r>
                  <w:r>
                    <w:rPr>
                      <w:rFonts w:hint="eastAsia" w:ascii="宋体" w:hAnsi="宋体" w:eastAsia="宋体" w:cs="宋体"/>
                      <w:b w:val="0"/>
                      <w:bCs w:val="0"/>
                      <w:color w:val="auto"/>
                      <w:sz w:val="24"/>
                      <w:szCs w:val="24"/>
                      <w:highlight w:val="none"/>
                      <w:vertAlign w:val="baseline"/>
                      <w:lang w:val="en-US" w:eastAsia="zh-CN"/>
                    </w:rPr>
                    <w:t>服务对象</w:t>
                  </w:r>
                  <w:r>
                    <w:rPr>
                      <w:rFonts w:hint="eastAsia" w:ascii="宋体" w:hAnsi="宋体" w:eastAsia="宋体" w:cs="宋体"/>
                      <w:b w:val="0"/>
                      <w:bCs w:val="0"/>
                      <w:color w:val="auto"/>
                      <w:sz w:val="24"/>
                      <w:szCs w:val="24"/>
                      <w:highlight w:val="none"/>
                      <w:vertAlign w:val="baseline"/>
                    </w:rPr>
                    <w:t>投诉服务态度差</w:t>
                  </w:r>
                  <w:r>
                    <w:rPr>
                      <w:rFonts w:hint="eastAsia" w:ascii="宋体" w:hAnsi="宋体" w:eastAsia="宋体" w:cs="宋体"/>
                      <w:b w:val="0"/>
                      <w:bCs w:val="0"/>
                      <w:color w:val="auto"/>
                      <w:sz w:val="24"/>
                      <w:szCs w:val="24"/>
                      <w:highlight w:val="none"/>
                      <w:vertAlign w:val="baseline"/>
                      <w:lang w:val="en-US" w:eastAsia="zh-CN"/>
                    </w:rPr>
                    <w:t>的，</w:t>
                  </w:r>
                  <w:r>
                    <w:rPr>
                      <w:rFonts w:hint="eastAsia" w:ascii="宋体" w:hAnsi="宋体" w:eastAsia="宋体" w:cs="宋体"/>
                      <w:b w:val="0"/>
                      <w:bCs w:val="0"/>
                      <w:color w:val="auto"/>
                      <w:sz w:val="24"/>
                      <w:szCs w:val="24"/>
                      <w:highlight w:val="none"/>
                      <w:vertAlign w:val="baseline"/>
                    </w:rPr>
                    <w:t>一次扣</w:t>
                  </w:r>
                  <w:r>
                    <w:rPr>
                      <w:rFonts w:hint="eastAsia" w:ascii="宋体" w:hAnsi="宋体" w:eastAsia="宋体" w:cs="宋体"/>
                      <w:b w:val="0"/>
                      <w:bCs w:val="0"/>
                      <w:color w:val="auto"/>
                      <w:sz w:val="24"/>
                      <w:szCs w:val="24"/>
                      <w:highlight w:val="none"/>
                      <w:vertAlign w:val="baseline"/>
                      <w:lang w:val="en-US" w:eastAsia="zh-CN"/>
                    </w:rPr>
                    <w:t>2</w:t>
                  </w:r>
                  <w:r>
                    <w:rPr>
                      <w:rFonts w:hint="eastAsia" w:ascii="宋体" w:hAnsi="宋体" w:eastAsia="宋体" w:cs="宋体"/>
                      <w:b w:val="0"/>
                      <w:bCs w:val="0"/>
                      <w:color w:val="auto"/>
                      <w:sz w:val="24"/>
                      <w:szCs w:val="24"/>
                      <w:highlight w:val="none"/>
                      <w:vertAlign w:val="baseline"/>
                    </w:rPr>
                    <w:t>分，</w:t>
                  </w:r>
                  <w:r>
                    <w:rPr>
                      <w:rFonts w:hint="eastAsia" w:ascii="宋体" w:hAnsi="宋体" w:eastAsia="宋体" w:cs="宋体"/>
                      <w:b w:val="0"/>
                      <w:bCs w:val="0"/>
                      <w:color w:val="auto"/>
                      <w:sz w:val="24"/>
                      <w:szCs w:val="24"/>
                      <w:lang w:val="en-US" w:eastAsia="zh-CN"/>
                    </w:rPr>
                    <w:t>本项总分10分，</w:t>
                  </w:r>
                  <w:r>
                    <w:rPr>
                      <w:rFonts w:hint="eastAsia" w:ascii="宋体" w:hAnsi="宋体" w:eastAsia="宋体" w:cs="宋体"/>
                      <w:b w:val="0"/>
                      <w:bCs w:val="0"/>
                      <w:color w:val="auto"/>
                      <w:sz w:val="24"/>
                      <w:szCs w:val="24"/>
                      <w:highlight w:val="none"/>
                      <w:vertAlign w:val="baseline"/>
                    </w:rPr>
                    <w:t>扣完为止。</w:t>
                  </w:r>
                </w:p>
              </w:tc>
              <w:tc>
                <w:tcPr>
                  <w:tcW w:w="1191" w:type="dxa"/>
                  <w:shd w:val="clear" w:color="auto" w:fill="auto"/>
                  <w:vAlign w:val="center"/>
                </w:tcPr>
                <w:p w14:paraId="3D884580">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sz w:val="24"/>
                      <w:szCs w:val="24"/>
                      <w:lang w:val="en-US"/>
                    </w:rPr>
                  </w:pPr>
                </w:p>
              </w:tc>
              <w:tc>
                <w:tcPr>
                  <w:tcW w:w="607" w:type="dxa"/>
                  <w:shd w:val="clear" w:color="auto" w:fill="auto"/>
                  <w:vAlign w:val="center"/>
                </w:tcPr>
                <w:p w14:paraId="5D12F39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r>
            <w:tr w14:paraId="3083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164" w:type="dxa"/>
                  <w:vMerge w:val="continue"/>
                  <w:shd w:val="clear" w:color="auto" w:fill="auto"/>
                  <w:vAlign w:val="center"/>
                </w:tcPr>
                <w:p w14:paraId="7ADDC98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840" w:type="dxa"/>
                  <w:shd w:val="clear" w:color="auto" w:fill="auto"/>
                  <w:vAlign w:val="center"/>
                </w:tcPr>
                <w:p w14:paraId="61B42D8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服务对象</w:t>
                  </w:r>
                </w:p>
                <w:p w14:paraId="16D465D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b w:val="0"/>
                      <w:bCs w:val="0"/>
                      <w:color w:val="auto"/>
                      <w:sz w:val="24"/>
                      <w:szCs w:val="24"/>
                      <w:highlight w:val="none"/>
                      <w:vertAlign w:val="baseline"/>
                      <w:lang w:val="en-US" w:eastAsia="zh-CN"/>
                    </w:rPr>
                    <w:t>满意度</w:t>
                  </w:r>
                </w:p>
              </w:tc>
              <w:tc>
                <w:tcPr>
                  <w:tcW w:w="528" w:type="dxa"/>
                  <w:shd w:val="clear" w:color="auto" w:fill="auto"/>
                  <w:vAlign w:val="center"/>
                </w:tcPr>
                <w:p w14:paraId="1D1DAE1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w:t>
                  </w:r>
                </w:p>
              </w:tc>
              <w:tc>
                <w:tcPr>
                  <w:tcW w:w="3907" w:type="dxa"/>
                  <w:shd w:val="clear" w:color="auto" w:fill="auto"/>
                  <w:vAlign w:val="top"/>
                </w:tcPr>
                <w:p w14:paraId="493EF99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在服务台账随机抽取10名服务对象</w:t>
                  </w:r>
                  <w:r>
                    <w:rPr>
                      <w:rFonts w:hint="eastAsia" w:ascii="宋体" w:hAnsi="宋体" w:eastAsia="宋体" w:cs="宋体"/>
                      <w:color w:val="auto"/>
                      <w:kern w:val="0"/>
                      <w:sz w:val="24"/>
                      <w:szCs w:val="24"/>
                      <w:lang w:val="en-US" w:eastAsia="zh-CN" w:bidi="ar"/>
                    </w:rPr>
                    <w:t>。通过电话回访对象对服务满意度评价：满意度评分为0-10分，8分以上算满意。</w:t>
                  </w:r>
                  <w:r>
                    <w:rPr>
                      <w:rFonts w:hint="eastAsia" w:ascii="宋体" w:hAnsi="宋体" w:eastAsia="宋体" w:cs="宋体"/>
                      <w:color w:val="auto"/>
                      <w:kern w:val="0"/>
                      <w:sz w:val="24"/>
                      <w:szCs w:val="24"/>
                      <w:lang w:val="en-US" w:eastAsia="zh-CN" w:bidi="ar"/>
                    </w:rPr>
                    <w:br w:type="textWrapping"/>
                  </w:r>
                  <w:r>
                    <w:rPr>
                      <w:rFonts w:hint="eastAsia" w:ascii="宋体" w:hAnsi="宋体" w:eastAsia="宋体" w:cs="宋体"/>
                      <w:color w:val="auto"/>
                      <w:kern w:val="0"/>
                      <w:sz w:val="24"/>
                      <w:szCs w:val="24"/>
                      <w:lang w:val="en-US" w:eastAsia="zh-CN" w:bidi="ar"/>
                    </w:rPr>
                    <w:t>不真实档案一份扣3分，不满意档案一份扣2分，不真实档案同时判为不满意档案。</w:t>
                  </w:r>
                  <w:r>
                    <w:rPr>
                      <w:rFonts w:hint="eastAsia" w:ascii="宋体" w:hAnsi="宋体" w:eastAsia="宋体" w:cs="宋体"/>
                      <w:b w:val="0"/>
                      <w:bCs w:val="0"/>
                      <w:color w:val="auto"/>
                      <w:sz w:val="24"/>
                      <w:szCs w:val="24"/>
                      <w:lang w:val="en-US" w:eastAsia="zh-CN"/>
                    </w:rPr>
                    <w:t>本项总分10分，</w:t>
                  </w:r>
                  <w:r>
                    <w:rPr>
                      <w:rFonts w:hint="eastAsia" w:ascii="宋体" w:hAnsi="宋体" w:eastAsia="宋体" w:cs="宋体"/>
                      <w:color w:val="auto"/>
                      <w:kern w:val="0"/>
                      <w:sz w:val="24"/>
                      <w:szCs w:val="24"/>
                      <w:lang w:bidi="ar"/>
                    </w:rPr>
                    <w:t>扣完为止</w:t>
                  </w:r>
                  <w:r>
                    <w:rPr>
                      <w:rFonts w:hint="eastAsia" w:ascii="宋体" w:hAnsi="宋体" w:eastAsia="宋体" w:cs="宋体"/>
                      <w:color w:val="auto"/>
                      <w:kern w:val="0"/>
                      <w:sz w:val="24"/>
                      <w:szCs w:val="24"/>
                      <w:lang w:eastAsia="zh-CN" w:bidi="ar"/>
                    </w:rPr>
                    <w:t>。</w:t>
                  </w:r>
                </w:p>
              </w:tc>
              <w:tc>
                <w:tcPr>
                  <w:tcW w:w="1191" w:type="dxa"/>
                  <w:shd w:val="clear" w:color="auto" w:fill="auto"/>
                  <w:vAlign w:val="center"/>
                </w:tcPr>
                <w:p w14:paraId="72177B26">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满意档案=     份</w:t>
                  </w:r>
                  <w:r>
                    <w:rPr>
                      <w:rFonts w:hint="eastAsia" w:ascii="宋体" w:hAnsi="宋体" w:eastAsia="宋体" w:cs="宋体"/>
                      <w:i w:val="0"/>
                      <w:iCs w:val="0"/>
                      <w:color w:val="auto"/>
                      <w:kern w:val="0"/>
                      <w:sz w:val="24"/>
                      <w:szCs w:val="24"/>
                      <w:u w:val="none"/>
                      <w:lang w:val="en-US" w:eastAsia="zh-CN" w:bidi="ar"/>
                    </w:rPr>
                    <w:br w:type="textWrapping"/>
                  </w:r>
                </w:p>
                <w:p w14:paraId="396F5B67">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auto"/>
                      <w:kern w:val="0"/>
                      <w:sz w:val="24"/>
                      <w:szCs w:val="24"/>
                      <w:u w:val="none"/>
                      <w:lang w:val="en-US" w:eastAsia="zh-CN" w:bidi="ar"/>
                    </w:rPr>
                  </w:pPr>
                </w:p>
                <w:p w14:paraId="23E4A91E">
                  <w:pPr>
                    <w:keepNext w:val="0"/>
                    <w:keepLines w:val="0"/>
                    <w:pageBreakBefore w:val="0"/>
                    <w:widowControl/>
                    <w:kinsoku/>
                    <w:wordWrap/>
                    <w:overflowPunct/>
                    <w:topLinePunct w:val="0"/>
                    <w:autoSpaceDE/>
                    <w:autoSpaceDN/>
                    <w:bidi w:val="0"/>
                    <w:adjustRightInd/>
                    <w:snapToGrid/>
                    <w:spacing w:line="360" w:lineRule="auto"/>
                    <w:jc w:val="left"/>
                    <w:textAlignment w:val="top"/>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 xml:space="preserve">真实档案=     份 </w:t>
                  </w:r>
                </w:p>
              </w:tc>
              <w:tc>
                <w:tcPr>
                  <w:tcW w:w="607" w:type="dxa"/>
                  <w:shd w:val="clear" w:color="auto" w:fill="auto"/>
                  <w:vAlign w:val="center"/>
                </w:tcPr>
                <w:p w14:paraId="6130341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r>
            <w:tr w14:paraId="455D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630" w:type="dxa"/>
                  <w:gridSpan w:val="5"/>
                  <w:shd w:val="clear" w:color="auto" w:fill="auto"/>
                  <w:vAlign w:val="center"/>
                </w:tcPr>
                <w:p w14:paraId="37CFEF0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合计</w:t>
                  </w:r>
                </w:p>
              </w:tc>
              <w:tc>
                <w:tcPr>
                  <w:tcW w:w="607" w:type="dxa"/>
                  <w:shd w:val="clear" w:color="auto" w:fill="auto"/>
                  <w:vAlign w:val="center"/>
                </w:tcPr>
                <w:p w14:paraId="6E7A662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lang w:val="en-US" w:eastAsia="zh-CN"/>
                    </w:rPr>
                  </w:pPr>
                </w:p>
              </w:tc>
            </w:tr>
          </w:tbl>
          <w:p w14:paraId="0F4D1C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z w:val="24"/>
                <w:szCs w:val="24"/>
                <w:u w:val="none"/>
                <w:lang w:val="en-US" w:eastAsia="zh-CN"/>
              </w:rPr>
            </w:pPr>
            <w:r>
              <w:rPr>
                <w:rFonts w:hint="eastAsia" w:ascii="宋体" w:hAnsi="宋体" w:eastAsia="宋体" w:cs="宋体"/>
                <w:color w:val="auto"/>
                <w:kern w:val="0"/>
                <w:sz w:val="24"/>
                <w:szCs w:val="24"/>
                <w:lang w:val="en-US" w:eastAsia="zh-CN"/>
              </w:rPr>
              <w:t>完成</w:t>
            </w:r>
            <w:r>
              <w:rPr>
                <w:rFonts w:hint="eastAsia" w:ascii="宋体" w:hAnsi="宋体" w:eastAsia="宋体" w:cs="宋体"/>
                <w:color w:val="auto"/>
                <w:kern w:val="0"/>
                <w:sz w:val="24"/>
                <w:szCs w:val="24"/>
              </w:rPr>
              <w:t>常规健康体检服务</w:t>
            </w:r>
            <w:r>
              <w:rPr>
                <w:rFonts w:hint="eastAsia" w:ascii="宋体" w:hAnsi="宋体" w:eastAsia="宋体" w:cs="宋体"/>
                <w:color w:val="auto"/>
                <w:kern w:val="0"/>
                <w:sz w:val="24"/>
                <w:szCs w:val="24"/>
                <w:lang w:val="en-US" w:eastAsia="zh-CN"/>
              </w:rPr>
              <w:t>人数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none"/>
                <w:lang w:val="en-US" w:eastAsia="zh-CN"/>
              </w:rPr>
              <w:t xml:space="preserve"> 人，其中</w:t>
            </w:r>
            <w:r>
              <w:rPr>
                <w:rFonts w:hint="eastAsia" w:ascii="宋体" w:hAnsi="宋体" w:eastAsia="宋体" w:cs="宋体"/>
                <w:color w:val="auto"/>
                <w:kern w:val="0"/>
                <w:sz w:val="24"/>
                <w:szCs w:val="24"/>
                <w:lang w:val="en-US" w:eastAsia="zh-CN"/>
              </w:rPr>
              <w:t>完成</w:t>
            </w:r>
            <w:r>
              <w:rPr>
                <w:rFonts w:hint="eastAsia" w:ascii="宋体" w:hAnsi="宋体" w:eastAsia="宋体" w:cs="宋体"/>
                <w:color w:val="auto"/>
                <w:kern w:val="0"/>
                <w:sz w:val="24"/>
                <w:szCs w:val="24"/>
              </w:rPr>
              <w:t>常规健康体检</w:t>
            </w:r>
            <w:r>
              <w:rPr>
                <w:rFonts w:hint="eastAsia" w:ascii="宋体" w:hAnsi="宋体" w:eastAsia="宋体" w:cs="宋体"/>
                <w:color w:val="auto"/>
                <w:kern w:val="0"/>
                <w:sz w:val="24"/>
                <w:szCs w:val="24"/>
                <w:lang w:val="en-US" w:eastAsia="zh-CN"/>
              </w:rPr>
              <w:t>中全部检查项目人数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none"/>
                <w:lang w:val="en-US" w:eastAsia="zh-CN"/>
              </w:rPr>
              <w:t xml:space="preserve"> 人、选做</w:t>
            </w:r>
            <w:r>
              <w:rPr>
                <w:rFonts w:hint="eastAsia" w:ascii="宋体" w:hAnsi="宋体" w:eastAsia="宋体" w:cs="宋体"/>
                <w:color w:val="auto"/>
                <w:spacing w:val="6"/>
                <w:sz w:val="24"/>
                <w:szCs w:val="24"/>
              </w:rPr>
              <w:t>胸部DR检查服务</w:t>
            </w:r>
            <w:r>
              <w:rPr>
                <w:rFonts w:hint="eastAsia" w:ascii="宋体" w:hAnsi="宋体" w:eastAsia="宋体" w:cs="宋体"/>
                <w:color w:val="auto"/>
                <w:spacing w:val="6"/>
                <w:sz w:val="24"/>
                <w:szCs w:val="24"/>
                <w:lang w:val="en-US" w:eastAsia="zh-CN"/>
              </w:rPr>
              <w:t>人数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none"/>
                <w:lang w:val="en-US" w:eastAsia="zh-CN"/>
              </w:rPr>
              <w:t xml:space="preserve"> 人。</w:t>
            </w:r>
            <w:r>
              <w:rPr>
                <w:rFonts w:hint="eastAsia" w:ascii="宋体" w:hAnsi="宋体" w:eastAsia="宋体" w:cs="宋体"/>
                <w:color w:val="auto"/>
                <w:kern w:val="0"/>
                <w:sz w:val="24"/>
                <w:szCs w:val="24"/>
                <w:u w:val="none"/>
                <w:lang w:val="en-US" w:eastAsia="zh-CN"/>
              </w:rPr>
              <w:br w:type="textWrapping"/>
            </w:r>
          </w:p>
          <w:p w14:paraId="2BE800CE">
            <w:pPr>
              <w:jc w:val="center"/>
              <w:rPr>
                <w:rFonts w:hint="eastAsia" w:ascii="宋体" w:hAnsi="宋体" w:eastAsia="宋体" w:cs="宋体"/>
                <w:b/>
                <w:bCs/>
                <w:sz w:val="28"/>
                <w:szCs w:val="28"/>
              </w:rPr>
            </w:pPr>
            <w:r>
              <w:rPr>
                <w:rFonts w:hint="eastAsia" w:ascii="宋体" w:hAnsi="宋体" w:eastAsia="宋体" w:cs="宋体"/>
                <w:b/>
                <w:sz w:val="24"/>
                <w:szCs w:val="24"/>
              </w:rPr>
              <w:t>督导人签名：</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陪检人签名：</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日期：</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年</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月</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日</w:t>
            </w:r>
            <w:r>
              <w:rPr>
                <w:rFonts w:hint="eastAsia" w:ascii="宋体" w:hAnsi="宋体" w:eastAsia="宋体" w:cs="宋体"/>
                <w:b/>
                <w:sz w:val="24"/>
                <w:szCs w:val="24"/>
              </w:rPr>
              <w:br w:type="textWrapping"/>
            </w:r>
            <w:r>
              <w:rPr>
                <w:rFonts w:hint="eastAsia" w:ascii="宋体" w:hAnsi="宋体" w:eastAsia="宋体" w:cs="宋体"/>
                <w:b/>
                <w:sz w:val="24"/>
                <w:szCs w:val="24"/>
              </w:rPr>
              <w:br w:type="textWrapping"/>
            </w:r>
            <w:r>
              <w:rPr>
                <w:rFonts w:hint="eastAsia" w:ascii="宋体" w:hAnsi="宋体" w:eastAsia="宋体" w:cs="宋体"/>
                <w:b/>
                <w:sz w:val="24"/>
                <w:szCs w:val="24"/>
              </w:rPr>
              <w:br w:type="textWrapping"/>
            </w:r>
            <w:r>
              <w:rPr>
                <w:rFonts w:hint="eastAsia" w:ascii="宋体" w:hAnsi="宋体" w:eastAsia="宋体" w:cs="宋体"/>
                <w:b/>
                <w:bCs/>
                <w:sz w:val="28"/>
                <w:szCs w:val="28"/>
              </w:rPr>
              <w:t>老年人健康管理项目服务满意度</w:t>
            </w:r>
            <w:r>
              <w:rPr>
                <w:rFonts w:hint="eastAsia" w:ascii="宋体" w:hAnsi="宋体" w:eastAsia="宋体" w:cs="宋体"/>
                <w:b/>
                <w:bCs/>
                <w:sz w:val="28"/>
                <w:szCs w:val="28"/>
                <w:lang w:val="en-US" w:eastAsia="zh-CN"/>
              </w:rPr>
              <w:t>调查</w:t>
            </w:r>
            <w:r>
              <w:rPr>
                <w:rFonts w:hint="eastAsia" w:ascii="宋体" w:hAnsi="宋体" w:eastAsia="宋体" w:cs="宋体"/>
                <w:b/>
                <w:bCs/>
                <w:sz w:val="28"/>
                <w:szCs w:val="28"/>
              </w:rPr>
              <w:t>汇总表</w:t>
            </w:r>
          </w:p>
          <w:p w14:paraId="05D89693">
            <w:pPr>
              <w:ind w:firstLine="280" w:firstLineChars="100"/>
              <w:jc w:val="left"/>
              <w:rPr>
                <w:rFonts w:hint="eastAsia" w:ascii="宋体" w:hAnsi="宋体" w:eastAsia="宋体" w:cs="宋体"/>
                <w:b w:val="0"/>
                <w:bCs/>
                <w:sz w:val="28"/>
                <w:szCs w:val="28"/>
              </w:rPr>
            </w:pPr>
            <w:r>
              <w:rPr>
                <w:rFonts w:hint="eastAsia" w:ascii="宋体" w:hAnsi="宋体" w:eastAsia="宋体" w:cs="宋体"/>
                <w:b w:val="0"/>
                <w:bCs/>
                <w:sz w:val="28"/>
                <w:szCs w:val="28"/>
              </w:rPr>
              <w:t>机构名称：</w:t>
            </w:r>
          </w:p>
          <w:tbl>
            <w:tblPr>
              <w:tblStyle w:val="6"/>
              <w:tblW w:w="7756" w:type="dxa"/>
              <w:jc w:val="center"/>
              <w:tblLayout w:type="fixed"/>
              <w:tblCellMar>
                <w:top w:w="0" w:type="dxa"/>
                <w:left w:w="108" w:type="dxa"/>
                <w:bottom w:w="0" w:type="dxa"/>
                <w:right w:w="108" w:type="dxa"/>
              </w:tblCellMar>
            </w:tblPr>
            <w:tblGrid>
              <w:gridCol w:w="700"/>
              <w:gridCol w:w="1175"/>
              <w:gridCol w:w="933"/>
              <w:gridCol w:w="766"/>
              <w:gridCol w:w="1016"/>
              <w:gridCol w:w="962"/>
              <w:gridCol w:w="1075"/>
              <w:gridCol w:w="1129"/>
            </w:tblGrid>
            <w:tr w14:paraId="10184118">
              <w:tblPrEx>
                <w:tblCellMar>
                  <w:top w:w="0" w:type="dxa"/>
                  <w:left w:w="108" w:type="dxa"/>
                  <w:bottom w:w="0" w:type="dxa"/>
                  <w:right w:w="108" w:type="dxa"/>
                </w:tblCellMar>
              </w:tblPrEx>
              <w:trPr>
                <w:trHeight w:val="669" w:hRule="atLeast"/>
                <w:jc w:val="center"/>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9BA8B27">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序号</w:t>
                  </w:r>
                </w:p>
              </w:tc>
              <w:tc>
                <w:tcPr>
                  <w:tcW w:w="1175"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912DB94">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姓名</w:t>
                  </w:r>
                </w:p>
              </w:tc>
              <w:tc>
                <w:tcPr>
                  <w:tcW w:w="933" w:type="dxa"/>
                  <w:vMerge w:val="restart"/>
                  <w:tcBorders>
                    <w:top w:val="single" w:color="auto" w:sz="4" w:space="0"/>
                    <w:left w:val="single" w:color="auto" w:sz="4" w:space="0"/>
                    <w:right w:val="single" w:color="auto" w:sz="4" w:space="0"/>
                  </w:tcBorders>
                  <w:shd w:val="clear" w:color="auto" w:fill="auto"/>
                  <w:noWrap/>
                  <w:vAlign w:val="center"/>
                </w:tcPr>
                <w:p w14:paraId="4782648E">
                  <w:pPr>
                    <w:widowControl/>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体检日期</w:t>
                  </w:r>
                </w:p>
              </w:tc>
              <w:tc>
                <w:tcPr>
                  <w:tcW w:w="76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05345E8">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性别</w:t>
                  </w:r>
                </w:p>
              </w:tc>
              <w:tc>
                <w:tcPr>
                  <w:tcW w:w="101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FB12D96">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电话</w:t>
                  </w:r>
                </w:p>
              </w:tc>
              <w:tc>
                <w:tcPr>
                  <w:tcW w:w="2037" w:type="dxa"/>
                  <w:gridSpan w:val="2"/>
                  <w:tcBorders>
                    <w:top w:val="single" w:color="auto" w:sz="4" w:space="0"/>
                    <w:left w:val="nil"/>
                    <w:bottom w:val="single" w:color="auto" w:sz="4" w:space="0"/>
                    <w:right w:val="single" w:color="auto" w:sz="4" w:space="0"/>
                  </w:tcBorders>
                  <w:shd w:val="clear" w:color="auto" w:fill="auto"/>
                  <w:noWrap/>
                  <w:vAlign w:val="center"/>
                </w:tcPr>
                <w:p w14:paraId="34E3F1ED">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访谈结果</w:t>
                  </w:r>
                </w:p>
              </w:tc>
              <w:tc>
                <w:tcPr>
                  <w:tcW w:w="1129" w:type="dxa"/>
                  <w:vMerge w:val="restart"/>
                  <w:tcBorders>
                    <w:top w:val="single" w:color="auto" w:sz="4" w:space="0"/>
                    <w:left w:val="nil"/>
                    <w:right w:val="single" w:color="auto" w:sz="4" w:space="0"/>
                  </w:tcBorders>
                  <w:shd w:val="clear" w:color="auto" w:fill="auto"/>
                  <w:noWrap/>
                  <w:vAlign w:val="center"/>
                </w:tcPr>
                <w:p w14:paraId="01E8D535">
                  <w:pPr>
                    <w:widowControl/>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满意度</w:t>
                  </w:r>
                </w:p>
              </w:tc>
            </w:tr>
            <w:tr w14:paraId="6CBA6B47">
              <w:tblPrEx>
                <w:tblCellMar>
                  <w:top w:w="0" w:type="dxa"/>
                  <w:left w:w="108" w:type="dxa"/>
                  <w:bottom w:w="0" w:type="dxa"/>
                  <w:right w:w="108" w:type="dxa"/>
                </w:tblCellMar>
              </w:tblPrEx>
              <w:trPr>
                <w:trHeight w:val="1274" w:hRule="atLeast"/>
                <w:jc w:val="center"/>
              </w:trPr>
              <w:tc>
                <w:tcPr>
                  <w:tcW w:w="700" w:type="dxa"/>
                  <w:vMerge w:val="continue"/>
                  <w:tcBorders>
                    <w:top w:val="single" w:color="auto" w:sz="4" w:space="0"/>
                    <w:left w:val="single" w:color="auto" w:sz="4" w:space="0"/>
                    <w:bottom w:val="single" w:color="000000" w:sz="4" w:space="0"/>
                    <w:right w:val="single" w:color="auto" w:sz="4" w:space="0"/>
                  </w:tcBorders>
                  <w:vAlign w:val="center"/>
                </w:tcPr>
                <w:p w14:paraId="2F0D5137">
                  <w:pPr>
                    <w:widowControl/>
                    <w:jc w:val="left"/>
                    <w:rPr>
                      <w:rFonts w:hint="eastAsia" w:ascii="宋体" w:hAnsi="宋体" w:eastAsia="宋体" w:cs="宋体"/>
                      <w:b/>
                      <w:bCs/>
                      <w:color w:val="000000"/>
                      <w:kern w:val="0"/>
                      <w:sz w:val="28"/>
                      <w:szCs w:val="28"/>
                    </w:rPr>
                  </w:pPr>
                </w:p>
              </w:tc>
              <w:tc>
                <w:tcPr>
                  <w:tcW w:w="1175" w:type="dxa"/>
                  <w:vMerge w:val="continue"/>
                  <w:tcBorders>
                    <w:top w:val="single" w:color="auto" w:sz="4" w:space="0"/>
                    <w:left w:val="single" w:color="auto" w:sz="4" w:space="0"/>
                    <w:bottom w:val="single" w:color="000000" w:sz="4" w:space="0"/>
                    <w:right w:val="single" w:color="auto" w:sz="4" w:space="0"/>
                  </w:tcBorders>
                  <w:vAlign w:val="center"/>
                </w:tcPr>
                <w:p w14:paraId="35C77EAA">
                  <w:pPr>
                    <w:widowControl/>
                    <w:jc w:val="left"/>
                    <w:rPr>
                      <w:rFonts w:hint="eastAsia" w:ascii="宋体" w:hAnsi="宋体" w:eastAsia="宋体" w:cs="宋体"/>
                      <w:b/>
                      <w:bCs/>
                      <w:color w:val="000000"/>
                      <w:kern w:val="0"/>
                      <w:sz w:val="28"/>
                      <w:szCs w:val="28"/>
                    </w:rPr>
                  </w:pPr>
                </w:p>
              </w:tc>
              <w:tc>
                <w:tcPr>
                  <w:tcW w:w="933" w:type="dxa"/>
                  <w:vMerge w:val="continue"/>
                  <w:tcBorders>
                    <w:left w:val="single" w:color="auto" w:sz="4" w:space="0"/>
                    <w:bottom w:val="single" w:color="000000" w:sz="4" w:space="0"/>
                    <w:right w:val="single" w:color="auto" w:sz="4" w:space="0"/>
                  </w:tcBorders>
                  <w:vAlign w:val="center"/>
                </w:tcPr>
                <w:p w14:paraId="53A34142">
                  <w:pPr>
                    <w:widowControl/>
                    <w:jc w:val="left"/>
                    <w:rPr>
                      <w:rFonts w:hint="eastAsia" w:ascii="宋体" w:hAnsi="宋体" w:eastAsia="宋体" w:cs="宋体"/>
                      <w:b/>
                      <w:bCs/>
                      <w:color w:val="000000"/>
                      <w:kern w:val="0"/>
                      <w:sz w:val="28"/>
                      <w:szCs w:val="28"/>
                    </w:rPr>
                  </w:pPr>
                </w:p>
              </w:tc>
              <w:tc>
                <w:tcPr>
                  <w:tcW w:w="766" w:type="dxa"/>
                  <w:vMerge w:val="continue"/>
                  <w:tcBorders>
                    <w:top w:val="single" w:color="auto" w:sz="4" w:space="0"/>
                    <w:left w:val="single" w:color="auto" w:sz="4" w:space="0"/>
                    <w:bottom w:val="single" w:color="000000" w:sz="4" w:space="0"/>
                    <w:right w:val="single" w:color="auto" w:sz="4" w:space="0"/>
                  </w:tcBorders>
                  <w:vAlign w:val="center"/>
                </w:tcPr>
                <w:p w14:paraId="7620F3F8">
                  <w:pPr>
                    <w:widowControl/>
                    <w:jc w:val="left"/>
                    <w:rPr>
                      <w:rFonts w:hint="eastAsia" w:ascii="宋体" w:hAnsi="宋体" w:eastAsia="宋体" w:cs="宋体"/>
                      <w:b/>
                      <w:bCs/>
                      <w:color w:val="000000"/>
                      <w:kern w:val="0"/>
                      <w:sz w:val="28"/>
                      <w:szCs w:val="28"/>
                    </w:rPr>
                  </w:pPr>
                </w:p>
              </w:tc>
              <w:tc>
                <w:tcPr>
                  <w:tcW w:w="1016" w:type="dxa"/>
                  <w:vMerge w:val="continue"/>
                  <w:tcBorders>
                    <w:top w:val="single" w:color="auto" w:sz="4" w:space="0"/>
                    <w:left w:val="single" w:color="auto" w:sz="4" w:space="0"/>
                    <w:bottom w:val="single" w:color="000000" w:sz="4" w:space="0"/>
                    <w:right w:val="single" w:color="auto" w:sz="4" w:space="0"/>
                  </w:tcBorders>
                  <w:vAlign w:val="center"/>
                </w:tcPr>
                <w:p w14:paraId="5A341777">
                  <w:pPr>
                    <w:widowControl/>
                    <w:jc w:val="left"/>
                    <w:rPr>
                      <w:rFonts w:hint="eastAsia" w:ascii="宋体" w:hAnsi="宋体" w:eastAsia="宋体" w:cs="宋体"/>
                      <w:b/>
                      <w:bCs/>
                      <w:color w:val="000000"/>
                      <w:kern w:val="0"/>
                      <w:sz w:val="28"/>
                      <w:szCs w:val="28"/>
                    </w:rPr>
                  </w:pPr>
                </w:p>
              </w:tc>
              <w:tc>
                <w:tcPr>
                  <w:tcW w:w="962" w:type="dxa"/>
                  <w:tcBorders>
                    <w:top w:val="nil"/>
                    <w:left w:val="nil"/>
                    <w:bottom w:val="single" w:color="auto" w:sz="4" w:space="0"/>
                    <w:right w:val="single" w:color="auto" w:sz="4" w:space="0"/>
                  </w:tcBorders>
                  <w:shd w:val="clear" w:color="auto" w:fill="auto"/>
                  <w:noWrap/>
                  <w:vAlign w:val="center"/>
                </w:tcPr>
                <w:p w14:paraId="7FFF50E6">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真实</w:t>
                  </w:r>
                </w:p>
              </w:tc>
              <w:tc>
                <w:tcPr>
                  <w:tcW w:w="1075" w:type="dxa"/>
                  <w:tcBorders>
                    <w:top w:val="nil"/>
                    <w:left w:val="nil"/>
                    <w:bottom w:val="single" w:color="auto" w:sz="4" w:space="0"/>
                    <w:right w:val="single" w:color="auto" w:sz="4" w:space="0"/>
                  </w:tcBorders>
                  <w:shd w:val="clear" w:color="auto" w:fill="auto"/>
                  <w:noWrap/>
                  <w:vAlign w:val="center"/>
                </w:tcPr>
                <w:p w14:paraId="336A4B82">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不真实</w:t>
                  </w:r>
                </w:p>
              </w:tc>
              <w:tc>
                <w:tcPr>
                  <w:tcW w:w="1129" w:type="dxa"/>
                  <w:vMerge w:val="continue"/>
                  <w:tcBorders>
                    <w:left w:val="nil"/>
                    <w:bottom w:val="single" w:color="auto" w:sz="4" w:space="0"/>
                    <w:right w:val="single" w:color="auto" w:sz="4" w:space="0"/>
                  </w:tcBorders>
                  <w:shd w:val="clear" w:color="auto" w:fill="auto"/>
                  <w:noWrap/>
                  <w:vAlign w:val="center"/>
                </w:tcPr>
                <w:p w14:paraId="228EDE13">
                  <w:pPr>
                    <w:widowControl/>
                    <w:jc w:val="center"/>
                    <w:rPr>
                      <w:rFonts w:hint="eastAsia" w:ascii="宋体" w:hAnsi="宋体" w:eastAsia="宋体" w:cs="宋体"/>
                      <w:color w:val="000000"/>
                      <w:kern w:val="0"/>
                      <w:sz w:val="28"/>
                      <w:szCs w:val="28"/>
                    </w:rPr>
                  </w:pPr>
                </w:p>
              </w:tc>
            </w:tr>
            <w:tr w14:paraId="5F1A2D94">
              <w:tblPrEx>
                <w:tblCellMar>
                  <w:top w:w="0" w:type="dxa"/>
                  <w:left w:w="108" w:type="dxa"/>
                  <w:bottom w:w="0" w:type="dxa"/>
                  <w:right w:w="108" w:type="dxa"/>
                </w:tblCellMar>
              </w:tblPrEx>
              <w:trPr>
                <w:trHeight w:val="726"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center"/>
                </w:tcPr>
                <w:p w14:paraId="337C61BC">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1175" w:type="dxa"/>
                  <w:tcBorders>
                    <w:top w:val="nil"/>
                    <w:left w:val="nil"/>
                    <w:bottom w:val="single" w:color="auto" w:sz="4" w:space="0"/>
                    <w:right w:val="single" w:color="auto" w:sz="4" w:space="0"/>
                  </w:tcBorders>
                  <w:shd w:val="clear" w:color="auto" w:fill="auto"/>
                  <w:noWrap/>
                  <w:vAlign w:val="center"/>
                </w:tcPr>
                <w:p w14:paraId="149847B6">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33" w:type="dxa"/>
                  <w:tcBorders>
                    <w:top w:val="nil"/>
                    <w:left w:val="nil"/>
                    <w:bottom w:val="single" w:color="auto" w:sz="4" w:space="0"/>
                    <w:right w:val="single" w:color="auto" w:sz="4" w:space="0"/>
                  </w:tcBorders>
                  <w:shd w:val="clear" w:color="auto" w:fill="auto"/>
                  <w:noWrap/>
                  <w:vAlign w:val="center"/>
                </w:tcPr>
                <w:p w14:paraId="4AC2C44D">
                  <w:pPr>
                    <w:widowControl/>
                    <w:jc w:val="left"/>
                    <w:rPr>
                      <w:rFonts w:hint="eastAsia" w:ascii="宋体" w:hAnsi="宋体" w:eastAsia="宋体" w:cs="宋体"/>
                      <w:color w:val="000000"/>
                      <w:kern w:val="0"/>
                      <w:sz w:val="28"/>
                      <w:szCs w:val="28"/>
                    </w:rPr>
                  </w:pPr>
                </w:p>
              </w:tc>
              <w:tc>
                <w:tcPr>
                  <w:tcW w:w="766" w:type="dxa"/>
                  <w:tcBorders>
                    <w:top w:val="nil"/>
                    <w:left w:val="nil"/>
                    <w:bottom w:val="single" w:color="auto" w:sz="4" w:space="0"/>
                    <w:right w:val="single" w:color="auto" w:sz="4" w:space="0"/>
                  </w:tcBorders>
                  <w:shd w:val="clear" w:color="auto" w:fill="auto"/>
                  <w:noWrap/>
                  <w:vAlign w:val="center"/>
                </w:tcPr>
                <w:p w14:paraId="30AB0DC7">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16" w:type="dxa"/>
                  <w:tcBorders>
                    <w:top w:val="nil"/>
                    <w:left w:val="nil"/>
                    <w:bottom w:val="single" w:color="auto" w:sz="4" w:space="0"/>
                    <w:right w:val="single" w:color="auto" w:sz="4" w:space="0"/>
                  </w:tcBorders>
                  <w:shd w:val="clear" w:color="auto" w:fill="auto"/>
                  <w:noWrap/>
                  <w:vAlign w:val="center"/>
                </w:tcPr>
                <w:p w14:paraId="642D5432">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62" w:type="dxa"/>
                  <w:tcBorders>
                    <w:top w:val="nil"/>
                    <w:left w:val="nil"/>
                    <w:bottom w:val="single" w:color="auto" w:sz="4" w:space="0"/>
                    <w:right w:val="single" w:color="auto" w:sz="4" w:space="0"/>
                  </w:tcBorders>
                  <w:shd w:val="clear" w:color="auto" w:fill="auto"/>
                  <w:noWrap/>
                  <w:vAlign w:val="center"/>
                </w:tcPr>
                <w:p w14:paraId="6579F81F">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75" w:type="dxa"/>
                  <w:tcBorders>
                    <w:top w:val="nil"/>
                    <w:left w:val="nil"/>
                    <w:bottom w:val="single" w:color="auto" w:sz="4" w:space="0"/>
                    <w:right w:val="single" w:color="auto" w:sz="4" w:space="0"/>
                  </w:tcBorders>
                  <w:shd w:val="clear" w:color="auto" w:fill="auto"/>
                  <w:noWrap/>
                  <w:vAlign w:val="center"/>
                </w:tcPr>
                <w:p w14:paraId="121DCDB7">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29" w:type="dxa"/>
                  <w:tcBorders>
                    <w:top w:val="nil"/>
                    <w:left w:val="nil"/>
                    <w:bottom w:val="single" w:color="auto" w:sz="4" w:space="0"/>
                    <w:right w:val="single" w:color="auto" w:sz="4" w:space="0"/>
                  </w:tcBorders>
                  <w:shd w:val="clear" w:color="auto" w:fill="auto"/>
                  <w:noWrap/>
                  <w:vAlign w:val="center"/>
                </w:tcPr>
                <w:p w14:paraId="6B5AD575">
                  <w:pPr>
                    <w:widowControl/>
                    <w:jc w:val="left"/>
                    <w:rPr>
                      <w:rFonts w:hint="eastAsia" w:ascii="宋体" w:hAnsi="宋体" w:eastAsia="宋体" w:cs="宋体"/>
                      <w:color w:val="000000"/>
                      <w:kern w:val="0"/>
                      <w:sz w:val="28"/>
                      <w:szCs w:val="28"/>
                    </w:rPr>
                  </w:pPr>
                </w:p>
              </w:tc>
            </w:tr>
            <w:tr w14:paraId="408ADD95">
              <w:tblPrEx>
                <w:tblCellMar>
                  <w:top w:w="0" w:type="dxa"/>
                  <w:left w:w="108" w:type="dxa"/>
                  <w:bottom w:w="0" w:type="dxa"/>
                  <w:right w:w="108" w:type="dxa"/>
                </w:tblCellMar>
              </w:tblPrEx>
              <w:trPr>
                <w:trHeight w:val="726"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center"/>
                </w:tcPr>
                <w:p w14:paraId="634B5174">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1175" w:type="dxa"/>
                  <w:tcBorders>
                    <w:top w:val="nil"/>
                    <w:left w:val="nil"/>
                    <w:bottom w:val="single" w:color="auto" w:sz="4" w:space="0"/>
                    <w:right w:val="single" w:color="auto" w:sz="4" w:space="0"/>
                  </w:tcBorders>
                  <w:shd w:val="clear" w:color="auto" w:fill="auto"/>
                  <w:noWrap/>
                  <w:vAlign w:val="center"/>
                </w:tcPr>
                <w:p w14:paraId="546425FE">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33" w:type="dxa"/>
                  <w:tcBorders>
                    <w:top w:val="nil"/>
                    <w:left w:val="nil"/>
                    <w:bottom w:val="single" w:color="auto" w:sz="4" w:space="0"/>
                    <w:right w:val="single" w:color="auto" w:sz="4" w:space="0"/>
                  </w:tcBorders>
                  <w:shd w:val="clear" w:color="auto" w:fill="auto"/>
                  <w:noWrap/>
                  <w:vAlign w:val="center"/>
                </w:tcPr>
                <w:p w14:paraId="27A5E52B">
                  <w:pPr>
                    <w:widowControl/>
                    <w:jc w:val="left"/>
                    <w:rPr>
                      <w:rFonts w:hint="eastAsia" w:ascii="宋体" w:hAnsi="宋体" w:eastAsia="宋体" w:cs="宋体"/>
                      <w:color w:val="000000"/>
                      <w:kern w:val="0"/>
                      <w:sz w:val="28"/>
                      <w:szCs w:val="28"/>
                    </w:rPr>
                  </w:pPr>
                </w:p>
              </w:tc>
              <w:tc>
                <w:tcPr>
                  <w:tcW w:w="766" w:type="dxa"/>
                  <w:tcBorders>
                    <w:top w:val="nil"/>
                    <w:left w:val="nil"/>
                    <w:bottom w:val="single" w:color="auto" w:sz="4" w:space="0"/>
                    <w:right w:val="single" w:color="auto" w:sz="4" w:space="0"/>
                  </w:tcBorders>
                  <w:shd w:val="clear" w:color="auto" w:fill="auto"/>
                  <w:noWrap/>
                  <w:vAlign w:val="center"/>
                </w:tcPr>
                <w:p w14:paraId="42C7BA45">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16" w:type="dxa"/>
                  <w:tcBorders>
                    <w:top w:val="nil"/>
                    <w:left w:val="nil"/>
                    <w:bottom w:val="single" w:color="auto" w:sz="4" w:space="0"/>
                    <w:right w:val="single" w:color="auto" w:sz="4" w:space="0"/>
                  </w:tcBorders>
                  <w:shd w:val="clear" w:color="auto" w:fill="auto"/>
                  <w:noWrap/>
                  <w:vAlign w:val="center"/>
                </w:tcPr>
                <w:p w14:paraId="2BC39FE6">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62" w:type="dxa"/>
                  <w:tcBorders>
                    <w:top w:val="nil"/>
                    <w:left w:val="nil"/>
                    <w:bottom w:val="single" w:color="auto" w:sz="4" w:space="0"/>
                    <w:right w:val="single" w:color="auto" w:sz="4" w:space="0"/>
                  </w:tcBorders>
                  <w:shd w:val="clear" w:color="auto" w:fill="auto"/>
                  <w:noWrap/>
                  <w:vAlign w:val="center"/>
                </w:tcPr>
                <w:p w14:paraId="5B83A148">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75" w:type="dxa"/>
                  <w:tcBorders>
                    <w:top w:val="nil"/>
                    <w:left w:val="nil"/>
                    <w:bottom w:val="single" w:color="auto" w:sz="4" w:space="0"/>
                    <w:right w:val="single" w:color="auto" w:sz="4" w:space="0"/>
                  </w:tcBorders>
                  <w:shd w:val="clear" w:color="auto" w:fill="auto"/>
                  <w:noWrap/>
                  <w:vAlign w:val="center"/>
                </w:tcPr>
                <w:p w14:paraId="41B20167">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29" w:type="dxa"/>
                  <w:tcBorders>
                    <w:top w:val="nil"/>
                    <w:left w:val="nil"/>
                    <w:bottom w:val="single" w:color="auto" w:sz="4" w:space="0"/>
                    <w:right w:val="single" w:color="auto" w:sz="4" w:space="0"/>
                  </w:tcBorders>
                  <w:shd w:val="clear" w:color="auto" w:fill="auto"/>
                  <w:noWrap/>
                  <w:vAlign w:val="center"/>
                </w:tcPr>
                <w:p w14:paraId="1A2AEF02">
                  <w:pPr>
                    <w:widowControl/>
                    <w:jc w:val="left"/>
                    <w:rPr>
                      <w:rFonts w:hint="eastAsia" w:ascii="宋体" w:hAnsi="宋体" w:eastAsia="宋体" w:cs="宋体"/>
                      <w:color w:val="000000"/>
                      <w:kern w:val="0"/>
                      <w:sz w:val="28"/>
                      <w:szCs w:val="28"/>
                    </w:rPr>
                  </w:pPr>
                </w:p>
              </w:tc>
            </w:tr>
            <w:tr w14:paraId="08D4E58C">
              <w:tblPrEx>
                <w:tblCellMar>
                  <w:top w:w="0" w:type="dxa"/>
                  <w:left w:w="108" w:type="dxa"/>
                  <w:bottom w:w="0" w:type="dxa"/>
                  <w:right w:w="108" w:type="dxa"/>
                </w:tblCellMar>
              </w:tblPrEx>
              <w:trPr>
                <w:trHeight w:val="726"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center"/>
                </w:tcPr>
                <w:p w14:paraId="137EFDD6">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w:t>
                  </w:r>
                </w:p>
              </w:tc>
              <w:tc>
                <w:tcPr>
                  <w:tcW w:w="1175" w:type="dxa"/>
                  <w:tcBorders>
                    <w:top w:val="nil"/>
                    <w:left w:val="nil"/>
                    <w:bottom w:val="single" w:color="auto" w:sz="4" w:space="0"/>
                    <w:right w:val="single" w:color="auto" w:sz="4" w:space="0"/>
                  </w:tcBorders>
                  <w:shd w:val="clear" w:color="auto" w:fill="auto"/>
                  <w:noWrap/>
                  <w:vAlign w:val="center"/>
                </w:tcPr>
                <w:p w14:paraId="05A2B3C1">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33" w:type="dxa"/>
                  <w:tcBorders>
                    <w:top w:val="nil"/>
                    <w:left w:val="nil"/>
                    <w:bottom w:val="single" w:color="auto" w:sz="4" w:space="0"/>
                    <w:right w:val="single" w:color="auto" w:sz="4" w:space="0"/>
                  </w:tcBorders>
                  <w:shd w:val="clear" w:color="auto" w:fill="auto"/>
                  <w:noWrap/>
                  <w:vAlign w:val="center"/>
                </w:tcPr>
                <w:p w14:paraId="01DC8DD6">
                  <w:pPr>
                    <w:widowControl/>
                    <w:jc w:val="left"/>
                    <w:rPr>
                      <w:rFonts w:hint="eastAsia" w:ascii="宋体" w:hAnsi="宋体" w:eastAsia="宋体" w:cs="宋体"/>
                      <w:color w:val="000000"/>
                      <w:kern w:val="0"/>
                      <w:sz w:val="28"/>
                      <w:szCs w:val="28"/>
                    </w:rPr>
                  </w:pPr>
                </w:p>
              </w:tc>
              <w:tc>
                <w:tcPr>
                  <w:tcW w:w="766" w:type="dxa"/>
                  <w:tcBorders>
                    <w:top w:val="nil"/>
                    <w:left w:val="nil"/>
                    <w:bottom w:val="single" w:color="auto" w:sz="4" w:space="0"/>
                    <w:right w:val="single" w:color="auto" w:sz="4" w:space="0"/>
                  </w:tcBorders>
                  <w:shd w:val="clear" w:color="auto" w:fill="auto"/>
                  <w:noWrap/>
                  <w:vAlign w:val="center"/>
                </w:tcPr>
                <w:p w14:paraId="507D0C55">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16" w:type="dxa"/>
                  <w:tcBorders>
                    <w:top w:val="nil"/>
                    <w:left w:val="nil"/>
                    <w:bottom w:val="single" w:color="auto" w:sz="4" w:space="0"/>
                    <w:right w:val="single" w:color="auto" w:sz="4" w:space="0"/>
                  </w:tcBorders>
                  <w:shd w:val="clear" w:color="auto" w:fill="auto"/>
                  <w:noWrap/>
                  <w:vAlign w:val="center"/>
                </w:tcPr>
                <w:p w14:paraId="1F2921C2">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62" w:type="dxa"/>
                  <w:tcBorders>
                    <w:top w:val="nil"/>
                    <w:left w:val="nil"/>
                    <w:bottom w:val="single" w:color="auto" w:sz="4" w:space="0"/>
                    <w:right w:val="single" w:color="auto" w:sz="4" w:space="0"/>
                  </w:tcBorders>
                  <w:shd w:val="clear" w:color="auto" w:fill="auto"/>
                  <w:noWrap/>
                  <w:vAlign w:val="center"/>
                </w:tcPr>
                <w:p w14:paraId="793A4152">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75" w:type="dxa"/>
                  <w:tcBorders>
                    <w:top w:val="nil"/>
                    <w:left w:val="nil"/>
                    <w:bottom w:val="single" w:color="auto" w:sz="4" w:space="0"/>
                    <w:right w:val="single" w:color="auto" w:sz="4" w:space="0"/>
                  </w:tcBorders>
                  <w:shd w:val="clear" w:color="auto" w:fill="auto"/>
                  <w:noWrap/>
                  <w:vAlign w:val="center"/>
                </w:tcPr>
                <w:p w14:paraId="351996D9">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29" w:type="dxa"/>
                  <w:tcBorders>
                    <w:top w:val="nil"/>
                    <w:left w:val="nil"/>
                    <w:bottom w:val="single" w:color="auto" w:sz="4" w:space="0"/>
                    <w:right w:val="single" w:color="auto" w:sz="4" w:space="0"/>
                  </w:tcBorders>
                  <w:shd w:val="clear" w:color="auto" w:fill="auto"/>
                  <w:noWrap/>
                  <w:vAlign w:val="center"/>
                </w:tcPr>
                <w:p w14:paraId="2D330821">
                  <w:pPr>
                    <w:widowControl/>
                    <w:jc w:val="left"/>
                    <w:rPr>
                      <w:rFonts w:hint="eastAsia" w:ascii="宋体" w:hAnsi="宋体" w:eastAsia="宋体" w:cs="宋体"/>
                      <w:color w:val="000000"/>
                      <w:kern w:val="0"/>
                      <w:sz w:val="28"/>
                      <w:szCs w:val="28"/>
                    </w:rPr>
                  </w:pPr>
                </w:p>
              </w:tc>
            </w:tr>
            <w:tr w14:paraId="2FA8AC38">
              <w:tblPrEx>
                <w:tblCellMar>
                  <w:top w:w="0" w:type="dxa"/>
                  <w:left w:w="108" w:type="dxa"/>
                  <w:bottom w:w="0" w:type="dxa"/>
                  <w:right w:w="108" w:type="dxa"/>
                </w:tblCellMar>
              </w:tblPrEx>
              <w:trPr>
                <w:trHeight w:val="726"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center"/>
                </w:tcPr>
                <w:p w14:paraId="5ABDED9A">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w:t>
                  </w:r>
                </w:p>
              </w:tc>
              <w:tc>
                <w:tcPr>
                  <w:tcW w:w="1175" w:type="dxa"/>
                  <w:tcBorders>
                    <w:top w:val="nil"/>
                    <w:left w:val="nil"/>
                    <w:bottom w:val="single" w:color="auto" w:sz="4" w:space="0"/>
                    <w:right w:val="single" w:color="auto" w:sz="4" w:space="0"/>
                  </w:tcBorders>
                  <w:shd w:val="clear" w:color="auto" w:fill="auto"/>
                  <w:noWrap/>
                  <w:vAlign w:val="center"/>
                </w:tcPr>
                <w:p w14:paraId="6766B72A">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33" w:type="dxa"/>
                  <w:tcBorders>
                    <w:top w:val="nil"/>
                    <w:left w:val="nil"/>
                    <w:bottom w:val="single" w:color="auto" w:sz="4" w:space="0"/>
                    <w:right w:val="single" w:color="auto" w:sz="4" w:space="0"/>
                  </w:tcBorders>
                  <w:shd w:val="clear" w:color="auto" w:fill="auto"/>
                  <w:noWrap/>
                  <w:vAlign w:val="center"/>
                </w:tcPr>
                <w:p w14:paraId="0B25DB12">
                  <w:pPr>
                    <w:widowControl/>
                    <w:jc w:val="left"/>
                    <w:rPr>
                      <w:rFonts w:hint="eastAsia" w:ascii="宋体" w:hAnsi="宋体" w:eastAsia="宋体" w:cs="宋体"/>
                      <w:color w:val="000000"/>
                      <w:kern w:val="0"/>
                      <w:sz w:val="28"/>
                      <w:szCs w:val="28"/>
                    </w:rPr>
                  </w:pPr>
                </w:p>
              </w:tc>
              <w:tc>
                <w:tcPr>
                  <w:tcW w:w="766" w:type="dxa"/>
                  <w:tcBorders>
                    <w:top w:val="nil"/>
                    <w:left w:val="nil"/>
                    <w:bottom w:val="single" w:color="auto" w:sz="4" w:space="0"/>
                    <w:right w:val="single" w:color="auto" w:sz="4" w:space="0"/>
                  </w:tcBorders>
                  <w:shd w:val="clear" w:color="auto" w:fill="auto"/>
                  <w:noWrap/>
                  <w:vAlign w:val="center"/>
                </w:tcPr>
                <w:p w14:paraId="1EE69EC5">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16" w:type="dxa"/>
                  <w:tcBorders>
                    <w:top w:val="nil"/>
                    <w:left w:val="nil"/>
                    <w:bottom w:val="single" w:color="auto" w:sz="4" w:space="0"/>
                    <w:right w:val="single" w:color="auto" w:sz="4" w:space="0"/>
                  </w:tcBorders>
                  <w:shd w:val="clear" w:color="auto" w:fill="auto"/>
                  <w:noWrap/>
                  <w:vAlign w:val="center"/>
                </w:tcPr>
                <w:p w14:paraId="3DD57065">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62" w:type="dxa"/>
                  <w:tcBorders>
                    <w:top w:val="nil"/>
                    <w:left w:val="nil"/>
                    <w:bottom w:val="single" w:color="auto" w:sz="4" w:space="0"/>
                    <w:right w:val="single" w:color="auto" w:sz="4" w:space="0"/>
                  </w:tcBorders>
                  <w:shd w:val="clear" w:color="auto" w:fill="auto"/>
                  <w:noWrap/>
                  <w:vAlign w:val="center"/>
                </w:tcPr>
                <w:p w14:paraId="3A4402FE">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75" w:type="dxa"/>
                  <w:tcBorders>
                    <w:top w:val="nil"/>
                    <w:left w:val="nil"/>
                    <w:bottom w:val="single" w:color="auto" w:sz="4" w:space="0"/>
                    <w:right w:val="single" w:color="auto" w:sz="4" w:space="0"/>
                  </w:tcBorders>
                  <w:shd w:val="clear" w:color="auto" w:fill="auto"/>
                  <w:noWrap/>
                  <w:vAlign w:val="center"/>
                </w:tcPr>
                <w:p w14:paraId="20E311A5">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29" w:type="dxa"/>
                  <w:tcBorders>
                    <w:top w:val="nil"/>
                    <w:left w:val="nil"/>
                    <w:bottom w:val="single" w:color="auto" w:sz="4" w:space="0"/>
                    <w:right w:val="single" w:color="auto" w:sz="4" w:space="0"/>
                  </w:tcBorders>
                  <w:shd w:val="clear" w:color="auto" w:fill="auto"/>
                  <w:noWrap/>
                  <w:vAlign w:val="center"/>
                </w:tcPr>
                <w:p w14:paraId="37815AD5">
                  <w:pPr>
                    <w:widowControl/>
                    <w:jc w:val="left"/>
                    <w:rPr>
                      <w:rFonts w:hint="eastAsia" w:ascii="宋体" w:hAnsi="宋体" w:eastAsia="宋体" w:cs="宋体"/>
                      <w:color w:val="000000"/>
                      <w:kern w:val="0"/>
                      <w:sz w:val="28"/>
                      <w:szCs w:val="28"/>
                    </w:rPr>
                  </w:pPr>
                </w:p>
              </w:tc>
            </w:tr>
            <w:tr w14:paraId="4B41BB82">
              <w:tblPrEx>
                <w:tblCellMar>
                  <w:top w:w="0" w:type="dxa"/>
                  <w:left w:w="108" w:type="dxa"/>
                  <w:bottom w:w="0" w:type="dxa"/>
                  <w:right w:w="108" w:type="dxa"/>
                </w:tblCellMar>
              </w:tblPrEx>
              <w:trPr>
                <w:trHeight w:val="726"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center"/>
                </w:tcPr>
                <w:p w14:paraId="1A659079">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w:t>
                  </w:r>
                </w:p>
              </w:tc>
              <w:tc>
                <w:tcPr>
                  <w:tcW w:w="1175" w:type="dxa"/>
                  <w:tcBorders>
                    <w:top w:val="nil"/>
                    <w:left w:val="nil"/>
                    <w:bottom w:val="single" w:color="auto" w:sz="4" w:space="0"/>
                    <w:right w:val="single" w:color="auto" w:sz="4" w:space="0"/>
                  </w:tcBorders>
                  <w:shd w:val="clear" w:color="auto" w:fill="auto"/>
                  <w:noWrap/>
                  <w:vAlign w:val="center"/>
                </w:tcPr>
                <w:p w14:paraId="3A7646D6">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33" w:type="dxa"/>
                  <w:tcBorders>
                    <w:top w:val="nil"/>
                    <w:left w:val="nil"/>
                    <w:bottom w:val="single" w:color="auto" w:sz="4" w:space="0"/>
                    <w:right w:val="single" w:color="auto" w:sz="4" w:space="0"/>
                  </w:tcBorders>
                  <w:shd w:val="clear" w:color="auto" w:fill="auto"/>
                  <w:noWrap/>
                  <w:vAlign w:val="center"/>
                </w:tcPr>
                <w:p w14:paraId="629B2B01">
                  <w:pPr>
                    <w:widowControl/>
                    <w:jc w:val="left"/>
                    <w:rPr>
                      <w:rFonts w:hint="eastAsia" w:ascii="宋体" w:hAnsi="宋体" w:eastAsia="宋体" w:cs="宋体"/>
                      <w:color w:val="000000"/>
                      <w:kern w:val="0"/>
                      <w:sz w:val="28"/>
                      <w:szCs w:val="28"/>
                    </w:rPr>
                  </w:pPr>
                </w:p>
              </w:tc>
              <w:tc>
                <w:tcPr>
                  <w:tcW w:w="766" w:type="dxa"/>
                  <w:tcBorders>
                    <w:top w:val="nil"/>
                    <w:left w:val="nil"/>
                    <w:bottom w:val="single" w:color="auto" w:sz="4" w:space="0"/>
                    <w:right w:val="single" w:color="auto" w:sz="4" w:space="0"/>
                  </w:tcBorders>
                  <w:shd w:val="clear" w:color="auto" w:fill="auto"/>
                  <w:noWrap/>
                  <w:vAlign w:val="center"/>
                </w:tcPr>
                <w:p w14:paraId="13D24BC2">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16" w:type="dxa"/>
                  <w:tcBorders>
                    <w:top w:val="nil"/>
                    <w:left w:val="nil"/>
                    <w:bottom w:val="single" w:color="auto" w:sz="4" w:space="0"/>
                    <w:right w:val="single" w:color="auto" w:sz="4" w:space="0"/>
                  </w:tcBorders>
                  <w:shd w:val="clear" w:color="auto" w:fill="auto"/>
                  <w:noWrap/>
                  <w:vAlign w:val="center"/>
                </w:tcPr>
                <w:p w14:paraId="5C1E1028">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62" w:type="dxa"/>
                  <w:tcBorders>
                    <w:top w:val="nil"/>
                    <w:left w:val="nil"/>
                    <w:bottom w:val="single" w:color="auto" w:sz="4" w:space="0"/>
                    <w:right w:val="single" w:color="auto" w:sz="4" w:space="0"/>
                  </w:tcBorders>
                  <w:shd w:val="clear" w:color="auto" w:fill="auto"/>
                  <w:noWrap/>
                  <w:vAlign w:val="center"/>
                </w:tcPr>
                <w:p w14:paraId="71380FFD">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75" w:type="dxa"/>
                  <w:tcBorders>
                    <w:top w:val="nil"/>
                    <w:left w:val="nil"/>
                    <w:bottom w:val="single" w:color="auto" w:sz="4" w:space="0"/>
                    <w:right w:val="single" w:color="auto" w:sz="4" w:space="0"/>
                  </w:tcBorders>
                  <w:shd w:val="clear" w:color="auto" w:fill="auto"/>
                  <w:noWrap/>
                  <w:vAlign w:val="center"/>
                </w:tcPr>
                <w:p w14:paraId="5AF13720">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29" w:type="dxa"/>
                  <w:tcBorders>
                    <w:top w:val="nil"/>
                    <w:left w:val="nil"/>
                    <w:bottom w:val="single" w:color="auto" w:sz="4" w:space="0"/>
                    <w:right w:val="single" w:color="auto" w:sz="4" w:space="0"/>
                  </w:tcBorders>
                  <w:shd w:val="clear" w:color="auto" w:fill="auto"/>
                  <w:noWrap/>
                  <w:vAlign w:val="center"/>
                </w:tcPr>
                <w:p w14:paraId="31635069">
                  <w:pPr>
                    <w:widowControl/>
                    <w:jc w:val="left"/>
                    <w:rPr>
                      <w:rFonts w:hint="eastAsia" w:ascii="宋体" w:hAnsi="宋体" w:eastAsia="宋体" w:cs="宋体"/>
                      <w:color w:val="000000"/>
                      <w:kern w:val="0"/>
                      <w:sz w:val="28"/>
                      <w:szCs w:val="28"/>
                    </w:rPr>
                  </w:pPr>
                </w:p>
              </w:tc>
            </w:tr>
            <w:tr w14:paraId="1C9EEC08">
              <w:tblPrEx>
                <w:tblCellMar>
                  <w:top w:w="0" w:type="dxa"/>
                  <w:left w:w="108" w:type="dxa"/>
                  <w:bottom w:w="0" w:type="dxa"/>
                  <w:right w:w="108" w:type="dxa"/>
                </w:tblCellMar>
              </w:tblPrEx>
              <w:trPr>
                <w:trHeight w:val="726"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center"/>
                </w:tcPr>
                <w:p w14:paraId="06D0E01D">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w:t>
                  </w:r>
                </w:p>
              </w:tc>
              <w:tc>
                <w:tcPr>
                  <w:tcW w:w="1175" w:type="dxa"/>
                  <w:tcBorders>
                    <w:top w:val="nil"/>
                    <w:left w:val="nil"/>
                    <w:bottom w:val="single" w:color="auto" w:sz="4" w:space="0"/>
                    <w:right w:val="single" w:color="auto" w:sz="4" w:space="0"/>
                  </w:tcBorders>
                  <w:shd w:val="clear" w:color="auto" w:fill="auto"/>
                  <w:noWrap/>
                  <w:vAlign w:val="center"/>
                </w:tcPr>
                <w:p w14:paraId="0DCDBB26">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33" w:type="dxa"/>
                  <w:tcBorders>
                    <w:top w:val="nil"/>
                    <w:left w:val="nil"/>
                    <w:bottom w:val="single" w:color="auto" w:sz="4" w:space="0"/>
                    <w:right w:val="single" w:color="auto" w:sz="4" w:space="0"/>
                  </w:tcBorders>
                  <w:shd w:val="clear" w:color="auto" w:fill="auto"/>
                  <w:noWrap/>
                  <w:vAlign w:val="center"/>
                </w:tcPr>
                <w:p w14:paraId="55E99C41">
                  <w:pPr>
                    <w:widowControl/>
                    <w:jc w:val="left"/>
                    <w:rPr>
                      <w:rFonts w:hint="eastAsia" w:ascii="宋体" w:hAnsi="宋体" w:eastAsia="宋体" w:cs="宋体"/>
                      <w:color w:val="000000"/>
                      <w:kern w:val="0"/>
                      <w:sz w:val="28"/>
                      <w:szCs w:val="28"/>
                    </w:rPr>
                  </w:pPr>
                </w:p>
              </w:tc>
              <w:tc>
                <w:tcPr>
                  <w:tcW w:w="766" w:type="dxa"/>
                  <w:tcBorders>
                    <w:top w:val="nil"/>
                    <w:left w:val="nil"/>
                    <w:bottom w:val="single" w:color="auto" w:sz="4" w:space="0"/>
                    <w:right w:val="single" w:color="auto" w:sz="4" w:space="0"/>
                  </w:tcBorders>
                  <w:shd w:val="clear" w:color="auto" w:fill="auto"/>
                  <w:noWrap/>
                  <w:vAlign w:val="center"/>
                </w:tcPr>
                <w:p w14:paraId="06A5EBE7">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16" w:type="dxa"/>
                  <w:tcBorders>
                    <w:top w:val="nil"/>
                    <w:left w:val="nil"/>
                    <w:bottom w:val="single" w:color="auto" w:sz="4" w:space="0"/>
                    <w:right w:val="single" w:color="auto" w:sz="4" w:space="0"/>
                  </w:tcBorders>
                  <w:shd w:val="clear" w:color="auto" w:fill="auto"/>
                  <w:noWrap/>
                  <w:vAlign w:val="center"/>
                </w:tcPr>
                <w:p w14:paraId="07CD3EEE">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62" w:type="dxa"/>
                  <w:tcBorders>
                    <w:top w:val="nil"/>
                    <w:left w:val="nil"/>
                    <w:bottom w:val="single" w:color="auto" w:sz="4" w:space="0"/>
                    <w:right w:val="single" w:color="auto" w:sz="4" w:space="0"/>
                  </w:tcBorders>
                  <w:shd w:val="clear" w:color="auto" w:fill="auto"/>
                  <w:noWrap/>
                  <w:vAlign w:val="center"/>
                </w:tcPr>
                <w:p w14:paraId="2B90FC11">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75" w:type="dxa"/>
                  <w:tcBorders>
                    <w:top w:val="nil"/>
                    <w:left w:val="nil"/>
                    <w:bottom w:val="single" w:color="auto" w:sz="4" w:space="0"/>
                    <w:right w:val="single" w:color="auto" w:sz="4" w:space="0"/>
                  </w:tcBorders>
                  <w:shd w:val="clear" w:color="auto" w:fill="auto"/>
                  <w:noWrap/>
                  <w:vAlign w:val="center"/>
                </w:tcPr>
                <w:p w14:paraId="21B2B06D">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29" w:type="dxa"/>
                  <w:tcBorders>
                    <w:top w:val="nil"/>
                    <w:left w:val="nil"/>
                    <w:bottom w:val="single" w:color="auto" w:sz="4" w:space="0"/>
                    <w:right w:val="single" w:color="auto" w:sz="4" w:space="0"/>
                  </w:tcBorders>
                  <w:shd w:val="clear" w:color="auto" w:fill="auto"/>
                  <w:noWrap/>
                  <w:vAlign w:val="center"/>
                </w:tcPr>
                <w:p w14:paraId="3DCAD37A">
                  <w:pPr>
                    <w:widowControl/>
                    <w:jc w:val="left"/>
                    <w:rPr>
                      <w:rFonts w:hint="eastAsia" w:ascii="宋体" w:hAnsi="宋体" w:eastAsia="宋体" w:cs="宋体"/>
                      <w:color w:val="000000"/>
                      <w:kern w:val="0"/>
                      <w:sz w:val="28"/>
                      <w:szCs w:val="28"/>
                    </w:rPr>
                  </w:pPr>
                </w:p>
              </w:tc>
            </w:tr>
            <w:tr w14:paraId="454CE65D">
              <w:tblPrEx>
                <w:tblCellMar>
                  <w:top w:w="0" w:type="dxa"/>
                  <w:left w:w="108" w:type="dxa"/>
                  <w:bottom w:w="0" w:type="dxa"/>
                  <w:right w:w="108" w:type="dxa"/>
                </w:tblCellMar>
              </w:tblPrEx>
              <w:trPr>
                <w:trHeight w:val="726"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center"/>
                </w:tcPr>
                <w:p w14:paraId="0C81CB99">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7</w:t>
                  </w:r>
                </w:p>
              </w:tc>
              <w:tc>
                <w:tcPr>
                  <w:tcW w:w="1175" w:type="dxa"/>
                  <w:tcBorders>
                    <w:top w:val="nil"/>
                    <w:left w:val="nil"/>
                    <w:bottom w:val="single" w:color="auto" w:sz="4" w:space="0"/>
                    <w:right w:val="single" w:color="auto" w:sz="4" w:space="0"/>
                  </w:tcBorders>
                  <w:shd w:val="clear" w:color="auto" w:fill="auto"/>
                  <w:noWrap/>
                  <w:vAlign w:val="center"/>
                </w:tcPr>
                <w:p w14:paraId="50E48FE4">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33" w:type="dxa"/>
                  <w:tcBorders>
                    <w:top w:val="nil"/>
                    <w:left w:val="nil"/>
                    <w:bottom w:val="single" w:color="auto" w:sz="4" w:space="0"/>
                    <w:right w:val="single" w:color="auto" w:sz="4" w:space="0"/>
                  </w:tcBorders>
                  <w:shd w:val="clear" w:color="auto" w:fill="auto"/>
                  <w:noWrap/>
                  <w:vAlign w:val="center"/>
                </w:tcPr>
                <w:p w14:paraId="1A0D8053">
                  <w:pPr>
                    <w:widowControl/>
                    <w:jc w:val="left"/>
                    <w:rPr>
                      <w:rFonts w:hint="eastAsia" w:ascii="宋体" w:hAnsi="宋体" w:eastAsia="宋体" w:cs="宋体"/>
                      <w:color w:val="000000"/>
                      <w:kern w:val="0"/>
                      <w:sz w:val="28"/>
                      <w:szCs w:val="28"/>
                    </w:rPr>
                  </w:pPr>
                </w:p>
              </w:tc>
              <w:tc>
                <w:tcPr>
                  <w:tcW w:w="766" w:type="dxa"/>
                  <w:tcBorders>
                    <w:top w:val="nil"/>
                    <w:left w:val="nil"/>
                    <w:bottom w:val="single" w:color="auto" w:sz="4" w:space="0"/>
                    <w:right w:val="single" w:color="auto" w:sz="4" w:space="0"/>
                  </w:tcBorders>
                  <w:shd w:val="clear" w:color="auto" w:fill="auto"/>
                  <w:noWrap/>
                  <w:vAlign w:val="center"/>
                </w:tcPr>
                <w:p w14:paraId="77DFCFB6">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16" w:type="dxa"/>
                  <w:tcBorders>
                    <w:top w:val="nil"/>
                    <w:left w:val="nil"/>
                    <w:bottom w:val="single" w:color="auto" w:sz="4" w:space="0"/>
                    <w:right w:val="single" w:color="auto" w:sz="4" w:space="0"/>
                  </w:tcBorders>
                  <w:shd w:val="clear" w:color="auto" w:fill="auto"/>
                  <w:noWrap/>
                  <w:vAlign w:val="center"/>
                </w:tcPr>
                <w:p w14:paraId="586CB70C">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62" w:type="dxa"/>
                  <w:tcBorders>
                    <w:top w:val="nil"/>
                    <w:left w:val="nil"/>
                    <w:bottom w:val="single" w:color="auto" w:sz="4" w:space="0"/>
                    <w:right w:val="single" w:color="auto" w:sz="4" w:space="0"/>
                  </w:tcBorders>
                  <w:shd w:val="clear" w:color="auto" w:fill="auto"/>
                  <w:noWrap/>
                  <w:vAlign w:val="center"/>
                </w:tcPr>
                <w:p w14:paraId="1D8B64FC">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75" w:type="dxa"/>
                  <w:tcBorders>
                    <w:top w:val="nil"/>
                    <w:left w:val="nil"/>
                    <w:bottom w:val="single" w:color="auto" w:sz="4" w:space="0"/>
                    <w:right w:val="single" w:color="auto" w:sz="4" w:space="0"/>
                  </w:tcBorders>
                  <w:shd w:val="clear" w:color="auto" w:fill="auto"/>
                  <w:noWrap/>
                  <w:vAlign w:val="center"/>
                </w:tcPr>
                <w:p w14:paraId="562EB6A4">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29" w:type="dxa"/>
                  <w:tcBorders>
                    <w:top w:val="nil"/>
                    <w:left w:val="nil"/>
                    <w:bottom w:val="single" w:color="auto" w:sz="4" w:space="0"/>
                    <w:right w:val="single" w:color="auto" w:sz="4" w:space="0"/>
                  </w:tcBorders>
                  <w:shd w:val="clear" w:color="auto" w:fill="auto"/>
                  <w:noWrap/>
                  <w:vAlign w:val="center"/>
                </w:tcPr>
                <w:p w14:paraId="337E0CE9">
                  <w:pPr>
                    <w:widowControl/>
                    <w:jc w:val="left"/>
                    <w:rPr>
                      <w:rFonts w:hint="eastAsia" w:ascii="宋体" w:hAnsi="宋体" w:eastAsia="宋体" w:cs="宋体"/>
                      <w:color w:val="000000"/>
                      <w:kern w:val="0"/>
                      <w:sz w:val="28"/>
                      <w:szCs w:val="28"/>
                    </w:rPr>
                  </w:pPr>
                </w:p>
              </w:tc>
            </w:tr>
            <w:tr w14:paraId="57ABB178">
              <w:tblPrEx>
                <w:tblCellMar>
                  <w:top w:w="0" w:type="dxa"/>
                  <w:left w:w="108" w:type="dxa"/>
                  <w:bottom w:w="0" w:type="dxa"/>
                  <w:right w:w="108" w:type="dxa"/>
                </w:tblCellMar>
              </w:tblPrEx>
              <w:trPr>
                <w:trHeight w:val="726"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center"/>
                </w:tcPr>
                <w:p w14:paraId="6CC9E677">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w:t>
                  </w:r>
                </w:p>
              </w:tc>
              <w:tc>
                <w:tcPr>
                  <w:tcW w:w="1175" w:type="dxa"/>
                  <w:tcBorders>
                    <w:top w:val="nil"/>
                    <w:left w:val="nil"/>
                    <w:bottom w:val="single" w:color="auto" w:sz="4" w:space="0"/>
                    <w:right w:val="single" w:color="auto" w:sz="4" w:space="0"/>
                  </w:tcBorders>
                  <w:shd w:val="clear" w:color="auto" w:fill="auto"/>
                  <w:noWrap/>
                  <w:vAlign w:val="center"/>
                </w:tcPr>
                <w:p w14:paraId="75EFBA71">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33" w:type="dxa"/>
                  <w:tcBorders>
                    <w:top w:val="nil"/>
                    <w:left w:val="nil"/>
                    <w:bottom w:val="single" w:color="auto" w:sz="4" w:space="0"/>
                    <w:right w:val="single" w:color="auto" w:sz="4" w:space="0"/>
                  </w:tcBorders>
                  <w:shd w:val="clear" w:color="auto" w:fill="auto"/>
                  <w:noWrap/>
                  <w:vAlign w:val="center"/>
                </w:tcPr>
                <w:p w14:paraId="2AFA58C2">
                  <w:pPr>
                    <w:widowControl/>
                    <w:jc w:val="left"/>
                    <w:rPr>
                      <w:rFonts w:hint="eastAsia" w:ascii="宋体" w:hAnsi="宋体" w:eastAsia="宋体" w:cs="宋体"/>
                      <w:color w:val="000000"/>
                      <w:kern w:val="0"/>
                      <w:sz w:val="28"/>
                      <w:szCs w:val="28"/>
                    </w:rPr>
                  </w:pPr>
                </w:p>
              </w:tc>
              <w:tc>
                <w:tcPr>
                  <w:tcW w:w="766" w:type="dxa"/>
                  <w:tcBorders>
                    <w:top w:val="nil"/>
                    <w:left w:val="nil"/>
                    <w:bottom w:val="single" w:color="auto" w:sz="4" w:space="0"/>
                    <w:right w:val="single" w:color="auto" w:sz="4" w:space="0"/>
                  </w:tcBorders>
                  <w:shd w:val="clear" w:color="auto" w:fill="auto"/>
                  <w:noWrap/>
                  <w:vAlign w:val="center"/>
                </w:tcPr>
                <w:p w14:paraId="79A5AD83">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16" w:type="dxa"/>
                  <w:tcBorders>
                    <w:top w:val="nil"/>
                    <w:left w:val="nil"/>
                    <w:bottom w:val="single" w:color="auto" w:sz="4" w:space="0"/>
                    <w:right w:val="single" w:color="auto" w:sz="4" w:space="0"/>
                  </w:tcBorders>
                  <w:shd w:val="clear" w:color="auto" w:fill="auto"/>
                  <w:noWrap/>
                  <w:vAlign w:val="center"/>
                </w:tcPr>
                <w:p w14:paraId="3BBADD53">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62" w:type="dxa"/>
                  <w:tcBorders>
                    <w:top w:val="nil"/>
                    <w:left w:val="nil"/>
                    <w:bottom w:val="single" w:color="auto" w:sz="4" w:space="0"/>
                    <w:right w:val="single" w:color="auto" w:sz="4" w:space="0"/>
                  </w:tcBorders>
                  <w:shd w:val="clear" w:color="auto" w:fill="auto"/>
                  <w:noWrap/>
                  <w:vAlign w:val="center"/>
                </w:tcPr>
                <w:p w14:paraId="2A8EC236">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75" w:type="dxa"/>
                  <w:tcBorders>
                    <w:top w:val="nil"/>
                    <w:left w:val="nil"/>
                    <w:bottom w:val="single" w:color="auto" w:sz="4" w:space="0"/>
                    <w:right w:val="single" w:color="auto" w:sz="4" w:space="0"/>
                  </w:tcBorders>
                  <w:shd w:val="clear" w:color="auto" w:fill="auto"/>
                  <w:noWrap/>
                  <w:vAlign w:val="center"/>
                </w:tcPr>
                <w:p w14:paraId="3622D0B0">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29" w:type="dxa"/>
                  <w:tcBorders>
                    <w:top w:val="nil"/>
                    <w:left w:val="nil"/>
                    <w:bottom w:val="single" w:color="auto" w:sz="4" w:space="0"/>
                    <w:right w:val="single" w:color="auto" w:sz="4" w:space="0"/>
                  </w:tcBorders>
                  <w:shd w:val="clear" w:color="auto" w:fill="auto"/>
                  <w:noWrap/>
                  <w:vAlign w:val="center"/>
                </w:tcPr>
                <w:p w14:paraId="512C1831">
                  <w:pPr>
                    <w:widowControl/>
                    <w:jc w:val="left"/>
                    <w:rPr>
                      <w:rFonts w:hint="eastAsia" w:ascii="宋体" w:hAnsi="宋体" w:eastAsia="宋体" w:cs="宋体"/>
                      <w:color w:val="000000"/>
                      <w:kern w:val="0"/>
                      <w:sz w:val="28"/>
                      <w:szCs w:val="28"/>
                    </w:rPr>
                  </w:pPr>
                </w:p>
              </w:tc>
            </w:tr>
            <w:tr w14:paraId="2BCAE0DB">
              <w:tblPrEx>
                <w:tblCellMar>
                  <w:top w:w="0" w:type="dxa"/>
                  <w:left w:w="108" w:type="dxa"/>
                  <w:bottom w:w="0" w:type="dxa"/>
                  <w:right w:w="108" w:type="dxa"/>
                </w:tblCellMar>
              </w:tblPrEx>
              <w:trPr>
                <w:trHeight w:val="726"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center"/>
                </w:tcPr>
                <w:p w14:paraId="1BCFD5B6">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9</w:t>
                  </w:r>
                </w:p>
              </w:tc>
              <w:tc>
                <w:tcPr>
                  <w:tcW w:w="1175" w:type="dxa"/>
                  <w:tcBorders>
                    <w:top w:val="nil"/>
                    <w:left w:val="nil"/>
                    <w:bottom w:val="single" w:color="auto" w:sz="4" w:space="0"/>
                    <w:right w:val="single" w:color="auto" w:sz="4" w:space="0"/>
                  </w:tcBorders>
                  <w:shd w:val="clear" w:color="auto" w:fill="auto"/>
                  <w:noWrap/>
                  <w:vAlign w:val="center"/>
                </w:tcPr>
                <w:p w14:paraId="7E6A2F9E">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33" w:type="dxa"/>
                  <w:tcBorders>
                    <w:top w:val="nil"/>
                    <w:left w:val="nil"/>
                    <w:bottom w:val="single" w:color="auto" w:sz="4" w:space="0"/>
                    <w:right w:val="single" w:color="auto" w:sz="4" w:space="0"/>
                  </w:tcBorders>
                  <w:shd w:val="clear" w:color="auto" w:fill="auto"/>
                  <w:noWrap/>
                  <w:vAlign w:val="center"/>
                </w:tcPr>
                <w:p w14:paraId="082421A8">
                  <w:pPr>
                    <w:widowControl/>
                    <w:jc w:val="left"/>
                    <w:rPr>
                      <w:rFonts w:hint="eastAsia" w:ascii="宋体" w:hAnsi="宋体" w:eastAsia="宋体" w:cs="宋体"/>
                      <w:color w:val="000000"/>
                      <w:kern w:val="0"/>
                      <w:sz w:val="28"/>
                      <w:szCs w:val="28"/>
                    </w:rPr>
                  </w:pPr>
                </w:p>
              </w:tc>
              <w:tc>
                <w:tcPr>
                  <w:tcW w:w="766" w:type="dxa"/>
                  <w:tcBorders>
                    <w:top w:val="nil"/>
                    <w:left w:val="nil"/>
                    <w:bottom w:val="single" w:color="auto" w:sz="4" w:space="0"/>
                    <w:right w:val="single" w:color="auto" w:sz="4" w:space="0"/>
                  </w:tcBorders>
                  <w:shd w:val="clear" w:color="auto" w:fill="auto"/>
                  <w:noWrap/>
                  <w:vAlign w:val="center"/>
                </w:tcPr>
                <w:p w14:paraId="45C7C7F9">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16" w:type="dxa"/>
                  <w:tcBorders>
                    <w:top w:val="nil"/>
                    <w:left w:val="nil"/>
                    <w:bottom w:val="single" w:color="auto" w:sz="4" w:space="0"/>
                    <w:right w:val="single" w:color="auto" w:sz="4" w:space="0"/>
                  </w:tcBorders>
                  <w:shd w:val="clear" w:color="auto" w:fill="auto"/>
                  <w:noWrap/>
                  <w:vAlign w:val="center"/>
                </w:tcPr>
                <w:p w14:paraId="01153CFA">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62" w:type="dxa"/>
                  <w:tcBorders>
                    <w:top w:val="nil"/>
                    <w:left w:val="nil"/>
                    <w:bottom w:val="single" w:color="auto" w:sz="4" w:space="0"/>
                    <w:right w:val="single" w:color="auto" w:sz="4" w:space="0"/>
                  </w:tcBorders>
                  <w:shd w:val="clear" w:color="auto" w:fill="auto"/>
                  <w:noWrap/>
                  <w:vAlign w:val="center"/>
                </w:tcPr>
                <w:p w14:paraId="7B2DFA26">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75" w:type="dxa"/>
                  <w:tcBorders>
                    <w:top w:val="nil"/>
                    <w:left w:val="nil"/>
                    <w:bottom w:val="single" w:color="auto" w:sz="4" w:space="0"/>
                    <w:right w:val="single" w:color="auto" w:sz="4" w:space="0"/>
                  </w:tcBorders>
                  <w:shd w:val="clear" w:color="auto" w:fill="auto"/>
                  <w:noWrap/>
                  <w:vAlign w:val="center"/>
                </w:tcPr>
                <w:p w14:paraId="2ED3689E">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29" w:type="dxa"/>
                  <w:tcBorders>
                    <w:top w:val="nil"/>
                    <w:left w:val="nil"/>
                    <w:bottom w:val="single" w:color="auto" w:sz="4" w:space="0"/>
                    <w:right w:val="single" w:color="auto" w:sz="4" w:space="0"/>
                  </w:tcBorders>
                  <w:shd w:val="clear" w:color="auto" w:fill="auto"/>
                  <w:noWrap/>
                  <w:vAlign w:val="center"/>
                </w:tcPr>
                <w:p w14:paraId="7202A56B">
                  <w:pPr>
                    <w:widowControl/>
                    <w:jc w:val="left"/>
                    <w:rPr>
                      <w:rFonts w:hint="eastAsia" w:ascii="宋体" w:hAnsi="宋体" w:eastAsia="宋体" w:cs="宋体"/>
                      <w:color w:val="000000"/>
                      <w:kern w:val="0"/>
                      <w:sz w:val="28"/>
                      <w:szCs w:val="28"/>
                    </w:rPr>
                  </w:pPr>
                </w:p>
              </w:tc>
            </w:tr>
            <w:tr w14:paraId="319BC489">
              <w:tblPrEx>
                <w:tblCellMar>
                  <w:top w:w="0" w:type="dxa"/>
                  <w:left w:w="108" w:type="dxa"/>
                  <w:bottom w:w="0" w:type="dxa"/>
                  <w:right w:w="108" w:type="dxa"/>
                </w:tblCellMar>
              </w:tblPrEx>
              <w:trPr>
                <w:trHeight w:val="652"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center"/>
                </w:tcPr>
                <w:p w14:paraId="7EFC91D5">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w:t>
                  </w:r>
                </w:p>
              </w:tc>
              <w:tc>
                <w:tcPr>
                  <w:tcW w:w="1175" w:type="dxa"/>
                  <w:tcBorders>
                    <w:top w:val="nil"/>
                    <w:left w:val="nil"/>
                    <w:bottom w:val="single" w:color="auto" w:sz="4" w:space="0"/>
                    <w:right w:val="single" w:color="auto" w:sz="4" w:space="0"/>
                  </w:tcBorders>
                  <w:shd w:val="clear" w:color="auto" w:fill="auto"/>
                  <w:noWrap/>
                  <w:vAlign w:val="center"/>
                </w:tcPr>
                <w:p w14:paraId="408C8006">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33" w:type="dxa"/>
                  <w:tcBorders>
                    <w:top w:val="nil"/>
                    <w:left w:val="nil"/>
                    <w:bottom w:val="single" w:color="auto" w:sz="4" w:space="0"/>
                    <w:right w:val="single" w:color="auto" w:sz="4" w:space="0"/>
                  </w:tcBorders>
                  <w:shd w:val="clear" w:color="auto" w:fill="auto"/>
                  <w:noWrap/>
                  <w:vAlign w:val="center"/>
                </w:tcPr>
                <w:p w14:paraId="4F11968A">
                  <w:pPr>
                    <w:widowControl/>
                    <w:jc w:val="left"/>
                    <w:rPr>
                      <w:rFonts w:hint="eastAsia" w:ascii="宋体" w:hAnsi="宋体" w:eastAsia="宋体" w:cs="宋体"/>
                      <w:color w:val="000000"/>
                      <w:kern w:val="0"/>
                      <w:sz w:val="28"/>
                      <w:szCs w:val="28"/>
                    </w:rPr>
                  </w:pPr>
                </w:p>
              </w:tc>
              <w:tc>
                <w:tcPr>
                  <w:tcW w:w="766" w:type="dxa"/>
                  <w:tcBorders>
                    <w:top w:val="nil"/>
                    <w:left w:val="nil"/>
                    <w:bottom w:val="single" w:color="auto" w:sz="4" w:space="0"/>
                    <w:right w:val="single" w:color="auto" w:sz="4" w:space="0"/>
                  </w:tcBorders>
                  <w:shd w:val="clear" w:color="auto" w:fill="auto"/>
                  <w:noWrap/>
                  <w:vAlign w:val="center"/>
                </w:tcPr>
                <w:p w14:paraId="7F6C6158">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16" w:type="dxa"/>
                  <w:tcBorders>
                    <w:top w:val="nil"/>
                    <w:left w:val="nil"/>
                    <w:bottom w:val="single" w:color="auto" w:sz="4" w:space="0"/>
                    <w:right w:val="single" w:color="auto" w:sz="4" w:space="0"/>
                  </w:tcBorders>
                  <w:shd w:val="clear" w:color="auto" w:fill="auto"/>
                  <w:noWrap/>
                  <w:vAlign w:val="center"/>
                </w:tcPr>
                <w:p w14:paraId="15068EC5">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962" w:type="dxa"/>
                  <w:tcBorders>
                    <w:top w:val="nil"/>
                    <w:left w:val="nil"/>
                    <w:bottom w:val="single" w:color="auto" w:sz="4" w:space="0"/>
                    <w:right w:val="single" w:color="auto" w:sz="4" w:space="0"/>
                  </w:tcBorders>
                  <w:shd w:val="clear" w:color="auto" w:fill="auto"/>
                  <w:noWrap/>
                  <w:vAlign w:val="center"/>
                </w:tcPr>
                <w:p w14:paraId="6086C4EB">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075" w:type="dxa"/>
                  <w:tcBorders>
                    <w:top w:val="nil"/>
                    <w:left w:val="nil"/>
                    <w:bottom w:val="single" w:color="auto" w:sz="4" w:space="0"/>
                    <w:right w:val="single" w:color="auto" w:sz="4" w:space="0"/>
                  </w:tcBorders>
                  <w:shd w:val="clear" w:color="auto" w:fill="auto"/>
                  <w:noWrap/>
                  <w:vAlign w:val="center"/>
                </w:tcPr>
                <w:p w14:paraId="383A97E3">
                  <w:pPr>
                    <w:widowControl/>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29" w:type="dxa"/>
                  <w:tcBorders>
                    <w:top w:val="nil"/>
                    <w:left w:val="nil"/>
                    <w:bottom w:val="single" w:color="auto" w:sz="4" w:space="0"/>
                    <w:right w:val="single" w:color="auto" w:sz="4" w:space="0"/>
                  </w:tcBorders>
                  <w:shd w:val="clear" w:color="auto" w:fill="auto"/>
                  <w:noWrap/>
                  <w:vAlign w:val="center"/>
                </w:tcPr>
                <w:p w14:paraId="1B9AEE8B">
                  <w:pPr>
                    <w:widowControl/>
                    <w:jc w:val="left"/>
                    <w:rPr>
                      <w:rFonts w:hint="eastAsia" w:ascii="宋体" w:hAnsi="宋体" w:eastAsia="宋体" w:cs="宋体"/>
                      <w:color w:val="000000"/>
                      <w:kern w:val="0"/>
                      <w:sz w:val="28"/>
                      <w:szCs w:val="28"/>
                    </w:rPr>
                  </w:pPr>
                </w:p>
              </w:tc>
            </w:tr>
          </w:tbl>
          <w:p w14:paraId="42976AB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lang w:val="en-US" w:eastAsia="zh-CN"/>
              </w:rPr>
              <w:t>备注：有以下情况，可重新抽档案：</w:t>
            </w:r>
            <w:r>
              <w:rPr>
                <w:rFonts w:hint="eastAsia" w:ascii="宋体" w:hAnsi="宋体" w:eastAsia="宋体" w:cs="宋体"/>
                <w:sz w:val="28"/>
                <w:szCs w:val="28"/>
              </w:rPr>
              <w:t>1.电话打不通</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电话号码错误不算</w:t>
            </w:r>
            <w:r>
              <w:rPr>
                <w:rFonts w:hint="eastAsia" w:ascii="宋体" w:hAnsi="宋体" w:eastAsia="宋体" w:cs="宋体"/>
                <w:sz w:val="28"/>
                <w:szCs w:val="28"/>
                <w:lang w:eastAsia="zh-CN"/>
              </w:rPr>
              <w:t>）</w:t>
            </w:r>
            <w:r>
              <w:rPr>
                <w:rFonts w:hint="eastAsia" w:ascii="宋体" w:hAnsi="宋体" w:eastAsia="宋体" w:cs="宋体"/>
                <w:sz w:val="28"/>
                <w:szCs w:val="28"/>
              </w:rPr>
              <w:t>；2.对象年龄大于等于80岁；3.对象存在语言不通、逻辑错乱等不能完成</w:t>
            </w:r>
            <w:r>
              <w:rPr>
                <w:rFonts w:hint="eastAsia" w:ascii="宋体" w:hAnsi="宋体" w:eastAsia="宋体" w:cs="宋体"/>
                <w:sz w:val="28"/>
                <w:szCs w:val="28"/>
                <w:lang w:val="en-US" w:eastAsia="zh-CN"/>
              </w:rPr>
              <w:t>电访。满意度评分为0-10分，8分以上（含8分）算满意。</w:t>
            </w:r>
          </w:p>
          <w:p w14:paraId="49B2085F">
            <w:pPr>
              <w:rPr>
                <w:rFonts w:hint="eastAsia" w:ascii="宋体" w:hAnsi="宋体" w:eastAsia="宋体" w:cs="宋体"/>
                <w:b/>
                <w:sz w:val="28"/>
                <w:szCs w:val="28"/>
              </w:rPr>
            </w:pPr>
          </w:p>
          <w:p w14:paraId="363DDBE3">
            <w:pPr>
              <w:rPr>
                <w:rFonts w:hint="eastAsia" w:ascii="宋体" w:hAnsi="宋体" w:eastAsia="宋体" w:cs="宋体"/>
                <w:b/>
                <w:sz w:val="28"/>
                <w:szCs w:val="28"/>
                <w:lang w:eastAsia="zh-CN"/>
              </w:rPr>
            </w:pPr>
            <w:r>
              <w:rPr>
                <w:rFonts w:hint="eastAsia" w:ascii="宋体" w:hAnsi="宋体" w:eastAsia="宋体" w:cs="宋体"/>
                <w:b/>
                <w:sz w:val="28"/>
                <w:szCs w:val="28"/>
              </w:rPr>
              <w:t>督导人签名：     陪检人签名：     日期：</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 xml:space="preserve"> 年   月   日</w:t>
            </w:r>
          </w:p>
          <w:p w14:paraId="0DFC65EB">
            <w:pPr>
              <w:ind w:firstLine="241" w:firstLineChars="100"/>
              <w:jc w:val="both"/>
              <w:rPr>
                <w:rFonts w:hint="default" w:ascii="宋体" w:hAnsi="宋体" w:eastAsia="宋体" w:cs="宋体"/>
                <w:sz w:val="24"/>
                <w:szCs w:val="24"/>
                <w:lang w:val="en-US" w:eastAsia="zh-CN"/>
              </w:rPr>
            </w:pPr>
            <w:r>
              <w:rPr>
                <w:rFonts w:hint="eastAsia" w:ascii="宋体" w:hAnsi="宋体" w:eastAsia="宋体" w:cs="宋体"/>
                <w:b/>
                <w:sz w:val="24"/>
                <w:szCs w:val="24"/>
              </w:rPr>
              <w:br w:type="textWrapping"/>
            </w:r>
          </w:p>
        </w:tc>
      </w:tr>
      <w:tr w14:paraId="25E30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2" w:hRule="atLeast"/>
        </w:trPr>
        <w:tc>
          <w:tcPr>
            <w:tcW w:w="783" w:type="dxa"/>
          </w:tcPr>
          <w:p w14:paraId="617C79D0">
            <w:pPr>
              <w:pStyle w:val="10"/>
              <w:spacing w:line="360" w:lineRule="auto"/>
              <w:rPr>
                <w:rFonts w:hint="eastAsia" w:ascii="宋体" w:hAnsi="宋体" w:eastAsia="宋体" w:cs="宋体"/>
                <w:sz w:val="24"/>
                <w:szCs w:val="24"/>
              </w:rPr>
            </w:pPr>
            <w:r>
              <w:rPr>
                <w:rFonts w:hint="eastAsia" w:ascii="宋体" w:hAnsi="宋体" w:eastAsia="宋体" w:cs="宋体"/>
                <w:sz w:val="24"/>
                <w:szCs w:val="24"/>
              </w:rPr>
              <w:t>说明</w:t>
            </w:r>
          </w:p>
        </w:tc>
        <w:tc>
          <w:tcPr>
            <w:tcW w:w="8497" w:type="dxa"/>
            <w:gridSpan w:val="2"/>
          </w:tcPr>
          <w:p w14:paraId="342D9B7E">
            <w:pPr>
              <w:pStyle w:val="1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打“★”号条款为实质性条款，若有任何一条负偏离或不满足则导致投标无效。 </w:t>
            </w:r>
            <w:r>
              <w:rPr>
                <w:rFonts w:hint="eastAsia" w:ascii="宋体" w:hAnsi="宋体" w:eastAsia="宋体" w:cs="宋体"/>
                <w:sz w:val="24"/>
                <w:szCs w:val="24"/>
              </w:rPr>
              <w:br w:type="textWrapping"/>
            </w:r>
            <w:r>
              <w:rPr>
                <w:rFonts w:hint="eastAsia" w:ascii="宋体" w:hAnsi="宋体" w:eastAsia="宋体" w:cs="宋体"/>
                <w:sz w:val="24"/>
                <w:szCs w:val="24"/>
              </w:rPr>
              <w:t>打“▲”号条款为重要技术参数，若有部分“▲”条款未响应或不满足，将导致其响应性评审加重扣分，但不作为无效投标条款。</w:t>
            </w:r>
          </w:p>
        </w:tc>
      </w:tr>
    </w:tbl>
    <w:p w14:paraId="65C7B8D2">
      <w:pPr>
        <w:pStyle w:val="10"/>
        <w:spacing w:line="360" w:lineRule="auto"/>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3D7D9DD6">
      <w:pPr>
        <w:pStyle w:val="10"/>
        <w:spacing w:line="360" w:lineRule="auto"/>
        <w:rPr>
          <w:rFonts w:hint="eastAsia" w:ascii="宋体" w:hAnsi="宋体" w:eastAsia="宋体" w:cs="宋体"/>
          <w:sz w:val="24"/>
          <w:szCs w:val="24"/>
        </w:rPr>
      </w:pPr>
    </w:p>
    <w:p w14:paraId="72C83FB2">
      <w:pPr>
        <w:pStyle w:val="10"/>
        <w:spacing w:line="360" w:lineRule="auto"/>
        <w:rPr>
          <w:rFonts w:hint="eastAsia" w:ascii="宋体" w:hAnsi="宋体" w:eastAsia="宋体" w:cs="宋体"/>
          <w:sz w:val="24"/>
          <w:szCs w:val="24"/>
        </w:rPr>
      </w:pPr>
    </w:p>
    <w:p w14:paraId="351E29D8">
      <w:pPr>
        <w:pStyle w:val="10"/>
        <w:spacing w:line="360" w:lineRule="auto"/>
        <w:rPr>
          <w:rFonts w:hint="eastAsia" w:ascii="宋体" w:hAnsi="宋体" w:eastAsia="宋体" w:cs="宋体"/>
          <w:sz w:val="24"/>
          <w:szCs w:val="24"/>
        </w:rPr>
      </w:pPr>
    </w:p>
    <w:p w14:paraId="75414AA0">
      <w:pPr>
        <w:pStyle w:val="10"/>
        <w:spacing w:line="360" w:lineRule="auto"/>
        <w:rPr>
          <w:rFonts w:hint="eastAsia" w:ascii="宋体" w:hAnsi="宋体" w:eastAsia="宋体" w:cs="宋体"/>
          <w:sz w:val="24"/>
          <w:szCs w:val="24"/>
        </w:rPr>
      </w:pPr>
    </w:p>
    <w:p w14:paraId="1C892B5B">
      <w:pPr>
        <w:pStyle w:val="10"/>
        <w:spacing w:line="360" w:lineRule="auto"/>
        <w:rPr>
          <w:rFonts w:hint="eastAsia" w:ascii="宋体" w:hAnsi="宋体" w:eastAsia="宋体" w:cs="宋体"/>
          <w:sz w:val="24"/>
          <w:szCs w:val="24"/>
        </w:rPr>
      </w:pPr>
    </w:p>
    <w:p w14:paraId="7B88B3C7">
      <w:pPr>
        <w:pStyle w:val="10"/>
        <w:rPr>
          <w:rFonts w:hint="eastAsia"/>
          <w:sz w:val="24"/>
          <w:szCs w:val="24"/>
          <w:lang w:val="en-US" w:eastAsia="zh-Hans"/>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9C5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D1E97">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DD1E97">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101858"/>
    <w:rsid w:val="04673CA2"/>
    <w:rsid w:val="04B0389B"/>
    <w:rsid w:val="06513081"/>
    <w:rsid w:val="0A911A78"/>
    <w:rsid w:val="0AB204F6"/>
    <w:rsid w:val="0B1C0C77"/>
    <w:rsid w:val="1054157E"/>
    <w:rsid w:val="11BE7CAE"/>
    <w:rsid w:val="12174F59"/>
    <w:rsid w:val="12922832"/>
    <w:rsid w:val="12F47048"/>
    <w:rsid w:val="177F50ED"/>
    <w:rsid w:val="1A223074"/>
    <w:rsid w:val="1A725422"/>
    <w:rsid w:val="1B8D1DE8"/>
    <w:rsid w:val="1CE1466F"/>
    <w:rsid w:val="1D536E42"/>
    <w:rsid w:val="1DA33B45"/>
    <w:rsid w:val="20094CDE"/>
    <w:rsid w:val="22316B33"/>
    <w:rsid w:val="24104433"/>
    <w:rsid w:val="26190E48"/>
    <w:rsid w:val="27B07F56"/>
    <w:rsid w:val="2ACF39FE"/>
    <w:rsid w:val="2C884F38"/>
    <w:rsid w:val="2E0C1292"/>
    <w:rsid w:val="2F17393F"/>
    <w:rsid w:val="2FB32CCE"/>
    <w:rsid w:val="300246FB"/>
    <w:rsid w:val="313F7693"/>
    <w:rsid w:val="31B0482F"/>
    <w:rsid w:val="32F81DE5"/>
    <w:rsid w:val="37227431"/>
    <w:rsid w:val="378E2D18"/>
    <w:rsid w:val="37904CE2"/>
    <w:rsid w:val="3BCC2061"/>
    <w:rsid w:val="3E3E7246"/>
    <w:rsid w:val="3E5E0832"/>
    <w:rsid w:val="3EA80B63"/>
    <w:rsid w:val="421A5B71"/>
    <w:rsid w:val="42567CFD"/>
    <w:rsid w:val="44BD1E34"/>
    <w:rsid w:val="46E95032"/>
    <w:rsid w:val="4714323A"/>
    <w:rsid w:val="47863A0C"/>
    <w:rsid w:val="48D01151"/>
    <w:rsid w:val="4A362153"/>
    <w:rsid w:val="4C963D58"/>
    <w:rsid w:val="4CF338F1"/>
    <w:rsid w:val="4E0D453F"/>
    <w:rsid w:val="4E8E1B0B"/>
    <w:rsid w:val="4EE41D42"/>
    <w:rsid w:val="4F0E67C1"/>
    <w:rsid w:val="502F2E92"/>
    <w:rsid w:val="51833B4D"/>
    <w:rsid w:val="52C244FE"/>
    <w:rsid w:val="52F83A10"/>
    <w:rsid w:val="53B52B8D"/>
    <w:rsid w:val="54B10FEA"/>
    <w:rsid w:val="558512B9"/>
    <w:rsid w:val="593B76A1"/>
    <w:rsid w:val="5A477142"/>
    <w:rsid w:val="5AA90129"/>
    <w:rsid w:val="5C163FA3"/>
    <w:rsid w:val="5E6A32E8"/>
    <w:rsid w:val="5F591B54"/>
    <w:rsid w:val="5FBE2804"/>
    <w:rsid w:val="5FED41D0"/>
    <w:rsid w:val="60AC76D5"/>
    <w:rsid w:val="617D3332"/>
    <w:rsid w:val="61E42F96"/>
    <w:rsid w:val="62586279"/>
    <w:rsid w:val="650E0E71"/>
    <w:rsid w:val="653A1C66"/>
    <w:rsid w:val="65B13503"/>
    <w:rsid w:val="663743F7"/>
    <w:rsid w:val="6639539F"/>
    <w:rsid w:val="67713939"/>
    <w:rsid w:val="68923B67"/>
    <w:rsid w:val="6A6B28C1"/>
    <w:rsid w:val="6E06549F"/>
    <w:rsid w:val="6E2E60E0"/>
    <w:rsid w:val="6E5F301E"/>
    <w:rsid w:val="6ED21004"/>
    <w:rsid w:val="6F4B0F13"/>
    <w:rsid w:val="71324139"/>
    <w:rsid w:val="72194D37"/>
    <w:rsid w:val="72EA6616"/>
    <w:rsid w:val="731C568E"/>
    <w:rsid w:val="73533F3F"/>
    <w:rsid w:val="7375030D"/>
    <w:rsid w:val="737F118B"/>
    <w:rsid w:val="73D475C9"/>
    <w:rsid w:val="7525537B"/>
    <w:rsid w:val="757C3BD5"/>
    <w:rsid w:val="77F79321"/>
    <w:rsid w:val="781974FC"/>
    <w:rsid w:val="78727511"/>
    <w:rsid w:val="7925078B"/>
    <w:rsid w:val="7ADE0E8D"/>
    <w:rsid w:val="7AE244DA"/>
    <w:rsid w:val="7DA02AA7"/>
    <w:rsid w:val="7F250E39"/>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null3"/>
    <w:hidden/>
    <w:qFormat/>
    <w:uiPriority w:val="0"/>
    <w:rPr>
      <w:rFonts w:hint="eastAsia" w:asciiTheme="minorHAnsi" w:hAnsiTheme="minorHAnsi" w:eastAsiaTheme="minorEastAsia" w:cstheme="minorBidi"/>
      <w:lang w:val="en-US" w:eastAsia="zh-Hans"/>
    </w:rPr>
  </w:style>
  <w:style w:type="paragraph" w:customStyle="1" w:styleId="11">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2557</Words>
  <Characters>2765</Characters>
  <Lines>0</Lines>
  <Paragraphs>0</Paragraphs>
  <TotalTime>29</TotalTime>
  <ScaleCrop>false</ScaleCrop>
  <LinksUpToDate>false</LinksUpToDate>
  <CharactersWithSpaces>2817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liuxiaoting</cp:lastModifiedBy>
  <dcterms:modified xsi:type="dcterms:W3CDTF">2025-06-06T07:29:04Z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eyJoZGlkIjoiMGEzMmM5MzRiOWUxY2U3YTViMGY1NTEzYjE0NzIzNTgiLCJ1c2VySWQiOiIxOTgxMTY1NjgifQ==</vt:lpwstr>
  </property>
  <property fmtid="{D5CDD505-2E9C-101B-9397-08002B2CF9AE}" pid="4" name="ICV">
    <vt:lpwstr>EFC12A6CFA1441B492C6FBD9C9B890E0_13</vt:lpwstr>
  </property>
</Properties>
</file>