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EE3F8">
      <w:pPr>
        <w:spacing w:line="360" w:lineRule="auto"/>
        <w:ind w:right="-313" w:rightChars="-149"/>
        <w:jc w:val="center"/>
        <w:outlineLvl w:val="9"/>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采购包一（机房维护类）非“</w:t>
      </w:r>
      <w:r>
        <w:rPr>
          <w:rFonts w:hint="eastAsia" w:ascii="宋体" w:hAnsi="宋体" w:eastAsia="宋体" w:cs="宋体"/>
          <w:sz w:val="28"/>
          <w:szCs w:val="28"/>
        </w:rPr>
        <w:t>★</w:t>
      </w:r>
      <w:r>
        <w:rPr>
          <w:rFonts w:hint="eastAsia" w:ascii="宋体" w:hAnsi="宋体" w:eastAsia="宋体" w:cs="宋体"/>
          <w:b/>
          <w:sz w:val="28"/>
          <w:szCs w:val="28"/>
          <w:lang w:val="en-US" w:eastAsia="zh-CN"/>
        </w:rPr>
        <w:t>”、“</w:t>
      </w:r>
      <w:r>
        <w:rPr>
          <w:rFonts w:hint="eastAsia" w:ascii="宋体" w:hAnsi="宋体" w:eastAsia="宋体" w:cs="宋体"/>
          <w:sz w:val="28"/>
          <w:szCs w:val="28"/>
        </w:rPr>
        <w:t>▲</w:t>
      </w:r>
      <w:r>
        <w:rPr>
          <w:rFonts w:hint="eastAsia" w:ascii="宋体" w:hAnsi="宋体" w:eastAsia="宋体" w:cs="宋体"/>
          <w:b/>
          <w:sz w:val="28"/>
          <w:szCs w:val="28"/>
          <w:lang w:val="en-US" w:eastAsia="zh-CN"/>
        </w:rPr>
        <w:t>”的条款中参与评审条款汇总表</w:t>
      </w:r>
    </w:p>
    <w:p w14:paraId="40853A3F">
      <w:pPr>
        <w:spacing w:line="360" w:lineRule="auto"/>
        <w:jc w:val="center"/>
        <w:outlineLvl w:val="9"/>
        <w:rPr>
          <w:rFonts w:hint="eastAsia" w:ascii="宋体" w:hAnsi="宋体" w:eastAsia="宋体" w:cs="宋体"/>
          <w:sz w:val="28"/>
          <w:szCs w:val="28"/>
        </w:rPr>
      </w:pPr>
      <w:r>
        <w:rPr>
          <w:rFonts w:hint="eastAsia" w:ascii="宋体" w:hAnsi="宋体" w:eastAsia="宋体" w:cs="宋体"/>
          <w:b/>
          <w:sz w:val="28"/>
          <w:szCs w:val="28"/>
        </w:rPr>
        <w:t>《技术和服务要求响应表》</w:t>
      </w:r>
    </w:p>
    <w:tbl>
      <w:tblPr>
        <w:tblStyle w:val="11"/>
        <w:tblW w:w="1428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777"/>
        <w:gridCol w:w="764"/>
        <w:gridCol w:w="5557"/>
        <w:gridCol w:w="2018"/>
        <w:gridCol w:w="832"/>
        <w:gridCol w:w="1282"/>
        <w:gridCol w:w="1282"/>
        <w:gridCol w:w="1022"/>
      </w:tblGrid>
      <w:tr w14:paraId="3CEAAB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746" w:type="dxa"/>
            <w:vAlign w:val="center"/>
          </w:tcPr>
          <w:p w14:paraId="3ED22947">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kern w:val="2"/>
                <w:sz w:val="22"/>
                <w:szCs w:val="22"/>
                <w:lang w:val="en-US" w:eastAsia="zh-CN" w:bidi="ar-SA"/>
              </w:rPr>
            </w:pPr>
            <w:r>
              <w:rPr>
                <w:rFonts w:hint="eastAsia" w:ascii="宋体" w:hAnsi="宋体" w:eastAsia="宋体" w:cs="宋体"/>
                <w:b w:val="0"/>
                <w:bCs w:val="0"/>
                <w:color w:val="auto"/>
                <w:sz w:val="22"/>
                <w:szCs w:val="22"/>
                <w:highlight w:val="none"/>
              </w:rPr>
              <w:t>序号</w:t>
            </w:r>
          </w:p>
        </w:tc>
        <w:tc>
          <w:tcPr>
            <w:tcW w:w="777" w:type="dxa"/>
            <w:vAlign w:val="center"/>
          </w:tcPr>
          <w:p w14:paraId="06417CBB">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标的名称</w:t>
            </w:r>
          </w:p>
        </w:tc>
        <w:tc>
          <w:tcPr>
            <w:tcW w:w="764" w:type="dxa"/>
            <w:vAlign w:val="center"/>
          </w:tcPr>
          <w:p w14:paraId="507F0F56">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参数性质</w:t>
            </w:r>
          </w:p>
        </w:tc>
        <w:tc>
          <w:tcPr>
            <w:tcW w:w="5557" w:type="dxa"/>
            <w:vAlign w:val="center"/>
          </w:tcPr>
          <w:p w14:paraId="5539B56E">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采购文件规定的技术和服务要求</w:t>
            </w:r>
          </w:p>
        </w:tc>
        <w:tc>
          <w:tcPr>
            <w:tcW w:w="2018" w:type="dxa"/>
            <w:vAlign w:val="center"/>
          </w:tcPr>
          <w:p w14:paraId="72A3D403">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投标文件响应的具体内容</w:t>
            </w:r>
          </w:p>
        </w:tc>
        <w:tc>
          <w:tcPr>
            <w:tcW w:w="832" w:type="dxa"/>
            <w:vAlign w:val="center"/>
          </w:tcPr>
          <w:p w14:paraId="6A50E825">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型号</w:t>
            </w:r>
          </w:p>
        </w:tc>
        <w:tc>
          <w:tcPr>
            <w:tcW w:w="1282" w:type="dxa"/>
            <w:vAlign w:val="center"/>
          </w:tcPr>
          <w:p w14:paraId="16F64AC7">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是否偏离</w:t>
            </w:r>
          </w:p>
        </w:tc>
        <w:tc>
          <w:tcPr>
            <w:tcW w:w="1282" w:type="dxa"/>
            <w:vAlign w:val="center"/>
          </w:tcPr>
          <w:p w14:paraId="22FB6C9D">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证明文件所在位置</w:t>
            </w:r>
          </w:p>
        </w:tc>
        <w:tc>
          <w:tcPr>
            <w:tcW w:w="1022" w:type="dxa"/>
            <w:vAlign w:val="center"/>
          </w:tcPr>
          <w:p w14:paraId="336FF713">
            <w:pPr>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备注</w:t>
            </w:r>
          </w:p>
        </w:tc>
      </w:tr>
      <w:tr w14:paraId="3BD3F4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746" w:type="dxa"/>
            <w:vAlign w:val="center"/>
          </w:tcPr>
          <w:p w14:paraId="1E8251B2">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77" w:type="dxa"/>
          </w:tcPr>
          <w:p w14:paraId="2F95638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2B40FDD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6A55112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rPr>
              <w:t>机房环境要求</w:t>
            </w:r>
          </w:p>
          <w:p w14:paraId="7CFC60C0">
            <w:pPr>
              <w:pageBreakBefore w:val="0"/>
              <w:numPr>
                <w:ilvl w:val="0"/>
                <w:numId w:val="0"/>
              </w:numPr>
              <w:tabs>
                <w:tab w:val="left" w:pos="567"/>
              </w:tabs>
              <w:kinsoku/>
              <w:wordWrap/>
              <w:overflowPunct/>
              <w:topLinePunct w:val="0"/>
              <w:autoSpaceDE/>
              <w:autoSpaceDN/>
              <w:bidi w:val="0"/>
              <w:spacing w:line="360" w:lineRule="auto"/>
              <w:ind w:left="567" w:leftChars="0" w:hanging="425" w:firstLineChars="0"/>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SA"/>
              </w:rPr>
              <w:t>1.</w:t>
            </w:r>
            <w:r>
              <w:rPr>
                <w:rFonts w:hint="eastAsia" w:ascii="宋体" w:hAnsi="宋体" w:eastAsia="宋体" w:cs="宋体"/>
                <w:color w:val="auto"/>
                <w:sz w:val="22"/>
                <w:szCs w:val="22"/>
              </w:rPr>
              <w:t>电源系统：</w:t>
            </w:r>
          </w:p>
          <w:p w14:paraId="2E5479E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w:t>
            </w: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rPr>
              <w:t>）零地之间的电压小于1V，零线、地线连接正确；</w:t>
            </w:r>
          </w:p>
        </w:tc>
        <w:tc>
          <w:tcPr>
            <w:tcW w:w="2018" w:type="dxa"/>
          </w:tcPr>
          <w:p w14:paraId="423A214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1DDD88E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7A51173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3AC7164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462CC6C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8359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0401A597">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2</w:t>
            </w:r>
          </w:p>
        </w:tc>
        <w:tc>
          <w:tcPr>
            <w:tcW w:w="777" w:type="dxa"/>
          </w:tcPr>
          <w:p w14:paraId="688DD63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0B54664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569BEDAE">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rPr>
              <w:t>机房环境要求</w:t>
            </w:r>
          </w:p>
          <w:p w14:paraId="740563F7">
            <w:pPr>
              <w:pageBreakBefore w:val="0"/>
              <w:numPr>
                <w:ilvl w:val="0"/>
                <w:numId w:val="0"/>
              </w:numPr>
              <w:tabs>
                <w:tab w:val="left" w:pos="567"/>
              </w:tabs>
              <w:kinsoku/>
              <w:wordWrap/>
              <w:overflowPunct/>
              <w:topLinePunct w:val="0"/>
              <w:autoSpaceDE/>
              <w:autoSpaceDN/>
              <w:bidi w:val="0"/>
              <w:spacing w:line="360" w:lineRule="auto"/>
              <w:ind w:left="567" w:leftChars="0" w:hanging="425" w:firstLineChars="0"/>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SA"/>
              </w:rPr>
              <w:t>3.</w:t>
            </w:r>
            <w:r>
              <w:rPr>
                <w:rFonts w:hint="eastAsia" w:ascii="宋体" w:hAnsi="宋体" w:eastAsia="宋体" w:cs="宋体"/>
                <w:color w:val="auto"/>
                <w:sz w:val="22"/>
                <w:szCs w:val="22"/>
              </w:rPr>
              <w:t>安全要求</w:t>
            </w:r>
          </w:p>
          <w:p w14:paraId="23CE28F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（1）具备全淹没式气体自动灭火系统，消防中心自动联动119告警，在发生火灾时能即使通知相关部门；</w:t>
            </w:r>
          </w:p>
        </w:tc>
        <w:tc>
          <w:tcPr>
            <w:tcW w:w="2018" w:type="dxa"/>
          </w:tcPr>
          <w:p w14:paraId="24842A7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516A8B5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3C351DF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7F0F6B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1270324A">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72EF1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2409251A">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3</w:t>
            </w:r>
          </w:p>
        </w:tc>
        <w:tc>
          <w:tcPr>
            <w:tcW w:w="777" w:type="dxa"/>
          </w:tcPr>
          <w:p w14:paraId="0D4542F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74504978">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4C2C221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（3）7</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rPr>
              <w:t>24小时全方位机房监控，专业安保人员值守巡视，出入检查登记；</w:t>
            </w:r>
          </w:p>
          <w:p w14:paraId="281E327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（4）确保非授权人员不得进入机柜所在区域。</w:t>
            </w:r>
          </w:p>
        </w:tc>
        <w:tc>
          <w:tcPr>
            <w:tcW w:w="2018" w:type="dxa"/>
          </w:tcPr>
          <w:p w14:paraId="6CAC155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6BB1A5F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4355863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16E1D6D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40EADAC8">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130DA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14F66031">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4</w:t>
            </w:r>
          </w:p>
        </w:tc>
        <w:tc>
          <w:tcPr>
            <w:tcW w:w="777" w:type="dxa"/>
          </w:tcPr>
          <w:p w14:paraId="1B8D318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76058C62">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0E0E04D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4.</w:t>
            </w:r>
            <w:r>
              <w:rPr>
                <w:rFonts w:hint="eastAsia" w:ascii="宋体" w:hAnsi="宋体" w:eastAsia="宋体" w:cs="宋体"/>
                <w:b/>
                <w:bCs/>
                <w:color w:val="auto"/>
                <w:sz w:val="22"/>
                <w:szCs w:val="22"/>
                <w:highlight w:val="none"/>
              </w:rPr>
              <w:t>机柜要求：</w:t>
            </w:r>
          </w:p>
          <w:p w14:paraId="253D1776">
            <w:pPr>
              <w:pageBreakBefore w:val="0"/>
              <w:kinsoku/>
              <w:wordWrap/>
              <w:overflowPunct/>
              <w:topLinePunct w:val="0"/>
              <w:autoSpaceDE/>
              <w:autoSpaceDN/>
              <w:bidi w:val="0"/>
              <w:spacing w:line="360" w:lineRule="auto"/>
              <w:rPr>
                <w:rFonts w:hint="eastAsia" w:ascii="宋体" w:hAnsi="宋体" w:eastAsia="宋体" w:cs="宋体"/>
                <w:color w:val="auto"/>
                <w:sz w:val="22"/>
                <w:szCs w:val="22"/>
                <w:lang w:eastAsia="zh-CN"/>
              </w:rPr>
            </w:pPr>
            <w:r>
              <w:rPr>
                <w:rFonts w:hint="eastAsia" w:ascii="宋体" w:hAnsi="宋体" w:eastAsia="宋体" w:cs="宋体"/>
                <w:color w:val="auto"/>
                <w:sz w:val="22"/>
                <w:szCs w:val="22"/>
              </w:rPr>
              <w:t>（3）机柜承重板部件板厚不少于2mm，静载承载能力不少于1800KG</w:t>
            </w:r>
            <w:r>
              <w:rPr>
                <w:rFonts w:hint="eastAsia" w:ascii="宋体" w:hAnsi="宋体" w:eastAsia="宋体" w:cs="宋体"/>
                <w:color w:val="auto"/>
                <w:sz w:val="22"/>
                <w:szCs w:val="22"/>
                <w:lang w:eastAsia="zh-CN"/>
              </w:rPr>
              <w:t>；</w:t>
            </w:r>
          </w:p>
          <w:p w14:paraId="1352B2BE">
            <w:pPr>
              <w:pageBreakBefore w:val="0"/>
              <w:kinsoku/>
              <w:wordWrap/>
              <w:overflowPunct/>
              <w:topLinePunct w:val="0"/>
              <w:autoSpaceDE/>
              <w:autoSpaceDN/>
              <w:bidi w:val="0"/>
              <w:spacing w:line="360" w:lineRule="auto"/>
              <w:rPr>
                <w:rFonts w:hint="eastAsia" w:ascii="宋体" w:hAnsi="宋体" w:eastAsia="宋体" w:cs="宋体"/>
                <w:color w:val="auto"/>
                <w:sz w:val="22"/>
                <w:szCs w:val="22"/>
                <w:lang w:eastAsia="zh-CN"/>
              </w:rPr>
            </w:pPr>
            <w:r>
              <w:rPr>
                <w:rFonts w:hint="eastAsia" w:ascii="宋体" w:hAnsi="宋体" w:eastAsia="宋体" w:cs="宋体"/>
                <w:color w:val="auto"/>
                <w:sz w:val="22"/>
                <w:szCs w:val="22"/>
              </w:rPr>
              <w:t>（4）机柜内配置可调节托盘，可调节托盘承重不少于150KG</w:t>
            </w:r>
            <w:r>
              <w:rPr>
                <w:rFonts w:hint="eastAsia" w:ascii="宋体" w:hAnsi="宋体" w:eastAsia="宋体" w:cs="宋体"/>
                <w:color w:val="auto"/>
                <w:sz w:val="22"/>
                <w:szCs w:val="22"/>
                <w:lang w:eastAsia="zh-CN"/>
              </w:rPr>
              <w:t>；</w:t>
            </w:r>
          </w:p>
          <w:p w14:paraId="6299922B">
            <w:pPr>
              <w:pageBreakBefore w:val="0"/>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（6）机柜间设置使用专用尾纤槽供尾纤布放，避免尾纤与电源线、网线混敷对尾纤造成损坏。</w:t>
            </w:r>
          </w:p>
        </w:tc>
        <w:tc>
          <w:tcPr>
            <w:tcW w:w="2018" w:type="dxa"/>
          </w:tcPr>
          <w:p w14:paraId="35E0F3E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0755941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43C460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4DBA109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44FC3158">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59431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38EA5938">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5</w:t>
            </w:r>
          </w:p>
        </w:tc>
        <w:tc>
          <w:tcPr>
            <w:tcW w:w="777" w:type="dxa"/>
          </w:tcPr>
          <w:p w14:paraId="417CA36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76C2B8E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1AAE97AD">
            <w:pPr>
              <w:pageBreakBefore w:val="0"/>
              <w:numPr>
                <w:ilvl w:val="0"/>
                <w:numId w:val="0"/>
              </w:numPr>
              <w:tabs>
                <w:tab w:val="left" w:pos="567"/>
              </w:tabs>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lang w:val="en-US" w:eastAsia="zh-CN" w:bidi="ar-SA"/>
              </w:rPr>
              <w:t>6.</w:t>
            </w:r>
            <w:r>
              <w:rPr>
                <w:rFonts w:hint="eastAsia" w:ascii="宋体" w:hAnsi="宋体" w:eastAsia="宋体" w:cs="宋体"/>
                <w:color w:val="auto"/>
                <w:sz w:val="22"/>
                <w:szCs w:val="22"/>
                <w:lang w:val="en-US" w:eastAsia="zh-CN"/>
              </w:rPr>
              <w:t>采购人</w:t>
            </w:r>
            <w:r>
              <w:rPr>
                <w:rFonts w:hint="eastAsia" w:ascii="宋体" w:hAnsi="宋体" w:eastAsia="宋体" w:cs="宋体"/>
                <w:color w:val="auto"/>
                <w:sz w:val="22"/>
                <w:szCs w:val="22"/>
              </w:rPr>
              <w:t>将在租用机房内部署2台小型机，</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须提供相应的小型机专用电源接头。</w:t>
            </w:r>
          </w:p>
        </w:tc>
        <w:tc>
          <w:tcPr>
            <w:tcW w:w="2018" w:type="dxa"/>
          </w:tcPr>
          <w:p w14:paraId="17868D4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227EC8E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70DA730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1E33A6F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743AB86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CF358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36DD9414">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6</w:t>
            </w:r>
          </w:p>
        </w:tc>
        <w:tc>
          <w:tcPr>
            <w:tcW w:w="777" w:type="dxa"/>
          </w:tcPr>
          <w:p w14:paraId="19254D4E">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3C80B5A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5B182CB6">
            <w:pPr>
              <w:pageBreakBefore w:val="0"/>
              <w:widowControl w:val="0"/>
              <w:numPr>
                <w:ilvl w:val="0"/>
                <w:numId w:val="0"/>
              </w:numPr>
              <w:tabs>
                <w:tab w:val="left" w:pos="567"/>
              </w:tabs>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lang w:val="en-US" w:eastAsia="zh-CN" w:bidi="ar-SA"/>
              </w:rPr>
              <w:t>7.</w:t>
            </w:r>
            <w:r>
              <w:rPr>
                <w:rFonts w:hint="eastAsia" w:ascii="宋体" w:hAnsi="宋体" w:eastAsia="宋体" w:cs="宋体"/>
                <w:color w:val="auto"/>
                <w:sz w:val="22"/>
                <w:szCs w:val="22"/>
              </w:rPr>
              <w:t>提供20台公安网接入交换机，用于租赁机房内部系统连接。所提供之公安网接入交换机必须符合或优于“接入交换机技术规格表”中的相关要求。</w:t>
            </w:r>
          </w:p>
        </w:tc>
        <w:tc>
          <w:tcPr>
            <w:tcW w:w="2018" w:type="dxa"/>
          </w:tcPr>
          <w:p w14:paraId="5438AC2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519788A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9AE25E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5B5AE2E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6D2F0A8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622975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763BB6F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7</w:t>
            </w:r>
          </w:p>
        </w:tc>
        <w:tc>
          <w:tcPr>
            <w:tcW w:w="777" w:type="dxa"/>
          </w:tcPr>
          <w:p w14:paraId="75EE8C1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07AB744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0EAC8429">
            <w:pPr>
              <w:pageBreakBefore w:val="0"/>
              <w:numPr>
                <w:ilvl w:val="0"/>
                <w:numId w:val="0"/>
              </w:numPr>
              <w:tabs>
                <w:tab w:val="left" w:pos="220"/>
              </w:tabs>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lang w:val="en-US" w:eastAsia="zh-CN" w:bidi="ar-SA"/>
              </w:rPr>
              <w:t>8.</w:t>
            </w:r>
            <w:r>
              <w:rPr>
                <w:rFonts w:hint="eastAsia" w:ascii="宋体" w:hAnsi="宋体" w:eastAsia="宋体" w:cs="宋体"/>
                <w:color w:val="auto"/>
                <w:sz w:val="22"/>
                <w:szCs w:val="22"/>
              </w:rPr>
              <w:t>提供两台视频网核心交换机，用于与市局机房视频专网核心交换机相连。所提供之视频网核心交换机必须符合或优于“视频网核心交换机技术规格表”中的相关要求。</w:t>
            </w:r>
          </w:p>
        </w:tc>
        <w:tc>
          <w:tcPr>
            <w:tcW w:w="2018" w:type="dxa"/>
          </w:tcPr>
          <w:p w14:paraId="5833487E">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0D2C466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DBBCA7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7982EDC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1824F98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6D343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67F3045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8</w:t>
            </w:r>
          </w:p>
        </w:tc>
        <w:tc>
          <w:tcPr>
            <w:tcW w:w="777" w:type="dxa"/>
          </w:tcPr>
          <w:p w14:paraId="0E4D72D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66D2BFF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1442DB32">
            <w:pPr>
              <w:pageBreakBefore w:val="0"/>
              <w:numPr>
                <w:ilvl w:val="0"/>
                <w:numId w:val="0"/>
              </w:numPr>
              <w:tabs>
                <w:tab w:val="left" w:pos="567"/>
              </w:tabs>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lang w:val="en-US" w:eastAsia="zh-CN" w:bidi="ar-SA"/>
              </w:rPr>
              <w:t>9.</w:t>
            </w:r>
            <w:r>
              <w:rPr>
                <w:rFonts w:hint="eastAsia" w:ascii="宋体" w:hAnsi="宋体" w:eastAsia="宋体" w:cs="宋体"/>
                <w:color w:val="auto"/>
                <w:sz w:val="22"/>
                <w:szCs w:val="22"/>
              </w:rPr>
              <w:t>提供两台公安网汇聚交换机，用于与公安网核心交换机相连。所提供之公安网汇聚交换机必须符合或优于“公安网汇聚交换机技术规格表”中的相关要求。</w:t>
            </w:r>
          </w:p>
        </w:tc>
        <w:tc>
          <w:tcPr>
            <w:tcW w:w="2018" w:type="dxa"/>
          </w:tcPr>
          <w:p w14:paraId="6FF505BA">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7F3814A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4CAB18D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2BE6192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2FAA861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65432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65274984">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9</w:t>
            </w:r>
          </w:p>
        </w:tc>
        <w:tc>
          <w:tcPr>
            <w:tcW w:w="777" w:type="dxa"/>
          </w:tcPr>
          <w:p w14:paraId="18AFF0FE">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5558A1F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7AA41ED4">
            <w:pPr>
              <w:pageBreakBefore w:val="0"/>
              <w:widowControl w:val="0"/>
              <w:numPr>
                <w:ilvl w:val="0"/>
                <w:numId w:val="0"/>
              </w:numPr>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kern w:val="2"/>
                <w:sz w:val="22"/>
                <w:szCs w:val="22"/>
                <w:lang w:val="en-US" w:eastAsia="zh-CN" w:bidi="ar-SA"/>
              </w:rPr>
              <w:t>（二）</w:t>
            </w:r>
            <w:r>
              <w:rPr>
                <w:rFonts w:hint="eastAsia" w:ascii="宋体" w:hAnsi="宋体" w:eastAsia="宋体" w:cs="宋体"/>
                <w:b/>
                <w:bCs/>
                <w:color w:val="auto"/>
                <w:sz w:val="22"/>
                <w:szCs w:val="22"/>
                <w:highlight w:val="none"/>
              </w:rPr>
              <w:t>机房空间要求</w:t>
            </w:r>
          </w:p>
          <w:p w14:paraId="6B1A8E98">
            <w:pPr>
              <w:pageBreakBefore w:val="0"/>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3</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提供的操作间应具备基本的办公环境，包括办公桌椅、办公沙发、电源插座、网络信息点等。</w:t>
            </w:r>
          </w:p>
        </w:tc>
        <w:tc>
          <w:tcPr>
            <w:tcW w:w="2018" w:type="dxa"/>
          </w:tcPr>
          <w:p w14:paraId="0165ED5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08EFA16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207858E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1FE9853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58EAADE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4A9606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112BBEAD">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10</w:t>
            </w:r>
          </w:p>
        </w:tc>
        <w:tc>
          <w:tcPr>
            <w:tcW w:w="777" w:type="dxa"/>
          </w:tcPr>
          <w:p w14:paraId="367FD1A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094F19D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7E7EF2AC">
            <w:pPr>
              <w:pageBreakBefore w:val="0"/>
              <w:kinsoku/>
              <w:wordWrap/>
              <w:overflowPunct/>
              <w:topLinePunct w:val="0"/>
              <w:autoSpaceDE/>
              <w:autoSpaceDN/>
              <w:bidi w:val="0"/>
              <w:spacing w:line="360" w:lineRule="auto"/>
              <w:rPr>
                <w:rFonts w:hint="eastAsia" w:ascii="宋体" w:hAnsi="宋体" w:eastAsia="宋体" w:cs="宋体"/>
                <w:b/>
                <w:bCs/>
                <w:sz w:val="22"/>
                <w:szCs w:val="22"/>
              </w:rPr>
            </w:pPr>
            <w:r>
              <w:rPr>
                <w:rFonts w:hint="eastAsia" w:ascii="宋体" w:hAnsi="宋体" w:eastAsia="宋体" w:cs="宋体"/>
                <w:b/>
                <w:bCs/>
                <w:sz w:val="22"/>
                <w:szCs w:val="22"/>
                <w:lang w:val="en-US" w:eastAsia="zh-CN"/>
              </w:rPr>
              <w:t>（三）</w:t>
            </w:r>
            <w:r>
              <w:rPr>
                <w:rFonts w:hint="eastAsia" w:ascii="宋体" w:hAnsi="宋体" w:eastAsia="宋体" w:cs="宋体"/>
                <w:b/>
                <w:bCs/>
                <w:sz w:val="22"/>
                <w:szCs w:val="22"/>
              </w:rPr>
              <w:t>智能化管理要求</w:t>
            </w:r>
          </w:p>
          <w:p w14:paraId="494C0B2A">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1</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机房每个冷通道配备人脸、指纹等身份识别系统；</w:t>
            </w:r>
          </w:p>
        </w:tc>
        <w:tc>
          <w:tcPr>
            <w:tcW w:w="2018" w:type="dxa"/>
          </w:tcPr>
          <w:p w14:paraId="0BF1E7E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0D7BFC4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2BE1B36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03C9228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69CE4DD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5116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5894A36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11</w:t>
            </w:r>
          </w:p>
        </w:tc>
        <w:tc>
          <w:tcPr>
            <w:tcW w:w="777" w:type="dxa"/>
          </w:tcPr>
          <w:p w14:paraId="6256E8F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7341EF8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5F51EF26">
            <w:pPr>
              <w:pageBreakBefore w:val="0"/>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3</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须提供一套完善的来访登记系统（含移动端），具备来访申请、审批、进入、离开、设备进出等全过程管理。</w:t>
            </w:r>
            <w:r>
              <w:rPr>
                <w:rFonts w:hint="eastAsia" w:ascii="宋体" w:hAnsi="宋体" w:eastAsia="宋体" w:cs="宋体"/>
                <w:color w:val="auto"/>
                <w:sz w:val="22"/>
                <w:szCs w:val="22"/>
                <w:lang w:val="en-US" w:eastAsia="zh-CN"/>
              </w:rPr>
              <w:t>具体功能包含用户角色管理、权限管理、访客预约管理、访客审批管理、访客来访登记、门禁管理功能等功能，所有审批记录；来访记录、门禁进出记录长期保存，并可按时间、人员、位置等多维度查询并导出。在主体功能不增加的情况下，中标人应按照采购人的实际需要对系统进行调整，包括但不限于界面显示、访客审批事项、审批流程等；</w:t>
            </w:r>
          </w:p>
        </w:tc>
        <w:tc>
          <w:tcPr>
            <w:tcW w:w="2018" w:type="dxa"/>
          </w:tcPr>
          <w:p w14:paraId="5DF5084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2233A8F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42D45FC2">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64A006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320D021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6AD34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2A7D8483">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12</w:t>
            </w:r>
          </w:p>
        </w:tc>
        <w:tc>
          <w:tcPr>
            <w:tcW w:w="777" w:type="dxa"/>
          </w:tcPr>
          <w:p w14:paraId="00743B7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7DFB11B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582B3252">
            <w:pPr>
              <w:pageBreakBefore w:val="0"/>
              <w:kinsoku/>
              <w:wordWrap/>
              <w:overflowPunct/>
              <w:topLinePunct w:val="0"/>
              <w:autoSpaceDE/>
              <w:autoSpaceDN/>
              <w:bidi w:val="0"/>
              <w:spacing w:line="360" w:lineRule="auto"/>
              <w:rPr>
                <w:rFonts w:hint="eastAsia" w:ascii="宋体" w:hAnsi="宋体" w:eastAsia="宋体" w:cs="宋体"/>
                <w:color w:val="auto"/>
                <w:sz w:val="22"/>
                <w:szCs w:val="22"/>
                <w:lang w:eastAsia="zh-CN"/>
              </w:rPr>
            </w:pPr>
            <w:r>
              <w:rPr>
                <w:rFonts w:hint="eastAsia" w:ascii="宋体" w:hAnsi="宋体" w:eastAsia="宋体" w:cs="宋体"/>
                <w:color w:val="auto"/>
                <w:sz w:val="22"/>
                <w:szCs w:val="22"/>
              </w:rPr>
              <w:t>4</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提供租赁机房须配备机房环境监控系统，在采购人的运维中心能实时监测机房环境及机房运行状态，其中电源监控要精细到每个机柜的实时电压、电流、电量及最大值、最小值、平均值等统计分析数据</w:t>
            </w:r>
            <w:r>
              <w:rPr>
                <w:rFonts w:hint="eastAsia" w:ascii="宋体" w:hAnsi="宋体" w:eastAsia="宋体" w:cs="宋体"/>
                <w:color w:val="auto"/>
                <w:sz w:val="22"/>
                <w:szCs w:val="22"/>
                <w:lang w:eastAsia="zh-CN"/>
              </w:rPr>
              <w:t>；</w:t>
            </w:r>
          </w:p>
          <w:p w14:paraId="72395B7A">
            <w:pPr>
              <w:pageBreakBefore w:val="0"/>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5</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机房环境监控系统的有关数据需要接入采购人自建的统一运维平台，接入数据包括但不限于每个检测点的温度、湿度；每个列头柜的实时电流、电压；每个机柜的实时电流电压；动环系统产生的告警的告警号、设备名称、区域ID、设备ID、设备类型、告警级别、告警事件和告警内容等。数据通过Webservice方式提供，对接费用由</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负责。</w:t>
            </w:r>
          </w:p>
        </w:tc>
        <w:tc>
          <w:tcPr>
            <w:tcW w:w="2018" w:type="dxa"/>
          </w:tcPr>
          <w:p w14:paraId="1E171AF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402397C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26AC7BA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D28F9EA">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68CD9FED">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FE95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0EE4A6A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13</w:t>
            </w:r>
          </w:p>
        </w:tc>
        <w:tc>
          <w:tcPr>
            <w:tcW w:w="777" w:type="dxa"/>
          </w:tcPr>
          <w:p w14:paraId="2AFB16E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15FDDB3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060436CE">
            <w:pPr>
              <w:keepNext/>
              <w:keepLines/>
              <w:pageBreakBefore w:val="0"/>
              <w:widowControl w:val="0"/>
              <w:numPr>
                <w:ilvl w:val="2"/>
                <w:numId w:val="0"/>
              </w:numPr>
              <w:kinsoku/>
              <w:wordWrap/>
              <w:overflowPunct/>
              <w:topLinePunct w:val="0"/>
              <w:autoSpaceDE/>
              <w:autoSpaceDN/>
              <w:bidi w:val="0"/>
              <w:spacing w:line="360" w:lineRule="auto"/>
              <w:ind w:left="0" w:leftChars="0" w:firstLine="0" w:firstLineChars="0"/>
              <w:jc w:val="both"/>
              <w:outlineLvl w:val="2"/>
              <w:rPr>
                <w:rFonts w:hint="eastAsia" w:ascii="宋体" w:hAnsi="宋体" w:eastAsia="宋体" w:cs="宋体"/>
                <w:b/>
                <w:bCs/>
                <w:kern w:val="2"/>
                <w:sz w:val="22"/>
                <w:szCs w:val="22"/>
                <w:lang w:val="en-US" w:eastAsia="zh-CN" w:bidi="ar-SA"/>
              </w:rPr>
            </w:pPr>
            <w:bookmarkStart w:id="0" w:name="_Toc25297"/>
            <w:bookmarkStart w:id="1" w:name="_Toc9699"/>
            <w:bookmarkStart w:id="2" w:name="_Toc31730"/>
            <w:r>
              <w:rPr>
                <w:rFonts w:hint="eastAsia" w:ascii="宋体" w:hAnsi="宋体" w:eastAsia="宋体" w:cs="宋体"/>
                <w:b/>
                <w:bCs/>
                <w:kern w:val="2"/>
                <w:sz w:val="22"/>
                <w:szCs w:val="22"/>
                <w:lang w:val="en-US" w:eastAsia="zh-CN" w:bidi="ar-SA"/>
              </w:rPr>
              <w:t>五、机房设备搬迁服务</w:t>
            </w:r>
            <w:bookmarkEnd w:id="0"/>
            <w:bookmarkEnd w:id="1"/>
            <w:bookmarkEnd w:id="2"/>
          </w:p>
          <w:p w14:paraId="5EA17528">
            <w:pPr>
              <w:pageBreakBefore w:val="0"/>
              <w:numPr>
                <w:ilvl w:val="0"/>
                <w:numId w:val="0"/>
              </w:numPr>
              <w:tabs>
                <w:tab w:val="left" w:pos="851"/>
              </w:tabs>
              <w:kinsoku/>
              <w:wordWrap/>
              <w:overflowPunct/>
              <w:topLinePunct w:val="0"/>
              <w:autoSpaceDE/>
              <w:autoSpaceDN/>
              <w:bidi w:val="0"/>
              <w:adjustRightInd w:val="0"/>
              <w:snapToGrid w:val="0"/>
              <w:spacing w:line="360" w:lineRule="auto"/>
              <w:ind w:left="720" w:leftChars="0" w:hanging="720" w:firstLineChars="0"/>
              <w:rPr>
                <w:rFonts w:hint="eastAsia" w:ascii="宋体" w:hAnsi="宋体" w:eastAsia="宋体" w:cs="宋体"/>
                <w:b/>
                <w:color w:val="auto"/>
                <w:sz w:val="22"/>
                <w:szCs w:val="22"/>
              </w:rPr>
            </w:pPr>
            <w:bookmarkStart w:id="3" w:name="_Toc11941092"/>
            <w:r>
              <w:rPr>
                <w:rFonts w:hint="eastAsia" w:ascii="宋体" w:hAnsi="宋体" w:eastAsia="宋体" w:cs="宋体"/>
                <w:b/>
                <w:color w:val="auto"/>
                <w:sz w:val="22"/>
                <w:szCs w:val="22"/>
                <w:lang w:val="en-US" w:eastAsia="zh-CN" w:bidi="ar-SA"/>
              </w:rPr>
              <w:t>（一）</w:t>
            </w:r>
            <w:r>
              <w:rPr>
                <w:rFonts w:hint="eastAsia" w:ascii="宋体" w:hAnsi="宋体" w:eastAsia="宋体" w:cs="宋体"/>
                <w:b/>
                <w:color w:val="auto"/>
                <w:sz w:val="22"/>
                <w:szCs w:val="22"/>
              </w:rPr>
              <w:t>搬迁需求</w:t>
            </w:r>
            <w:bookmarkEnd w:id="3"/>
          </w:p>
          <w:p w14:paraId="7F4ACF98">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rPr>
              <w:t>搬迁目标机房位置：</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提供的机房。</w:t>
            </w:r>
          </w:p>
          <w:p w14:paraId="25AAC9A7">
            <w:pPr>
              <w:keepNext w:val="0"/>
              <w:keepLines w:val="0"/>
              <w:pageBreakBefore w:val="0"/>
              <w:widowControl w:val="0"/>
              <w:numPr>
                <w:ilvl w:val="0"/>
                <w:numId w:val="0"/>
              </w:numPr>
              <w:tabs>
                <w:tab w:val="left" w:pos="851"/>
              </w:tabs>
              <w:kinsoku/>
              <w:wordWrap/>
              <w:overflowPunct/>
              <w:topLinePunct w:val="0"/>
              <w:autoSpaceDE/>
              <w:autoSpaceDN/>
              <w:bidi w:val="0"/>
              <w:adjustRightInd w:val="0"/>
              <w:snapToGrid w:val="0"/>
              <w:spacing w:line="360" w:lineRule="auto"/>
              <w:ind w:left="720" w:leftChars="0" w:hanging="720" w:firstLineChars="0"/>
              <w:textAlignment w:val="auto"/>
              <w:rPr>
                <w:rFonts w:hint="eastAsia" w:ascii="宋体" w:hAnsi="宋体" w:eastAsia="宋体" w:cs="宋体"/>
                <w:b/>
                <w:bCs/>
                <w:color w:val="auto"/>
                <w:sz w:val="22"/>
                <w:szCs w:val="22"/>
                <w:highlight w:val="none"/>
              </w:rPr>
            </w:pPr>
            <w:bookmarkStart w:id="4" w:name="_Toc11941093"/>
            <w:r>
              <w:rPr>
                <w:rFonts w:hint="eastAsia" w:ascii="宋体" w:hAnsi="宋体" w:eastAsia="宋体" w:cs="宋体"/>
                <w:b/>
                <w:bCs/>
                <w:color w:val="auto"/>
                <w:sz w:val="22"/>
                <w:szCs w:val="22"/>
                <w:highlight w:val="none"/>
                <w:lang w:val="en-US" w:eastAsia="zh-CN" w:bidi="ar-SA"/>
              </w:rPr>
              <w:t>（二）</w:t>
            </w:r>
            <w:r>
              <w:rPr>
                <w:rFonts w:hint="eastAsia" w:ascii="宋体" w:hAnsi="宋体" w:eastAsia="宋体" w:cs="宋体"/>
                <w:b/>
                <w:bCs/>
                <w:color w:val="auto"/>
                <w:sz w:val="22"/>
                <w:szCs w:val="22"/>
                <w:highlight w:val="none"/>
              </w:rPr>
              <w:t>搬迁实施要求</w:t>
            </w:r>
            <w:bookmarkEnd w:id="4"/>
          </w:p>
          <w:p w14:paraId="78A1941E">
            <w:pPr>
              <w:pStyle w:val="13"/>
              <w:keepNext w:val="0"/>
              <w:keepLines w:val="0"/>
              <w:pageBreakBefore w:val="0"/>
              <w:widowControl w:val="0"/>
              <w:numPr>
                <w:ilvl w:val="3"/>
                <w:numId w:val="0"/>
              </w:numPr>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bookmarkStart w:id="5" w:name="_Toc11941094"/>
            <w:r>
              <w:rPr>
                <w:rFonts w:hint="eastAsia" w:ascii="宋体" w:hAnsi="宋体" w:eastAsia="宋体" w:cs="宋体"/>
                <w:b/>
                <w:bCs/>
                <w:color w:val="auto"/>
                <w:kern w:val="2"/>
                <w:sz w:val="22"/>
                <w:szCs w:val="22"/>
                <w:highlight w:val="none"/>
                <w:lang w:val="en-US" w:eastAsia="zh-CN" w:bidi="ar-SA"/>
              </w:rPr>
              <w:t>1.</w:t>
            </w:r>
            <w:r>
              <w:rPr>
                <w:rFonts w:hint="eastAsia" w:ascii="宋体" w:hAnsi="宋体" w:eastAsia="宋体" w:cs="宋体"/>
                <w:b/>
                <w:bCs/>
                <w:color w:val="auto"/>
                <w:sz w:val="22"/>
                <w:szCs w:val="22"/>
                <w:highlight w:val="none"/>
              </w:rPr>
              <w:t>搬迁原则</w:t>
            </w:r>
            <w:bookmarkEnd w:id="5"/>
          </w:p>
          <w:p w14:paraId="7A731BD1">
            <w:pPr>
              <w:pageBreakBefore w:val="0"/>
              <w:tabs>
                <w:tab w:val="left" w:pos="142"/>
              </w:tabs>
              <w:kinsoku/>
              <w:wordWrap/>
              <w:overflowPunct/>
              <w:topLinePunct w:val="0"/>
              <w:autoSpaceDE/>
              <w:autoSpaceDN/>
              <w:bidi w:val="0"/>
              <w:adjustRightInd w:val="0"/>
              <w:snapToGrid w:val="0"/>
              <w:spacing w:line="360" w:lineRule="auto"/>
              <w:ind w:firstLine="440" w:firstLineChars="200"/>
              <w:rPr>
                <w:rFonts w:hint="eastAsia" w:ascii="宋体" w:hAnsi="宋体" w:eastAsia="宋体" w:cs="宋体"/>
                <w:color w:val="auto"/>
                <w:sz w:val="22"/>
                <w:szCs w:val="22"/>
              </w:rPr>
            </w:pPr>
            <w:bookmarkStart w:id="6" w:name="_Toc11941095"/>
            <w:bookmarkStart w:id="7" w:name="_Toc449625065"/>
            <w:bookmarkStart w:id="8" w:name="_Toc5832722"/>
            <w:r>
              <w:rPr>
                <w:rFonts w:hint="eastAsia" w:ascii="宋体" w:hAnsi="宋体" w:eastAsia="宋体" w:cs="宋体"/>
                <w:color w:val="auto"/>
                <w:sz w:val="22"/>
                <w:szCs w:val="22"/>
              </w:rPr>
              <w:t>鉴于风险与质量管理中心搬迁的复杂性以及所涉及设备多样性，整个搬迁项目的规划及实施时间非常紧凑。根据不同时期的工作重点，风险与质量管理中心搬迁划分为三个阶段：评估与建模阶段、详细设计阶段、实施阶段</w:t>
            </w:r>
            <w:r>
              <w:rPr>
                <w:rFonts w:hint="eastAsia" w:ascii="宋体" w:hAnsi="宋体" w:eastAsia="宋体" w:cs="宋体"/>
                <w:color w:val="auto"/>
                <w:sz w:val="22"/>
                <w:szCs w:val="22"/>
                <w:lang w:eastAsia="zh-CN"/>
              </w:rPr>
              <w:t>，每个阶段约占总工期的</w:t>
            </w:r>
            <w:r>
              <w:rPr>
                <w:rFonts w:hint="eastAsia" w:ascii="宋体" w:hAnsi="宋体" w:eastAsia="宋体" w:cs="宋体"/>
                <w:color w:val="auto"/>
                <w:sz w:val="22"/>
                <w:szCs w:val="22"/>
                <w:lang w:val="en-US" w:eastAsia="zh-CN"/>
              </w:rPr>
              <w:t>1/3</w:t>
            </w:r>
            <w:r>
              <w:rPr>
                <w:rFonts w:hint="eastAsia" w:ascii="宋体" w:hAnsi="宋体" w:eastAsia="宋体" w:cs="宋体"/>
                <w:color w:val="auto"/>
                <w:sz w:val="22"/>
                <w:szCs w:val="22"/>
              </w:rPr>
              <w:t>。</w:t>
            </w:r>
          </w:p>
          <w:p w14:paraId="622B1CA8">
            <w:pPr>
              <w:pageBreakBefore w:val="0"/>
              <w:tabs>
                <w:tab w:val="left" w:pos="142"/>
              </w:tabs>
              <w:kinsoku/>
              <w:wordWrap/>
              <w:overflowPunct/>
              <w:topLinePunct w:val="0"/>
              <w:autoSpaceDE/>
              <w:autoSpaceDN/>
              <w:bidi w:val="0"/>
              <w:adjustRightInd w:val="0"/>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第一阶段为搬迁的评估与建模，主要对机房的计算机设备和业务现状进行调研分析，对目标机房的需求进行收集整理。通过编制现有IT系统拓扑逻辑详图，理清现有系统中所有硬件、软件、系统、应用等信息及其相互间的关联，确保所有相关信息完整地显示出来。同时，根据用户目标机房的使用规划，编制新机房系统拓扑逻辑详图。进行初步设计、规划、以及评估，为搬迁做好准备。</w:t>
            </w:r>
          </w:p>
          <w:p w14:paraId="639BE2EE">
            <w:pPr>
              <w:pageBreakBefore w:val="0"/>
              <w:tabs>
                <w:tab w:val="left" w:pos="142"/>
              </w:tabs>
              <w:kinsoku/>
              <w:wordWrap/>
              <w:overflowPunct/>
              <w:topLinePunct w:val="0"/>
              <w:autoSpaceDE/>
              <w:autoSpaceDN/>
              <w:bidi w:val="0"/>
              <w:adjustRightInd w:val="0"/>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第二阶段将进行详细方案的设计，并制定演练方案及风险准备计划。根据现有IT系统拓扑逻辑详图，通过与IT部门及运输承运商等各方面的充分的沟通，划分设备搬迁的具体批次及方法，分别制定详细的搬迁方案及相应的应急修复方案。</w:t>
            </w:r>
          </w:p>
          <w:p w14:paraId="44F4F844">
            <w:pPr>
              <w:pageBreakBefore w:val="0"/>
              <w:tabs>
                <w:tab w:val="left" w:pos="142"/>
              </w:tabs>
              <w:kinsoku/>
              <w:wordWrap/>
              <w:overflowPunct/>
              <w:topLinePunct w:val="0"/>
              <w:autoSpaceDE/>
              <w:autoSpaceDN/>
              <w:bidi w:val="0"/>
              <w:adjustRightInd w:val="0"/>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第三阶段即进行搬迁的实施及管理。根据第二阶段设计的详细方案，各业务小组开始做搬迁前的各项准备工作，进行搬迁后系统的测试及检验。</w:t>
            </w:r>
          </w:p>
          <w:p w14:paraId="08FC5A83">
            <w:pPr>
              <w:pageBreakBefore w:val="0"/>
              <w:tabs>
                <w:tab w:val="left" w:pos="142"/>
              </w:tabs>
              <w:kinsoku/>
              <w:wordWrap/>
              <w:overflowPunct/>
              <w:topLinePunct w:val="0"/>
              <w:autoSpaceDE/>
              <w:autoSpaceDN/>
              <w:bidi w:val="0"/>
              <w:adjustRightInd w:val="0"/>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在规划搬迁方案时，应遵循以下原则：</w:t>
            </w:r>
          </w:p>
          <w:p w14:paraId="608E70BC">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(1)</w:t>
            </w:r>
            <w:r>
              <w:rPr>
                <w:rFonts w:hint="eastAsia" w:ascii="宋体" w:hAnsi="宋体" w:eastAsia="宋体" w:cs="宋体"/>
                <w:color w:val="auto"/>
                <w:sz w:val="22"/>
                <w:szCs w:val="22"/>
              </w:rPr>
              <w:t>搬迁批次及每批搬迁起始时点由用户确定。</w:t>
            </w:r>
          </w:p>
          <w:p w14:paraId="0DF51D61">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(2)</w:t>
            </w:r>
            <w:r>
              <w:rPr>
                <w:rFonts w:hint="eastAsia" w:ascii="宋体" w:hAnsi="宋体" w:eastAsia="宋体" w:cs="宋体"/>
                <w:color w:val="auto"/>
                <w:sz w:val="22"/>
                <w:szCs w:val="22"/>
                <w:lang w:eastAsia="zh-CN"/>
              </w:rPr>
              <w:t>中标人</w:t>
            </w:r>
            <w:r>
              <w:rPr>
                <w:rFonts w:hint="eastAsia" w:ascii="宋体" w:hAnsi="宋体" w:eastAsia="宋体" w:cs="宋体"/>
                <w:color w:val="auto"/>
                <w:sz w:val="22"/>
                <w:szCs w:val="22"/>
              </w:rPr>
              <w:t>须保证各类应用系统自每批次搬迁截止时间前可对外提供服务。</w:t>
            </w:r>
          </w:p>
          <w:p w14:paraId="743FC4F7">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(3)</w:t>
            </w:r>
            <w:r>
              <w:rPr>
                <w:rFonts w:hint="eastAsia" w:ascii="宋体" w:hAnsi="宋体" w:eastAsia="宋体" w:cs="宋体"/>
                <w:color w:val="auto"/>
                <w:sz w:val="22"/>
                <w:szCs w:val="22"/>
              </w:rPr>
              <w:t>采取有效措施，降低搬迁风险，如：准备充足备件，具备回退方案。</w:t>
            </w:r>
          </w:p>
          <w:p w14:paraId="4B77E28F">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(4)</w:t>
            </w:r>
            <w:r>
              <w:rPr>
                <w:rFonts w:hint="eastAsia" w:ascii="宋体" w:hAnsi="宋体" w:eastAsia="宋体" w:cs="宋体"/>
                <w:color w:val="auto"/>
                <w:sz w:val="22"/>
                <w:szCs w:val="22"/>
              </w:rPr>
              <w:t>确立单一目标，最短路径，分步骤进行，保证过程一致性。</w:t>
            </w:r>
          </w:p>
          <w:p w14:paraId="1C435579">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(5)</w:t>
            </w:r>
            <w:r>
              <w:rPr>
                <w:rFonts w:hint="eastAsia" w:ascii="宋体" w:hAnsi="宋体" w:eastAsia="宋体" w:cs="宋体"/>
                <w:color w:val="auto"/>
                <w:sz w:val="22"/>
                <w:szCs w:val="22"/>
              </w:rPr>
              <w:t>保证搬迁前提条件，充分考虑可行性。</w:t>
            </w:r>
          </w:p>
          <w:p w14:paraId="5A489F6E">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(6)</w:t>
            </w:r>
            <w:r>
              <w:rPr>
                <w:rFonts w:hint="eastAsia" w:ascii="宋体" w:hAnsi="宋体" w:eastAsia="宋体" w:cs="宋体"/>
                <w:color w:val="auto"/>
                <w:sz w:val="22"/>
                <w:szCs w:val="22"/>
              </w:rPr>
              <w:t>过程简单，可操作性强。</w:t>
            </w:r>
          </w:p>
          <w:p w14:paraId="62C8A943">
            <w:pPr>
              <w:pageBreakBefore w:val="0"/>
              <w:numPr>
                <w:ilvl w:val="0"/>
                <w:numId w:val="0"/>
              </w:numPr>
              <w:tabs>
                <w:tab w:val="left" w:pos="851"/>
              </w:tabs>
              <w:kinsoku/>
              <w:wordWrap/>
              <w:overflowPunct/>
              <w:topLinePunct w:val="0"/>
              <w:autoSpaceDE/>
              <w:autoSpaceDN/>
              <w:bidi w:val="0"/>
              <w:adjustRightInd w:val="0"/>
              <w:snapToGrid w:val="0"/>
              <w:spacing w:line="360" w:lineRule="auto"/>
              <w:rPr>
                <w:rFonts w:hint="eastAsia" w:ascii="宋体" w:hAnsi="宋体" w:eastAsia="宋体" w:cs="宋体"/>
                <w:color w:val="auto"/>
                <w:sz w:val="22"/>
                <w:szCs w:val="22"/>
              </w:rPr>
            </w:pPr>
            <w:r>
              <w:rPr>
                <w:rFonts w:hint="eastAsia" w:ascii="宋体" w:hAnsi="宋体" w:eastAsia="宋体" w:cs="宋体"/>
                <w:color w:val="auto"/>
                <w:kern w:val="2"/>
                <w:sz w:val="22"/>
                <w:szCs w:val="22"/>
                <w:lang w:val="en-US" w:eastAsia="zh-CN" w:bidi="ar-SA"/>
              </w:rPr>
              <w:t>(7)</w:t>
            </w:r>
            <w:r>
              <w:rPr>
                <w:rFonts w:hint="eastAsia" w:ascii="宋体" w:hAnsi="宋体" w:eastAsia="宋体" w:cs="宋体"/>
                <w:color w:val="auto"/>
                <w:sz w:val="22"/>
                <w:szCs w:val="22"/>
              </w:rPr>
              <w:t>搬迁程序可逆，确保安全可靠。</w:t>
            </w:r>
          </w:p>
          <w:p w14:paraId="2ECEA4B9">
            <w:pPr>
              <w:pStyle w:val="13"/>
              <w:pageBreakBefore w:val="0"/>
              <w:widowControl w:val="0"/>
              <w:numPr>
                <w:ilvl w:val="3"/>
                <w:numId w:val="0"/>
              </w:numPr>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kern w:val="2"/>
                <w:sz w:val="22"/>
                <w:szCs w:val="22"/>
                <w:highlight w:val="none"/>
                <w:lang w:val="en-US" w:eastAsia="zh-CN" w:bidi="ar-SA"/>
              </w:rPr>
              <w:t>2.</w:t>
            </w:r>
            <w:r>
              <w:rPr>
                <w:rFonts w:hint="eastAsia" w:ascii="宋体" w:hAnsi="宋体" w:eastAsia="宋体" w:cs="宋体"/>
                <w:b/>
                <w:bCs/>
                <w:color w:val="auto"/>
                <w:sz w:val="22"/>
                <w:szCs w:val="22"/>
                <w:highlight w:val="none"/>
              </w:rPr>
              <w:t>搬迁需求</w:t>
            </w:r>
            <w:bookmarkEnd w:id="6"/>
            <w:bookmarkEnd w:id="7"/>
            <w:bookmarkEnd w:id="8"/>
          </w:p>
          <w:p w14:paraId="5E8FDE1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由于本次设备搬迁，牵涉的IT设备数量较多、型号复杂，比较现有环境，目标机房的综合布线、设备的物理摆放位置等方面较原机房有很大变化，部分设备网络结构、存储链路等也将发生变化，涉及到较多的变更工作都需要在本项目中完成。</w:t>
            </w:r>
          </w:p>
          <w:p w14:paraId="5B80A3C4">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根据搬迁工作的实际需要，要求</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提供以下方面的支持：</w:t>
            </w:r>
          </w:p>
          <w:p w14:paraId="170082A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9" w:name="_Toc212233930"/>
            <w:bookmarkStart w:id="10" w:name="_Toc5832723"/>
            <w:bookmarkStart w:id="11" w:name="_Toc449625066"/>
            <w:r>
              <w:rPr>
                <w:rFonts w:hint="eastAsia" w:ascii="宋体" w:hAnsi="宋体" w:eastAsia="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rPr>
              <w:t>搬迁项目管理</w:t>
            </w:r>
            <w:bookmarkEnd w:id="9"/>
            <w:r>
              <w:rPr>
                <w:rFonts w:hint="eastAsia" w:ascii="宋体" w:hAnsi="宋体" w:eastAsia="宋体" w:cs="宋体"/>
                <w:b w:val="0"/>
                <w:bCs w:val="0"/>
                <w:color w:val="auto"/>
                <w:sz w:val="22"/>
                <w:szCs w:val="22"/>
                <w:highlight w:val="none"/>
              </w:rPr>
              <w:t>服务</w:t>
            </w:r>
            <w:bookmarkEnd w:id="10"/>
            <w:bookmarkEnd w:id="11"/>
          </w:p>
          <w:p w14:paraId="3BFF7A0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为了安全、顺利的完成本次机房的搬迁，</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应提供整体搬迁项目管理工作，其工作内容为：</w:t>
            </w:r>
          </w:p>
          <w:p w14:paraId="35F67E07">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①</w:t>
            </w:r>
            <w:r>
              <w:rPr>
                <w:rFonts w:hint="eastAsia" w:ascii="宋体" w:hAnsi="宋体" w:eastAsia="宋体" w:cs="宋体"/>
                <w:b w:val="0"/>
                <w:bCs w:val="0"/>
                <w:color w:val="auto"/>
                <w:sz w:val="22"/>
                <w:szCs w:val="22"/>
                <w:highlight w:val="none"/>
              </w:rPr>
              <w:t>协助采购人对相关设备厂商、服务厂商和专业公司进行管理</w:t>
            </w:r>
            <w:r>
              <w:rPr>
                <w:rFonts w:hint="eastAsia" w:ascii="宋体" w:hAnsi="宋体" w:eastAsia="宋体" w:cs="宋体"/>
                <w:b w:val="0"/>
                <w:bCs w:val="0"/>
                <w:color w:val="auto"/>
                <w:sz w:val="22"/>
                <w:szCs w:val="22"/>
                <w:highlight w:val="none"/>
                <w:lang w:eastAsia="zh-CN"/>
              </w:rPr>
              <w:t>。</w:t>
            </w:r>
          </w:p>
          <w:p w14:paraId="22F0CFB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②</w:t>
            </w:r>
            <w:r>
              <w:rPr>
                <w:rFonts w:hint="eastAsia" w:ascii="宋体" w:hAnsi="宋体" w:eastAsia="宋体" w:cs="宋体"/>
                <w:b w:val="0"/>
                <w:bCs w:val="0"/>
                <w:color w:val="auto"/>
                <w:sz w:val="22"/>
                <w:szCs w:val="22"/>
                <w:highlight w:val="none"/>
              </w:rPr>
              <w:t>建立和监控实施计划和里程碑，控制项目实施进度</w:t>
            </w:r>
            <w:r>
              <w:rPr>
                <w:rFonts w:hint="eastAsia" w:ascii="宋体" w:hAnsi="宋体" w:eastAsia="宋体" w:cs="宋体"/>
                <w:b w:val="0"/>
                <w:bCs w:val="0"/>
                <w:color w:val="auto"/>
                <w:sz w:val="22"/>
                <w:szCs w:val="22"/>
                <w:highlight w:val="none"/>
                <w:lang w:eastAsia="zh-CN"/>
              </w:rPr>
              <w:t>。</w:t>
            </w:r>
          </w:p>
          <w:p w14:paraId="4DF740A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③</w:t>
            </w:r>
            <w:r>
              <w:rPr>
                <w:rFonts w:hint="eastAsia" w:ascii="宋体" w:hAnsi="宋体" w:eastAsia="宋体" w:cs="宋体"/>
                <w:b w:val="0"/>
                <w:bCs w:val="0"/>
                <w:color w:val="auto"/>
                <w:sz w:val="22"/>
                <w:szCs w:val="22"/>
                <w:highlight w:val="none"/>
              </w:rPr>
              <w:t>项目的沟通管理</w:t>
            </w:r>
            <w:r>
              <w:rPr>
                <w:rFonts w:hint="eastAsia" w:ascii="宋体" w:hAnsi="宋体" w:eastAsia="宋体" w:cs="宋体"/>
                <w:b w:val="0"/>
                <w:bCs w:val="0"/>
                <w:color w:val="auto"/>
                <w:sz w:val="22"/>
                <w:szCs w:val="22"/>
                <w:highlight w:val="none"/>
                <w:lang w:eastAsia="zh-CN"/>
              </w:rPr>
              <w:t>。</w:t>
            </w:r>
          </w:p>
          <w:p w14:paraId="33B12A87">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④</w:t>
            </w:r>
            <w:r>
              <w:rPr>
                <w:rFonts w:hint="eastAsia" w:ascii="宋体" w:hAnsi="宋体" w:eastAsia="宋体" w:cs="宋体"/>
                <w:b w:val="0"/>
                <w:bCs w:val="0"/>
                <w:color w:val="auto"/>
                <w:sz w:val="22"/>
                <w:szCs w:val="22"/>
                <w:highlight w:val="none"/>
              </w:rPr>
              <w:t>搬迁的实施管理及资源协调</w:t>
            </w:r>
            <w:r>
              <w:rPr>
                <w:rFonts w:hint="eastAsia" w:ascii="宋体" w:hAnsi="宋体" w:eastAsia="宋体" w:cs="宋体"/>
                <w:b w:val="0"/>
                <w:bCs w:val="0"/>
                <w:color w:val="auto"/>
                <w:sz w:val="22"/>
                <w:szCs w:val="22"/>
                <w:highlight w:val="none"/>
                <w:lang w:eastAsia="zh-CN"/>
              </w:rPr>
              <w:t>。</w:t>
            </w:r>
          </w:p>
          <w:p w14:paraId="45709A9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⑤</w:t>
            </w:r>
            <w:r>
              <w:rPr>
                <w:rFonts w:hint="eastAsia" w:ascii="宋体" w:hAnsi="宋体" w:eastAsia="宋体" w:cs="宋体"/>
                <w:b w:val="0"/>
                <w:bCs w:val="0"/>
                <w:color w:val="auto"/>
                <w:sz w:val="22"/>
                <w:szCs w:val="22"/>
                <w:highlight w:val="none"/>
              </w:rPr>
              <w:t>变更管理及风险控制</w:t>
            </w:r>
            <w:r>
              <w:rPr>
                <w:rFonts w:hint="eastAsia" w:ascii="宋体" w:hAnsi="宋体" w:eastAsia="宋体" w:cs="宋体"/>
                <w:b w:val="0"/>
                <w:bCs w:val="0"/>
                <w:color w:val="auto"/>
                <w:sz w:val="22"/>
                <w:szCs w:val="22"/>
                <w:highlight w:val="none"/>
                <w:lang w:eastAsia="zh-CN"/>
              </w:rPr>
              <w:t>。</w:t>
            </w:r>
          </w:p>
          <w:p w14:paraId="7FBCB19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⑥</w:t>
            </w:r>
            <w:r>
              <w:rPr>
                <w:rFonts w:hint="eastAsia" w:ascii="宋体" w:hAnsi="宋体" w:eastAsia="宋体" w:cs="宋体"/>
                <w:b w:val="0"/>
                <w:bCs w:val="0"/>
                <w:color w:val="auto"/>
                <w:sz w:val="22"/>
                <w:szCs w:val="22"/>
                <w:highlight w:val="none"/>
              </w:rPr>
              <w:t>项目文档管理</w:t>
            </w:r>
            <w:r>
              <w:rPr>
                <w:rFonts w:hint="eastAsia" w:ascii="宋体" w:hAnsi="宋体" w:eastAsia="宋体" w:cs="宋体"/>
                <w:b w:val="0"/>
                <w:bCs w:val="0"/>
                <w:color w:val="auto"/>
                <w:sz w:val="22"/>
                <w:szCs w:val="22"/>
                <w:highlight w:val="none"/>
                <w:lang w:eastAsia="zh-CN"/>
              </w:rPr>
              <w:t>。</w:t>
            </w:r>
          </w:p>
          <w:p w14:paraId="7D17B88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同时，</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需对与本项目相关联的其它项目进行统一管理和协调，制定统一的项目计划。</w:t>
            </w:r>
          </w:p>
          <w:p w14:paraId="4BB52C9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12" w:name="_Toc449625067"/>
            <w:bookmarkStart w:id="13" w:name="_Toc5832724"/>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rPr>
              <w:t>搬迁服务</w:t>
            </w:r>
            <w:bookmarkEnd w:id="12"/>
            <w:bookmarkEnd w:id="13"/>
          </w:p>
          <w:p w14:paraId="3F15B27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①</w:t>
            </w:r>
            <w:r>
              <w:rPr>
                <w:rFonts w:hint="eastAsia" w:ascii="宋体" w:hAnsi="宋体" w:eastAsia="宋体" w:cs="宋体"/>
                <w:b w:val="0"/>
                <w:bCs w:val="0"/>
                <w:color w:val="auto"/>
                <w:sz w:val="22"/>
                <w:szCs w:val="22"/>
                <w:highlight w:val="none"/>
              </w:rPr>
              <w:t>整理现有机房内设备信息、技术架构信息、根据需要勘察机房现场获得如物理位置、布局、尺寸、重量、设备连接关系等必要信息，收集并整理现有机房搬迁风险相关的自然条件、客观要求或重要事项。</w:t>
            </w:r>
          </w:p>
          <w:p w14:paraId="7CF75DCD">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②</w:t>
            </w:r>
            <w:r>
              <w:rPr>
                <w:rFonts w:hint="eastAsia" w:ascii="宋体" w:hAnsi="宋体" w:eastAsia="宋体" w:cs="宋体"/>
                <w:b w:val="0"/>
                <w:bCs w:val="0"/>
                <w:color w:val="auto"/>
                <w:sz w:val="22"/>
                <w:szCs w:val="22"/>
                <w:highlight w:val="none"/>
              </w:rPr>
              <w:t>规划目标机房IT设备布局，制定IT设备标签规范、目标机房综合布线需求。</w:t>
            </w:r>
          </w:p>
          <w:p w14:paraId="2E3C2A4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③</w:t>
            </w:r>
            <w:r>
              <w:rPr>
                <w:rFonts w:hint="eastAsia" w:ascii="宋体" w:hAnsi="宋体" w:eastAsia="宋体" w:cs="宋体"/>
                <w:b w:val="0"/>
                <w:bCs w:val="0"/>
                <w:color w:val="auto"/>
                <w:sz w:val="22"/>
                <w:szCs w:val="22"/>
                <w:highlight w:val="none"/>
              </w:rPr>
              <w:t>搬迁风险分析，列出对各类重要风险点和事项,，准备搬迁风险消除或应对方案。</w:t>
            </w:r>
          </w:p>
          <w:p w14:paraId="08D79EC6">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④</w:t>
            </w:r>
            <w:r>
              <w:rPr>
                <w:rFonts w:hint="eastAsia" w:ascii="宋体" w:hAnsi="宋体" w:eastAsia="宋体" w:cs="宋体"/>
                <w:b w:val="0"/>
                <w:bCs w:val="0"/>
                <w:color w:val="auto"/>
                <w:sz w:val="22"/>
                <w:szCs w:val="22"/>
                <w:highlight w:val="none"/>
              </w:rPr>
              <w:t>制定搬迁策略, 对设备进行搬迁分组分析，确定各类设备搬迁所采用的搬迁方案；并制定总体搬迁时间表和路线图。</w:t>
            </w:r>
          </w:p>
          <w:p w14:paraId="143400AB">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⑤</w:t>
            </w:r>
            <w:r>
              <w:rPr>
                <w:rFonts w:hint="eastAsia" w:ascii="宋体" w:hAnsi="宋体" w:eastAsia="宋体" w:cs="宋体"/>
                <w:b w:val="0"/>
                <w:bCs w:val="0"/>
                <w:color w:val="auto"/>
                <w:sz w:val="22"/>
                <w:szCs w:val="22"/>
                <w:highlight w:val="none"/>
              </w:rPr>
              <w:t>制定搬迁详细计划，考虑并定义核心搬迁任务、关联关系、资源、时间、里程碑、关键搬迁时间点等。整合各设备厂商、专业公司的项目计划，分析并定义搬迁项目计划中的串行与并行任务。</w:t>
            </w:r>
          </w:p>
          <w:p w14:paraId="1A9754B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⑥</w:t>
            </w:r>
            <w:r>
              <w:rPr>
                <w:rFonts w:hint="eastAsia" w:ascii="宋体" w:hAnsi="宋体" w:eastAsia="宋体" w:cs="宋体"/>
                <w:b w:val="0"/>
                <w:bCs w:val="0"/>
                <w:color w:val="auto"/>
                <w:sz w:val="22"/>
                <w:szCs w:val="22"/>
                <w:highlight w:val="none"/>
              </w:rPr>
              <w:t>制定搬迁详细方案，规划搬迁路线，制定详细的搬迁实施方案、业务验证建议方案和搬迁演练方案，对设备布局进行规划和设计，制定数据备份方案与风险应对计划，设计设备搬运路线、包装标准、安保措施。</w:t>
            </w:r>
          </w:p>
          <w:p w14:paraId="682AB1D4">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⑦制定搬迁技术准备要求。</w:t>
            </w:r>
          </w:p>
          <w:p w14:paraId="52B3764B">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⑧细化搬迁控制指挥流程。</w:t>
            </w:r>
          </w:p>
          <w:p w14:paraId="3510D93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⑨制订搬迁应急方案。</w:t>
            </w:r>
          </w:p>
          <w:p w14:paraId="5A6E3A0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14" w:name="_Toc212233932"/>
            <w:bookmarkStart w:id="15" w:name="_Toc449625071"/>
            <w:bookmarkStart w:id="16" w:name="_Toc5832725"/>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rPr>
              <w:t>设备专业搬迁实施服务</w:t>
            </w:r>
            <w:bookmarkEnd w:id="14"/>
            <w:bookmarkEnd w:id="15"/>
            <w:bookmarkEnd w:id="16"/>
          </w:p>
          <w:p w14:paraId="1AA6AD4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针对目前IT设备的技术情况，可以将机房中的IT设备分为存储、SAN网络、小型机、PC Server、刀片服务器、网络设备等方面，</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需落实提供对以上设备的专业技术支持服务，服务内容如下：</w:t>
            </w:r>
          </w:p>
          <w:p w14:paraId="4F97BF8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17" w:name="_Toc449625072"/>
            <w:r>
              <w:rPr>
                <w:rFonts w:hint="eastAsia" w:ascii="宋体" w:hAnsi="宋体" w:eastAsia="宋体" w:cs="宋体"/>
                <w:b w:val="0"/>
                <w:bCs w:val="0"/>
                <w:color w:val="auto"/>
                <w:sz w:val="22"/>
                <w:szCs w:val="22"/>
                <w:highlight w:val="none"/>
              </w:rPr>
              <w:t>1）</w:t>
            </w:r>
            <w:bookmarkEnd w:id="17"/>
            <w:r>
              <w:rPr>
                <w:rFonts w:hint="eastAsia" w:ascii="宋体" w:hAnsi="宋体" w:eastAsia="宋体" w:cs="宋体"/>
                <w:b w:val="0"/>
                <w:bCs w:val="0"/>
                <w:color w:val="auto"/>
                <w:sz w:val="22"/>
                <w:szCs w:val="22"/>
                <w:highlight w:val="none"/>
              </w:rPr>
              <w:t>机房设备清点</w:t>
            </w:r>
          </w:p>
          <w:p w14:paraId="07DD1647">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18" w:name="OLE_LINK2"/>
            <w:r>
              <w:rPr>
                <w:rFonts w:hint="eastAsia" w:ascii="宋体" w:hAnsi="宋体" w:eastAsia="宋体" w:cs="宋体"/>
                <w:b w:val="0"/>
                <w:bCs w:val="0"/>
                <w:color w:val="auto"/>
                <w:sz w:val="22"/>
                <w:szCs w:val="22"/>
                <w:highlight w:val="none"/>
                <w:lang w:val="en-US" w:eastAsia="zh-CN"/>
              </w:rPr>
              <w:t>①</w:t>
            </w:r>
            <w:r>
              <w:rPr>
                <w:rFonts w:hint="eastAsia" w:ascii="宋体" w:hAnsi="宋体" w:eastAsia="宋体" w:cs="宋体"/>
                <w:b w:val="0"/>
                <w:bCs w:val="0"/>
                <w:color w:val="auto"/>
                <w:sz w:val="22"/>
                <w:szCs w:val="22"/>
                <w:highlight w:val="none"/>
              </w:rPr>
              <w:t>原机房设备清点</w:t>
            </w:r>
          </w:p>
          <w:p w14:paraId="26D65514">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②</w:t>
            </w:r>
            <w:r>
              <w:rPr>
                <w:rFonts w:hint="eastAsia" w:ascii="宋体" w:hAnsi="宋体" w:eastAsia="宋体" w:cs="宋体"/>
                <w:b w:val="0"/>
                <w:bCs w:val="0"/>
                <w:color w:val="auto"/>
                <w:sz w:val="22"/>
                <w:szCs w:val="22"/>
                <w:highlight w:val="none"/>
              </w:rPr>
              <w:t>原机房设备连接检查和标记</w:t>
            </w:r>
          </w:p>
          <w:p w14:paraId="5B8AD4C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③</w:t>
            </w:r>
            <w:r>
              <w:rPr>
                <w:rFonts w:hint="eastAsia" w:ascii="宋体" w:hAnsi="宋体" w:eastAsia="宋体" w:cs="宋体"/>
                <w:b w:val="0"/>
                <w:bCs w:val="0"/>
                <w:color w:val="auto"/>
                <w:sz w:val="22"/>
                <w:szCs w:val="22"/>
                <w:highlight w:val="none"/>
              </w:rPr>
              <w:t>原机房设备电源接口检查和标记</w:t>
            </w:r>
          </w:p>
          <w:p w14:paraId="4D210FD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④</w:t>
            </w:r>
            <w:r>
              <w:rPr>
                <w:rFonts w:hint="eastAsia" w:ascii="宋体" w:hAnsi="宋体" w:eastAsia="宋体" w:cs="宋体"/>
                <w:b w:val="0"/>
                <w:bCs w:val="0"/>
                <w:color w:val="auto"/>
                <w:sz w:val="22"/>
                <w:szCs w:val="22"/>
                <w:highlight w:val="none"/>
              </w:rPr>
              <w:t>原机房设备标签与标记，绘制设备连接图</w:t>
            </w:r>
          </w:p>
          <w:p w14:paraId="472BD0F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19" w:name="_Toc449625073"/>
            <w:r>
              <w:rPr>
                <w:rFonts w:hint="eastAsia" w:ascii="宋体" w:hAnsi="宋体" w:eastAsia="宋体" w:cs="宋体"/>
                <w:b w:val="0"/>
                <w:bCs w:val="0"/>
                <w:color w:val="auto"/>
                <w:sz w:val="22"/>
                <w:szCs w:val="22"/>
                <w:highlight w:val="none"/>
              </w:rPr>
              <w:t>2）</w:t>
            </w:r>
            <w:bookmarkEnd w:id="19"/>
            <w:r>
              <w:rPr>
                <w:rFonts w:hint="eastAsia" w:ascii="宋体" w:hAnsi="宋体" w:eastAsia="宋体" w:cs="宋体"/>
                <w:b w:val="0"/>
                <w:bCs w:val="0"/>
                <w:color w:val="auto"/>
                <w:sz w:val="22"/>
                <w:szCs w:val="22"/>
                <w:highlight w:val="none"/>
              </w:rPr>
              <w:t>目标机房环境检查</w:t>
            </w:r>
          </w:p>
          <w:bookmarkEnd w:id="18"/>
          <w:p w14:paraId="4FB67E4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①</w:t>
            </w:r>
            <w:r>
              <w:rPr>
                <w:rFonts w:hint="eastAsia" w:ascii="宋体" w:hAnsi="宋体" w:eastAsia="宋体" w:cs="宋体"/>
                <w:b w:val="0"/>
                <w:bCs w:val="0"/>
                <w:color w:val="auto"/>
                <w:sz w:val="22"/>
                <w:szCs w:val="22"/>
                <w:highlight w:val="none"/>
              </w:rPr>
              <w:t>目标机房机柜设备安装环境检查</w:t>
            </w:r>
          </w:p>
          <w:p w14:paraId="154EF93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②</w:t>
            </w:r>
            <w:r>
              <w:rPr>
                <w:rFonts w:hint="eastAsia" w:ascii="宋体" w:hAnsi="宋体" w:eastAsia="宋体" w:cs="宋体"/>
                <w:b w:val="0"/>
                <w:bCs w:val="0"/>
                <w:color w:val="auto"/>
                <w:sz w:val="22"/>
                <w:szCs w:val="22"/>
                <w:highlight w:val="none"/>
              </w:rPr>
              <w:t>目标机房IP网络、存储网络接入环境检查</w:t>
            </w:r>
          </w:p>
          <w:p w14:paraId="39F7E69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③</w:t>
            </w:r>
            <w:r>
              <w:rPr>
                <w:rFonts w:hint="eastAsia" w:ascii="宋体" w:hAnsi="宋体" w:eastAsia="宋体" w:cs="宋体"/>
                <w:b w:val="0"/>
                <w:bCs w:val="0"/>
                <w:color w:val="auto"/>
                <w:sz w:val="22"/>
                <w:szCs w:val="22"/>
                <w:highlight w:val="none"/>
              </w:rPr>
              <w:t>目标机房电源检查</w:t>
            </w:r>
          </w:p>
          <w:p w14:paraId="673B889B">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④</w:t>
            </w:r>
            <w:r>
              <w:rPr>
                <w:rFonts w:hint="eastAsia" w:ascii="宋体" w:hAnsi="宋体" w:eastAsia="宋体" w:cs="宋体"/>
                <w:b w:val="0"/>
                <w:bCs w:val="0"/>
                <w:color w:val="auto"/>
                <w:sz w:val="22"/>
                <w:szCs w:val="22"/>
                <w:highlight w:val="none"/>
              </w:rPr>
              <w:t>目标机房空调检查</w:t>
            </w:r>
          </w:p>
          <w:p w14:paraId="360E4A0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20" w:name="_Toc212233933"/>
            <w:bookmarkStart w:id="21" w:name="_Toc449625074"/>
            <w:r>
              <w:rPr>
                <w:rFonts w:hint="eastAsia" w:ascii="宋体" w:hAnsi="宋体" w:eastAsia="宋体" w:cs="宋体"/>
                <w:b w:val="0"/>
                <w:bCs w:val="0"/>
                <w:color w:val="auto"/>
                <w:sz w:val="22"/>
                <w:szCs w:val="22"/>
                <w:highlight w:val="none"/>
              </w:rPr>
              <w:t>3）</w:t>
            </w:r>
            <w:bookmarkEnd w:id="20"/>
            <w:bookmarkEnd w:id="21"/>
            <w:r>
              <w:rPr>
                <w:rFonts w:hint="eastAsia" w:ascii="宋体" w:hAnsi="宋体" w:eastAsia="宋体" w:cs="宋体"/>
                <w:b w:val="0"/>
                <w:bCs w:val="0"/>
                <w:color w:val="auto"/>
                <w:sz w:val="22"/>
                <w:szCs w:val="22"/>
                <w:highlight w:val="none"/>
              </w:rPr>
              <w:t>存储设备搬迁技术实施服务</w:t>
            </w:r>
          </w:p>
          <w:p w14:paraId="7A5CEE7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根据系统设备，需</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提供以下的技术支持服务：</w:t>
            </w:r>
          </w:p>
          <w:p w14:paraId="3ABF041D">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①</w:t>
            </w:r>
            <w:r>
              <w:rPr>
                <w:rFonts w:hint="eastAsia" w:ascii="宋体" w:hAnsi="宋体" w:eastAsia="宋体" w:cs="宋体"/>
                <w:b w:val="0"/>
                <w:bCs w:val="0"/>
                <w:color w:val="auto"/>
                <w:sz w:val="22"/>
                <w:szCs w:val="22"/>
                <w:highlight w:val="none"/>
              </w:rPr>
              <w:t>目标机房安装环境检查</w:t>
            </w:r>
          </w:p>
          <w:p w14:paraId="33B7184D">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②</w:t>
            </w:r>
            <w:r>
              <w:rPr>
                <w:rFonts w:hint="eastAsia" w:ascii="宋体" w:hAnsi="宋体" w:eastAsia="宋体" w:cs="宋体"/>
                <w:b w:val="0"/>
                <w:bCs w:val="0"/>
                <w:color w:val="auto"/>
                <w:sz w:val="22"/>
                <w:szCs w:val="22"/>
                <w:highlight w:val="none"/>
              </w:rPr>
              <w:t>设备搬迁计划制定</w:t>
            </w:r>
          </w:p>
          <w:p w14:paraId="4F03EE6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③</w:t>
            </w:r>
            <w:r>
              <w:rPr>
                <w:rFonts w:hint="eastAsia" w:ascii="宋体" w:hAnsi="宋体" w:eastAsia="宋体" w:cs="宋体"/>
                <w:b w:val="0"/>
                <w:bCs w:val="0"/>
                <w:color w:val="auto"/>
                <w:sz w:val="22"/>
                <w:szCs w:val="22"/>
                <w:highlight w:val="none"/>
              </w:rPr>
              <w:t>存储设备搬迁拆卸及新机房环境安装</w:t>
            </w:r>
          </w:p>
          <w:p w14:paraId="371EEA2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④</w:t>
            </w:r>
            <w:r>
              <w:rPr>
                <w:rFonts w:hint="eastAsia" w:ascii="宋体" w:hAnsi="宋体" w:eastAsia="宋体" w:cs="宋体"/>
                <w:b w:val="0"/>
                <w:bCs w:val="0"/>
                <w:color w:val="auto"/>
                <w:sz w:val="22"/>
                <w:szCs w:val="22"/>
                <w:highlight w:val="none"/>
              </w:rPr>
              <w:t>搬迁设备标签与标记，绘制设备连接图</w:t>
            </w:r>
          </w:p>
          <w:p w14:paraId="24FD6484">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⑤</w:t>
            </w:r>
            <w:r>
              <w:rPr>
                <w:rFonts w:hint="eastAsia" w:ascii="宋体" w:hAnsi="宋体" w:eastAsia="宋体" w:cs="宋体"/>
                <w:b w:val="0"/>
                <w:bCs w:val="0"/>
                <w:color w:val="auto"/>
                <w:sz w:val="22"/>
                <w:szCs w:val="22"/>
                <w:highlight w:val="none"/>
              </w:rPr>
              <w:t>设备拆卸与线缆绑扎</w:t>
            </w:r>
          </w:p>
          <w:p w14:paraId="0B6CC05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⑥</w:t>
            </w:r>
            <w:r>
              <w:rPr>
                <w:rFonts w:hint="eastAsia" w:ascii="宋体" w:hAnsi="宋体" w:eastAsia="宋体" w:cs="宋体"/>
                <w:b w:val="0"/>
                <w:bCs w:val="0"/>
                <w:color w:val="auto"/>
                <w:sz w:val="22"/>
                <w:szCs w:val="22"/>
                <w:highlight w:val="none"/>
              </w:rPr>
              <w:t>搬迁后设备重新组装和相关线缆连接</w:t>
            </w:r>
          </w:p>
          <w:p w14:paraId="748571F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22" w:name="_Toc449625075"/>
            <w:bookmarkStart w:id="23" w:name="_Toc212233934"/>
            <w:r>
              <w:rPr>
                <w:rFonts w:hint="eastAsia" w:ascii="宋体" w:hAnsi="宋体" w:eastAsia="宋体" w:cs="宋体"/>
                <w:b w:val="0"/>
                <w:bCs w:val="0"/>
                <w:color w:val="auto"/>
                <w:sz w:val="22"/>
                <w:szCs w:val="22"/>
                <w:highlight w:val="none"/>
              </w:rPr>
              <w:t>4）SAN网络搬迁服务</w:t>
            </w:r>
            <w:bookmarkEnd w:id="22"/>
          </w:p>
          <w:p w14:paraId="66875B5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根据目标机房光纤存储网络规划要求及各存储、服务器设备存储链路需求，需</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提供以下技术实施服务：</w:t>
            </w:r>
          </w:p>
          <w:p w14:paraId="53DC311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①</w:t>
            </w:r>
            <w:r>
              <w:rPr>
                <w:rFonts w:hint="eastAsia" w:ascii="宋体" w:hAnsi="宋体" w:eastAsia="宋体" w:cs="宋体"/>
                <w:b w:val="0"/>
                <w:bCs w:val="0"/>
                <w:color w:val="auto"/>
                <w:sz w:val="22"/>
                <w:szCs w:val="22"/>
                <w:highlight w:val="none"/>
              </w:rPr>
              <w:t>光纤交换机搬迁及整合技术实施服务</w:t>
            </w:r>
          </w:p>
          <w:p w14:paraId="00C1060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②</w:t>
            </w:r>
            <w:r>
              <w:rPr>
                <w:rFonts w:hint="eastAsia" w:ascii="宋体" w:hAnsi="宋体" w:eastAsia="宋体" w:cs="宋体"/>
                <w:b w:val="0"/>
                <w:bCs w:val="0"/>
                <w:color w:val="auto"/>
                <w:sz w:val="22"/>
                <w:szCs w:val="22"/>
                <w:highlight w:val="none"/>
              </w:rPr>
              <w:t>光纤链路拓扑更新</w:t>
            </w:r>
          </w:p>
          <w:p w14:paraId="01D9605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24" w:name="_Toc449625076"/>
            <w:r>
              <w:rPr>
                <w:rFonts w:hint="eastAsia" w:ascii="宋体" w:hAnsi="宋体" w:eastAsia="宋体" w:cs="宋体"/>
                <w:b w:val="0"/>
                <w:bCs w:val="0"/>
                <w:color w:val="auto"/>
                <w:sz w:val="22"/>
                <w:szCs w:val="22"/>
                <w:highlight w:val="none"/>
              </w:rPr>
              <w:t>5）</w:t>
            </w:r>
            <w:bookmarkEnd w:id="23"/>
            <w:bookmarkEnd w:id="24"/>
            <w:r>
              <w:rPr>
                <w:rFonts w:hint="eastAsia" w:ascii="宋体" w:hAnsi="宋体" w:eastAsia="宋体" w:cs="宋体"/>
                <w:b w:val="0"/>
                <w:bCs w:val="0"/>
                <w:color w:val="auto"/>
                <w:sz w:val="22"/>
                <w:szCs w:val="22"/>
                <w:highlight w:val="none"/>
              </w:rPr>
              <w:t>小型机、PC Server服务器、刀片服务器搬迁技术支持</w:t>
            </w:r>
          </w:p>
          <w:p w14:paraId="79709724">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需</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提供以下的技术支持服务：</w:t>
            </w:r>
          </w:p>
          <w:p w14:paraId="6575A286">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①</w:t>
            </w:r>
            <w:r>
              <w:rPr>
                <w:rFonts w:hint="eastAsia" w:ascii="宋体" w:hAnsi="宋体" w:eastAsia="宋体" w:cs="宋体"/>
                <w:b w:val="0"/>
                <w:bCs w:val="0"/>
                <w:color w:val="auto"/>
                <w:sz w:val="22"/>
                <w:szCs w:val="22"/>
                <w:highlight w:val="none"/>
              </w:rPr>
              <w:t>目标机房安装环境检查</w:t>
            </w:r>
          </w:p>
          <w:p w14:paraId="3016414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②</w:t>
            </w:r>
            <w:r>
              <w:rPr>
                <w:rFonts w:hint="eastAsia" w:ascii="宋体" w:hAnsi="宋体" w:eastAsia="宋体" w:cs="宋体"/>
                <w:b w:val="0"/>
                <w:bCs w:val="0"/>
                <w:color w:val="auto"/>
                <w:sz w:val="22"/>
                <w:szCs w:val="22"/>
                <w:highlight w:val="none"/>
              </w:rPr>
              <w:t>搬迁设备标签与标记，绘制设备连接图</w:t>
            </w:r>
          </w:p>
          <w:p w14:paraId="1627876D">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③</w:t>
            </w:r>
            <w:r>
              <w:rPr>
                <w:rFonts w:hint="eastAsia" w:ascii="宋体" w:hAnsi="宋体" w:eastAsia="宋体" w:cs="宋体"/>
                <w:b w:val="0"/>
                <w:bCs w:val="0"/>
                <w:color w:val="auto"/>
                <w:sz w:val="22"/>
                <w:szCs w:val="22"/>
                <w:highlight w:val="none"/>
              </w:rPr>
              <w:t>设备拆卸与线缆绑扎</w:t>
            </w:r>
          </w:p>
          <w:p w14:paraId="132295D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④</w:t>
            </w:r>
            <w:r>
              <w:rPr>
                <w:rFonts w:hint="eastAsia" w:ascii="宋体" w:hAnsi="宋体" w:eastAsia="宋体" w:cs="宋体"/>
                <w:b w:val="0"/>
                <w:bCs w:val="0"/>
                <w:color w:val="auto"/>
                <w:sz w:val="22"/>
                <w:szCs w:val="22"/>
                <w:highlight w:val="none"/>
              </w:rPr>
              <w:t>搬迁后设备重新组装和相关线缆连接</w:t>
            </w:r>
          </w:p>
          <w:p w14:paraId="189A3BCD">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25" w:name="_Toc262573683"/>
            <w:bookmarkEnd w:id="25"/>
            <w:bookmarkStart w:id="26" w:name="_Toc262573677"/>
            <w:bookmarkEnd w:id="26"/>
            <w:bookmarkStart w:id="27" w:name="_Toc262573686"/>
            <w:bookmarkEnd w:id="27"/>
            <w:bookmarkStart w:id="28" w:name="_Toc262573664"/>
            <w:bookmarkEnd w:id="28"/>
            <w:bookmarkStart w:id="29" w:name="_Toc262573678"/>
            <w:bookmarkEnd w:id="29"/>
            <w:bookmarkStart w:id="30" w:name="_Toc262573661"/>
            <w:bookmarkEnd w:id="30"/>
            <w:bookmarkStart w:id="31" w:name="_Toc262573662"/>
            <w:bookmarkEnd w:id="31"/>
            <w:bookmarkStart w:id="32" w:name="_Toc262573670"/>
            <w:bookmarkEnd w:id="32"/>
            <w:bookmarkStart w:id="33" w:name="_Toc262573676"/>
            <w:bookmarkEnd w:id="33"/>
            <w:bookmarkStart w:id="34" w:name="_Toc262573673"/>
            <w:bookmarkEnd w:id="34"/>
            <w:bookmarkStart w:id="35" w:name="_Toc262573667"/>
            <w:bookmarkEnd w:id="35"/>
            <w:bookmarkStart w:id="36" w:name="_Toc262573658"/>
            <w:bookmarkEnd w:id="36"/>
            <w:bookmarkStart w:id="37" w:name="_Toc262573679"/>
            <w:bookmarkEnd w:id="37"/>
            <w:bookmarkStart w:id="38" w:name="_Toc262573689"/>
            <w:bookmarkEnd w:id="38"/>
            <w:bookmarkStart w:id="39" w:name="_Toc262573666"/>
            <w:bookmarkEnd w:id="39"/>
            <w:bookmarkStart w:id="40" w:name="_Toc262573681"/>
            <w:bookmarkEnd w:id="40"/>
            <w:bookmarkStart w:id="41" w:name="_Toc262573660"/>
            <w:bookmarkEnd w:id="41"/>
            <w:bookmarkStart w:id="42" w:name="_Toc262573680"/>
            <w:bookmarkEnd w:id="42"/>
            <w:bookmarkStart w:id="43" w:name="_Toc262573672"/>
            <w:bookmarkEnd w:id="43"/>
            <w:bookmarkStart w:id="44" w:name="_Toc262573682"/>
            <w:bookmarkEnd w:id="44"/>
            <w:bookmarkStart w:id="45" w:name="_Toc262573669"/>
            <w:bookmarkEnd w:id="45"/>
            <w:bookmarkStart w:id="46" w:name="_Toc262573688"/>
            <w:bookmarkEnd w:id="46"/>
            <w:bookmarkStart w:id="47" w:name="_Toc262573675"/>
            <w:bookmarkEnd w:id="47"/>
            <w:bookmarkStart w:id="48" w:name="_Toc262573665"/>
            <w:bookmarkEnd w:id="48"/>
            <w:bookmarkStart w:id="49" w:name="_Toc262573671"/>
            <w:bookmarkEnd w:id="49"/>
            <w:bookmarkStart w:id="50" w:name="_Toc262573659"/>
            <w:bookmarkEnd w:id="50"/>
            <w:bookmarkStart w:id="51" w:name="_Toc262573685"/>
            <w:bookmarkEnd w:id="51"/>
            <w:bookmarkStart w:id="52" w:name="_Toc262573687"/>
            <w:bookmarkEnd w:id="52"/>
            <w:bookmarkStart w:id="53" w:name="_Toc262573668"/>
            <w:bookmarkEnd w:id="53"/>
            <w:bookmarkStart w:id="54" w:name="_Toc449625077"/>
            <w:r>
              <w:rPr>
                <w:rFonts w:hint="eastAsia" w:ascii="宋体" w:hAnsi="宋体" w:eastAsia="宋体" w:cs="宋体"/>
                <w:b w:val="0"/>
                <w:bCs w:val="0"/>
                <w:color w:val="auto"/>
                <w:sz w:val="22"/>
                <w:szCs w:val="22"/>
                <w:highlight w:val="none"/>
              </w:rPr>
              <w:t>6）</w:t>
            </w:r>
            <w:bookmarkEnd w:id="54"/>
            <w:r>
              <w:rPr>
                <w:rFonts w:hint="eastAsia" w:ascii="宋体" w:hAnsi="宋体" w:eastAsia="宋体" w:cs="宋体"/>
                <w:b w:val="0"/>
                <w:bCs w:val="0"/>
                <w:color w:val="auto"/>
                <w:sz w:val="22"/>
                <w:szCs w:val="22"/>
                <w:highlight w:val="none"/>
              </w:rPr>
              <w:t>网络设备搬迁需求</w:t>
            </w:r>
          </w:p>
          <w:p w14:paraId="5B4D4E0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需</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提供以下的技术支持服务：</w:t>
            </w:r>
          </w:p>
          <w:p w14:paraId="2A8D76B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①</w:t>
            </w:r>
            <w:r>
              <w:rPr>
                <w:rFonts w:hint="eastAsia" w:ascii="宋体" w:hAnsi="宋体" w:eastAsia="宋体" w:cs="宋体"/>
                <w:b w:val="0"/>
                <w:bCs w:val="0"/>
                <w:color w:val="auto"/>
                <w:sz w:val="22"/>
                <w:szCs w:val="22"/>
                <w:highlight w:val="none"/>
              </w:rPr>
              <w:t>目标机房安装环境检查</w:t>
            </w:r>
          </w:p>
          <w:p w14:paraId="2FE8C4D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②</w:t>
            </w:r>
            <w:r>
              <w:rPr>
                <w:rFonts w:hint="eastAsia" w:ascii="宋体" w:hAnsi="宋体" w:eastAsia="宋体" w:cs="宋体"/>
                <w:b w:val="0"/>
                <w:bCs w:val="0"/>
                <w:color w:val="auto"/>
                <w:sz w:val="22"/>
                <w:szCs w:val="22"/>
                <w:highlight w:val="none"/>
              </w:rPr>
              <w:t>搬迁设备标签与标记，绘制设备连接图</w:t>
            </w:r>
          </w:p>
          <w:p w14:paraId="028002FC">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③</w:t>
            </w:r>
            <w:r>
              <w:rPr>
                <w:rFonts w:hint="eastAsia" w:ascii="宋体" w:hAnsi="宋体" w:eastAsia="宋体" w:cs="宋体"/>
                <w:b w:val="0"/>
                <w:bCs w:val="0"/>
                <w:color w:val="auto"/>
                <w:sz w:val="22"/>
                <w:szCs w:val="22"/>
                <w:highlight w:val="none"/>
              </w:rPr>
              <w:t>设备拆卸与线缆绑扎</w:t>
            </w:r>
          </w:p>
          <w:p w14:paraId="75D60AA7">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④</w:t>
            </w:r>
            <w:r>
              <w:rPr>
                <w:rFonts w:hint="eastAsia" w:ascii="宋体" w:hAnsi="宋体" w:eastAsia="宋体" w:cs="宋体"/>
                <w:b w:val="0"/>
                <w:bCs w:val="0"/>
                <w:color w:val="auto"/>
                <w:sz w:val="22"/>
                <w:szCs w:val="22"/>
                <w:highlight w:val="none"/>
              </w:rPr>
              <w:t>搬迁后设备重新组装和相关线缆连接</w:t>
            </w:r>
          </w:p>
          <w:p w14:paraId="1C0AA25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⑤</w:t>
            </w:r>
            <w:r>
              <w:rPr>
                <w:rFonts w:hint="eastAsia" w:ascii="宋体" w:hAnsi="宋体" w:eastAsia="宋体" w:cs="宋体"/>
                <w:b w:val="0"/>
                <w:bCs w:val="0"/>
                <w:color w:val="auto"/>
                <w:sz w:val="22"/>
                <w:szCs w:val="22"/>
                <w:highlight w:val="none"/>
              </w:rPr>
              <w:t>网络拓扑以及配线信息的更新</w:t>
            </w:r>
          </w:p>
          <w:p w14:paraId="3163AE7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55" w:name="_Toc5832726"/>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rPr>
              <w:t>搬迁过程要求</w:t>
            </w:r>
            <w:bookmarkEnd w:id="55"/>
          </w:p>
          <w:p w14:paraId="039B0D1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1）设备的拆卸</w:t>
            </w:r>
          </w:p>
          <w:p w14:paraId="299E559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工程师按照项目进度表的时间来确定服务器设备的拆卸时间，严格遵守规范化操作，保证机器设备没有物理性的损坏。</w:t>
            </w:r>
          </w:p>
          <w:p w14:paraId="543A507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操作步骤：</w:t>
            </w:r>
          </w:p>
          <w:p w14:paraId="60F3BB8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①把连接服务器的数据线和电源线拔掉，从服务器的机柜上拆卸下来，所有的电源线放置在统一的包装箱中，在包装箱上写上货物的名称，并打包封后待运。</w:t>
            </w:r>
          </w:p>
          <w:p w14:paraId="6674E6F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②把服务器从服务器的机柜上拆卸下来，放到指定的包装箱中，在包装箱的外壳上写上货物的名称，并打包封箱后待运。</w:t>
            </w:r>
          </w:p>
          <w:p w14:paraId="7D17DBB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③把服务器的导轨从机架上拆卸下来，并贴上标签，注明使用的机器的名称，放到指定的包装箱中，在包装箱上标明货物的名称，并打包封箱后待运。</w:t>
            </w:r>
          </w:p>
          <w:p w14:paraId="7168763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④把PDU从服务器的机柜上拆卸下来，放到指定的包装箱中，在包装箱的外壳上写上货物名称，并打包封箱后待运。</w:t>
            </w:r>
          </w:p>
          <w:p w14:paraId="154FAA5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 xml:space="preserve">⑤所有的螺丝等辅助设备全部放在统一的包装箱中保存待运。 </w:t>
            </w:r>
          </w:p>
          <w:p w14:paraId="660970E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注意：特别要小心静电的干扰，全面全程预防。</w:t>
            </w:r>
          </w:p>
          <w:p w14:paraId="07D96AF8">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a.尽量使服务器及其周边设备的接地良好。</w:t>
            </w:r>
          </w:p>
          <w:p w14:paraId="7576741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b.如果设备没有接地，当我们要接触里面的板卡时，应用接地导线或其他放电设施对其进行放电。</w:t>
            </w:r>
          </w:p>
          <w:p w14:paraId="61B557D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c.对设备进行操作时，应配戴防静电手套或护腕，如果没有的话，也可以用手触摸一下机箱外部的金属来放掉自身携带的静电。</w:t>
            </w:r>
          </w:p>
          <w:p w14:paraId="0679FD3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d.包装人员穿防静电鞋套。</w:t>
            </w:r>
          </w:p>
          <w:p w14:paraId="54194E7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2）运输过程</w:t>
            </w:r>
          </w:p>
          <w:p w14:paraId="5750A17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使用专业的设备运输包装箱，确保硬件设备在运输过程中的安全性。包装要求按照工业标准。并附有货物清单，由指定人员进行验收，签字确认。</w:t>
            </w:r>
          </w:p>
          <w:p w14:paraId="5824426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①装箱用手推车运送到运输车辆处，由专业的搬运工小心轻放到运输车上，整齐摆放，固定，以防滑落。</w:t>
            </w:r>
          </w:p>
          <w:p w14:paraId="6E820FF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②有押运人清点货物后，押运到新的办公地点。</w:t>
            </w:r>
          </w:p>
          <w:p w14:paraId="1625749C">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③运输车在运输的过程中，一定要注意车辆慢行，以防在道路颠簸的情况下损坏设备。</w:t>
            </w:r>
          </w:p>
          <w:p w14:paraId="0988C0F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④卸货时由专业的搬运工把货物先卸到货梯门口，然后由押运人清点货物全部到场后，由专业的搬运工把货物搬至指定位置。押运人再次清点无误后准备安装。</w:t>
            </w:r>
          </w:p>
          <w:p w14:paraId="3491CE6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注意：包装和运输防护措施包括但不限于：</w:t>
            </w:r>
            <w:r>
              <w:rPr>
                <w:rFonts w:hint="eastAsia" w:ascii="宋体" w:hAnsi="宋体" w:eastAsia="宋体" w:cs="宋体"/>
                <w:b w:val="0"/>
                <w:bCs w:val="0"/>
                <w:color w:val="auto"/>
                <w:sz w:val="22"/>
                <w:szCs w:val="22"/>
                <w:highlight w:val="none"/>
                <w:lang w:val="en-US" w:eastAsia="zh-CN"/>
              </w:rPr>
              <w:t xml:space="preserve">  </w:t>
            </w:r>
          </w:p>
          <w:p w14:paraId="195F008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a.</w:t>
            </w:r>
            <w:r>
              <w:rPr>
                <w:rFonts w:hint="eastAsia" w:ascii="宋体" w:hAnsi="宋体" w:eastAsia="宋体" w:cs="宋体"/>
                <w:b w:val="0"/>
                <w:bCs w:val="0"/>
                <w:color w:val="auto"/>
                <w:sz w:val="22"/>
                <w:szCs w:val="22"/>
                <w:highlight w:val="none"/>
              </w:rPr>
              <w:t>根据设备的不同规格定制相应尺寸的纸箱或木箱，以及印制不干胶标签</w:t>
            </w:r>
            <w:r>
              <w:rPr>
                <w:rFonts w:hint="eastAsia" w:ascii="宋体" w:hAnsi="宋体" w:eastAsia="宋体" w:cs="宋体"/>
                <w:b w:val="0"/>
                <w:bCs w:val="0"/>
                <w:color w:val="auto"/>
                <w:sz w:val="22"/>
                <w:szCs w:val="22"/>
                <w:highlight w:val="none"/>
                <w:lang w:eastAsia="zh-CN"/>
              </w:rPr>
              <w:t>。</w:t>
            </w:r>
          </w:p>
          <w:p w14:paraId="4F7CED5C">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b.箱体内部上下及四周共6面各使用1张厚度为5公分的泡沫板（防震、保温）</w:t>
            </w:r>
            <w:r>
              <w:rPr>
                <w:rFonts w:hint="eastAsia" w:ascii="宋体" w:hAnsi="宋体" w:eastAsia="宋体" w:cs="宋体"/>
                <w:b w:val="0"/>
                <w:bCs w:val="0"/>
                <w:color w:val="auto"/>
                <w:sz w:val="22"/>
                <w:szCs w:val="22"/>
                <w:highlight w:val="none"/>
                <w:lang w:eastAsia="zh-CN"/>
              </w:rPr>
              <w:t>。</w:t>
            </w:r>
          </w:p>
          <w:p w14:paraId="4F442C7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c.用2层缠绕膜对设备进行保护</w:t>
            </w:r>
            <w:r>
              <w:rPr>
                <w:rFonts w:hint="eastAsia" w:ascii="宋体" w:hAnsi="宋体" w:eastAsia="宋体" w:cs="宋体"/>
                <w:b w:val="0"/>
                <w:bCs w:val="0"/>
                <w:color w:val="auto"/>
                <w:sz w:val="22"/>
                <w:szCs w:val="22"/>
                <w:highlight w:val="none"/>
                <w:lang w:eastAsia="zh-CN"/>
              </w:rPr>
              <w:t>。</w:t>
            </w:r>
          </w:p>
          <w:p w14:paraId="57145B2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d.用2层气垫膜包覆在设备外面，并用胶带固定</w:t>
            </w:r>
            <w:r>
              <w:rPr>
                <w:rFonts w:hint="eastAsia" w:ascii="宋体" w:hAnsi="宋体" w:eastAsia="宋体" w:cs="宋体"/>
                <w:b w:val="0"/>
                <w:bCs w:val="0"/>
                <w:color w:val="auto"/>
                <w:sz w:val="22"/>
                <w:szCs w:val="22"/>
                <w:highlight w:val="none"/>
                <w:lang w:eastAsia="zh-CN"/>
              </w:rPr>
              <w:t>。</w:t>
            </w:r>
          </w:p>
          <w:p w14:paraId="7DDFA40B">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e.将设备不干胶标签粘贴在初步包装好的设备上</w:t>
            </w:r>
            <w:r>
              <w:rPr>
                <w:rFonts w:hint="eastAsia" w:ascii="宋体" w:hAnsi="宋体" w:eastAsia="宋体" w:cs="宋体"/>
                <w:b w:val="0"/>
                <w:bCs w:val="0"/>
                <w:color w:val="auto"/>
                <w:sz w:val="22"/>
                <w:szCs w:val="22"/>
                <w:highlight w:val="none"/>
                <w:lang w:eastAsia="zh-CN"/>
              </w:rPr>
              <w:t>。</w:t>
            </w:r>
          </w:p>
          <w:p w14:paraId="686A433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f.将包好的设备放入防震纸箱内</w:t>
            </w:r>
            <w:r>
              <w:rPr>
                <w:rFonts w:hint="eastAsia" w:ascii="宋体" w:hAnsi="宋体" w:eastAsia="宋体" w:cs="宋体"/>
                <w:b w:val="0"/>
                <w:bCs w:val="0"/>
                <w:color w:val="auto"/>
                <w:sz w:val="22"/>
                <w:szCs w:val="22"/>
                <w:highlight w:val="none"/>
                <w:lang w:eastAsia="zh-CN"/>
              </w:rPr>
              <w:t>。</w:t>
            </w:r>
          </w:p>
          <w:p w14:paraId="4F66FD2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g.设备与纸箱的空隙处填充海绵或气垫膜，确保设备不会在纸箱内晃动，并封箱</w:t>
            </w:r>
            <w:r>
              <w:rPr>
                <w:rFonts w:hint="eastAsia" w:ascii="宋体" w:hAnsi="宋体" w:eastAsia="宋体" w:cs="宋体"/>
                <w:b w:val="0"/>
                <w:bCs w:val="0"/>
                <w:color w:val="auto"/>
                <w:sz w:val="22"/>
                <w:szCs w:val="22"/>
                <w:highlight w:val="none"/>
                <w:lang w:eastAsia="zh-CN"/>
              </w:rPr>
              <w:t>。</w:t>
            </w:r>
          </w:p>
          <w:p w14:paraId="031CB3EC">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h.如遇下雨等恶劣天气，需用3层缠绕膜对纸箱进行覆盖保护（防止下雨对纸箱造成损伤）</w:t>
            </w:r>
            <w:r>
              <w:rPr>
                <w:rFonts w:hint="eastAsia" w:ascii="宋体" w:hAnsi="宋体" w:eastAsia="宋体" w:cs="宋体"/>
                <w:b w:val="0"/>
                <w:bCs w:val="0"/>
                <w:color w:val="auto"/>
                <w:sz w:val="22"/>
                <w:szCs w:val="22"/>
                <w:highlight w:val="none"/>
                <w:lang w:eastAsia="zh-CN"/>
              </w:rPr>
              <w:t>。</w:t>
            </w:r>
          </w:p>
          <w:p w14:paraId="56A39FED">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i.将另一张设备不干胶标签粘贴在外包装上</w:t>
            </w:r>
            <w:r>
              <w:rPr>
                <w:rFonts w:hint="eastAsia" w:ascii="宋体" w:hAnsi="宋体" w:eastAsia="宋体" w:cs="宋体"/>
                <w:b w:val="0"/>
                <w:bCs w:val="0"/>
                <w:color w:val="auto"/>
                <w:sz w:val="22"/>
                <w:szCs w:val="22"/>
                <w:highlight w:val="none"/>
                <w:lang w:eastAsia="zh-CN"/>
              </w:rPr>
              <w:t>。</w:t>
            </w:r>
          </w:p>
          <w:p w14:paraId="37BE22A2">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j.对于单件尺寸超过5U或重量超过40公斤的设备必须使用减震托盘。</w:t>
            </w:r>
          </w:p>
          <w:p w14:paraId="34540315">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3）设备的安装</w:t>
            </w:r>
          </w:p>
          <w:p w14:paraId="580C20A6">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工程师按照安装方案，把包装箱打开，根据安装方案把服务器上机架。严格遵守规范化操作，把服务器安装到指定位子。</w:t>
            </w:r>
          </w:p>
          <w:p w14:paraId="39B93A1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① 安装导轨：安装工程师把服务器的导轨安装到机柜上的指定位置，以便服务器上机柜。</w:t>
            </w:r>
          </w:p>
          <w:p w14:paraId="6B50305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② 安装服务器：安装工程师把服务器安装到机柜上的指定位置。</w:t>
            </w:r>
          </w:p>
          <w:p w14:paraId="7AFE8CE4">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③ 安装电源线：用电源线把服务器于PDU连接，把电源线捆绑在配线架上。</w:t>
            </w:r>
          </w:p>
          <w:p w14:paraId="7F1FCD0A">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 xml:space="preserve">④ 安装SWICH:把SWICH固定在机柜上的指定位置。 </w:t>
            </w:r>
          </w:p>
          <w:p w14:paraId="709DAF1B">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⑤ 连接数据线：连接SWICH到服务器，连接网络线。</w:t>
            </w:r>
          </w:p>
          <w:p w14:paraId="4216E59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4）保障要求</w:t>
            </w:r>
          </w:p>
          <w:p w14:paraId="4C32837E">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在搬迁过程中，很有可能会出现服务器的硬件故障，主要是由于在搬迁过程中由于野蛮装卸，不小心滑落，机器本身硬件已经存在的硬件问题等。根据上述情况，将有以下措施：</w:t>
            </w:r>
          </w:p>
          <w:p w14:paraId="7B0AC57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①专业的包装，可以避免在运输过程中的颠簸造成的机器硬件的故障。</w:t>
            </w:r>
          </w:p>
          <w:p w14:paraId="0C790AF9">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②在搬迁之前对服务器的硬件进行检测，可以防止机器本身已经存在的硬件问题。</w:t>
            </w:r>
          </w:p>
          <w:p w14:paraId="58CC2BD3">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③安排具有专业的搬迁工人实施搬迁工作，防止搬迁过程中的野蛮装卸。</w:t>
            </w:r>
          </w:p>
          <w:p w14:paraId="4F9392E7">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④由采购人协调系统设备原厂或原厂正式授权的硬件工程师7*24小时的现场待命，在系统设备发生故障时能够及时地进行现场处理，紧急协调24小时备件库资源，在4小时之内完成硬件故障的排除。</w:t>
            </w:r>
          </w:p>
          <w:p w14:paraId="590DE5FF">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⑤使用专业的包装箱，对包装箱进行编号，并表明货物名称，在运输以前由双方签字确认。</w:t>
            </w:r>
          </w:p>
          <w:p w14:paraId="1DC55781">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⑥在搬迁到目标机房时，再次由双方签字确认。</w:t>
            </w:r>
          </w:p>
          <w:p w14:paraId="44967FB8">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⑦</w:t>
            </w:r>
            <w:r>
              <w:rPr>
                <w:rFonts w:hint="eastAsia" w:ascii="宋体" w:hAnsi="宋体" w:eastAsia="宋体" w:cs="宋体"/>
                <w:b w:val="0"/>
                <w:bCs w:val="0"/>
                <w:color w:val="auto"/>
                <w:sz w:val="22"/>
                <w:szCs w:val="22"/>
                <w:highlight w:val="none"/>
                <w:lang w:val="en-US" w:eastAsia="zh-CN"/>
              </w:rPr>
              <w:t>在搬迁过程中应要求相关工作人员做好采购人有关的安保及防疫工作要求。</w:t>
            </w:r>
          </w:p>
          <w:p w14:paraId="12C5F630">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bookmarkStart w:id="56" w:name="_Toc5832727"/>
            <w:bookmarkStart w:id="57" w:name="_Toc449625078"/>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rPr>
              <w:t>应急方案</w:t>
            </w:r>
            <w:bookmarkEnd w:id="56"/>
            <w:bookmarkEnd w:id="57"/>
          </w:p>
          <w:p w14:paraId="4DF215B6">
            <w:pPr>
              <w:pageBreakBefore w:val="0"/>
              <w:widowControl w:val="0"/>
              <w:kinsoku/>
              <w:wordWrap/>
              <w:overflowPunct/>
              <w:topLinePunct w:val="0"/>
              <w:autoSpaceDE/>
              <w:autoSpaceDN/>
              <w:bidi w:val="0"/>
              <w:spacing w:line="360" w:lineRule="auto"/>
              <w:ind w:firstLine="444" w:firstLineChars="202"/>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为降低搬迁风险，</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应提供相应的应急方案</w:t>
            </w:r>
            <w:r>
              <w:rPr>
                <w:rFonts w:hint="eastAsia" w:ascii="宋体" w:hAnsi="宋体" w:eastAsia="宋体" w:cs="宋体"/>
                <w:b w:val="0"/>
                <w:bCs w:val="0"/>
                <w:color w:val="auto"/>
                <w:sz w:val="22"/>
                <w:szCs w:val="22"/>
                <w:highlight w:val="none"/>
                <w:lang w:eastAsia="zh-CN"/>
              </w:rPr>
              <w:t>，</w:t>
            </w:r>
            <w:r>
              <w:rPr>
                <w:rFonts w:hint="eastAsia" w:ascii="宋体" w:hAnsi="宋体" w:eastAsia="宋体" w:cs="宋体"/>
                <w:b w:val="0"/>
                <w:bCs w:val="0"/>
                <w:color w:val="auto"/>
                <w:sz w:val="22"/>
                <w:szCs w:val="22"/>
                <w:highlight w:val="none"/>
                <w:lang w:val="en-US" w:eastAsia="zh-CN"/>
              </w:rPr>
              <w:t>应急方案包括但不限于硬件故障、操作系统、数据库及应用系统故障、存储设备和数据的应急方案</w:t>
            </w:r>
            <w:r>
              <w:rPr>
                <w:rFonts w:hint="eastAsia" w:ascii="宋体" w:hAnsi="宋体" w:eastAsia="宋体" w:cs="宋体"/>
                <w:b w:val="0"/>
                <w:bCs w:val="0"/>
                <w:color w:val="auto"/>
                <w:sz w:val="22"/>
                <w:szCs w:val="22"/>
                <w:highlight w:val="none"/>
              </w:rPr>
              <w:t>。</w:t>
            </w:r>
          </w:p>
        </w:tc>
        <w:tc>
          <w:tcPr>
            <w:tcW w:w="2018" w:type="dxa"/>
          </w:tcPr>
          <w:p w14:paraId="600B6FA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4AC8995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13DACC0A">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5CFFD5D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5B7024F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663BE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6D5C994A">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14</w:t>
            </w:r>
          </w:p>
        </w:tc>
        <w:tc>
          <w:tcPr>
            <w:tcW w:w="777" w:type="dxa"/>
          </w:tcPr>
          <w:p w14:paraId="4A1E16E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1F8952C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20FEE228">
            <w:pPr>
              <w:pageBreakBefore w:val="0"/>
              <w:widowControl w:val="0"/>
              <w:numPr>
                <w:ilvl w:val="3"/>
                <w:numId w:val="0"/>
              </w:numPr>
              <w:kinsoku/>
              <w:wordWrap/>
              <w:overflowPunct/>
              <w:topLinePunct w:val="0"/>
              <w:autoSpaceDE/>
              <w:autoSpaceDN/>
              <w:bidi w:val="0"/>
              <w:spacing w:line="360" w:lineRule="auto"/>
              <w:jc w:val="both"/>
              <w:textAlignment w:val="auto"/>
              <w:rPr>
                <w:rFonts w:hint="eastAsia" w:ascii="宋体" w:hAnsi="宋体" w:eastAsia="宋体" w:cs="宋体"/>
                <w:b/>
                <w:bCs/>
                <w:color w:val="auto"/>
                <w:sz w:val="22"/>
                <w:szCs w:val="22"/>
                <w:highlight w:val="none"/>
                <w:lang w:val="en-US" w:eastAsia="zh-CN" w:bidi="ar-SA"/>
              </w:rPr>
            </w:pPr>
            <w:bookmarkStart w:id="58" w:name="_Toc16600"/>
            <w:bookmarkStart w:id="59" w:name="_Toc11165"/>
            <w:bookmarkStart w:id="60" w:name="_Toc13534"/>
            <w:r>
              <w:rPr>
                <w:rFonts w:hint="eastAsia" w:ascii="宋体" w:hAnsi="宋体" w:eastAsia="宋体" w:cs="宋体"/>
                <w:b/>
                <w:bCs/>
                <w:color w:val="auto"/>
                <w:sz w:val="22"/>
                <w:szCs w:val="22"/>
                <w:highlight w:val="none"/>
                <w:lang w:val="en-US" w:eastAsia="zh-CN" w:bidi="ar-SA"/>
              </w:rPr>
              <w:t>六、其他要求</w:t>
            </w:r>
            <w:bookmarkEnd w:id="58"/>
            <w:bookmarkEnd w:id="59"/>
            <w:bookmarkEnd w:id="60"/>
          </w:p>
          <w:p w14:paraId="74F496CC">
            <w:pPr>
              <w:pageBreakBefore w:val="0"/>
              <w:widowControl w:val="0"/>
              <w:numPr>
                <w:ilvl w:val="3"/>
                <w:numId w:val="0"/>
              </w:numPr>
              <w:kinsoku/>
              <w:wordWrap/>
              <w:overflowPunct/>
              <w:topLinePunct w:val="0"/>
              <w:autoSpaceDE/>
              <w:autoSpaceDN/>
              <w:bidi w:val="0"/>
              <w:spacing w:line="360" w:lineRule="auto"/>
              <w:jc w:val="both"/>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bidi="ar-SA"/>
              </w:rPr>
              <w:t>（四）</w:t>
            </w:r>
            <w:r>
              <w:rPr>
                <w:rFonts w:hint="eastAsia" w:ascii="宋体" w:hAnsi="宋体" w:eastAsia="宋体" w:cs="宋体"/>
                <w:color w:val="auto"/>
                <w:sz w:val="22"/>
                <w:szCs w:val="22"/>
                <w:lang w:val="en-US" w:eastAsia="zh-CN"/>
              </w:rPr>
              <w:t>中标人需无条件接受并配合采购人对服务工作的监督和检查。</w:t>
            </w:r>
          </w:p>
          <w:p w14:paraId="286F1AC9">
            <w:pPr>
              <w:pageBreakBefore w:val="0"/>
              <w:widowControl w:val="0"/>
              <w:numPr>
                <w:ilvl w:val="3"/>
                <w:numId w:val="0"/>
              </w:numPr>
              <w:kinsoku/>
              <w:wordWrap/>
              <w:overflowPunct/>
              <w:topLinePunct w:val="0"/>
              <w:autoSpaceDE/>
              <w:autoSpaceDN/>
              <w:bidi w:val="0"/>
              <w:spacing w:line="360" w:lineRule="auto"/>
              <w:jc w:val="both"/>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lang w:val="en-US" w:eastAsia="zh-CN" w:bidi="ar-SA"/>
              </w:rPr>
              <w:t>（五）</w:t>
            </w:r>
            <w:r>
              <w:rPr>
                <w:rFonts w:hint="eastAsia" w:ascii="宋体" w:hAnsi="宋体" w:eastAsia="宋体" w:cs="宋体"/>
                <w:color w:val="auto"/>
                <w:sz w:val="22"/>
                <w:szCs w:val="22"/>
                <w:lang w:val="en-US" w:eastAsia="zh-CN"/>
              </w:rPr>
              <w:t>中标人项目团队需由项目经理和若干名技术人员、保安组成。项目经理具有3年以上相关机房租赁运维管理经验，项目经理需</w:t>
            </w:r>
            <w:r>
              <w:rPr>
                <w:rFonts w:hint="eastAsia" w:ascii="宋体" w:hAnsi="宋体" w:eastAsia="宋体" w:cs="宋体"/>
                <w:sz w:val="22"/>
                <w:szCs w:val="22"/>
              </w:rPr>
              <w:t>提供每周</w:t>
            </w:r>
            <w:r>
              <w:rPr>
                <w:rFonts w:hint="eastAsia" w:ascii="宋体" w:hAnsi="宋体" w:eastAsia="宋体" w:cs="宋体"/>
                <w:sz w:val="22"/>
                <w:szCs w:val="22"/>
                <w:lang w:val="en-US" w:eastAsia="zh-CN"/>
              </w:rPr>
              <w:t>5</w:t>
            </w:r>
            <w:r>
              <w:rPr>
                <w:rFonts w:hint="eastAsia" w:ascii="宋体" w:hAnsi="宋体" w:eastAsia="宋体" w:cs="宋体"/>
                <w:sz w:val="22"/>
                <w:szCs w:val="22"/>
              </w:rPr>
              <w:t>*</w:t>
            </w:r>
            <w:r>
              <w:rPr>
                <w:rFonts w:hint="eastAsia" w:ascii="宋体" w:hAnsi="宋体" w:eastAsia="宋体" w:cs="宋体"/>
                <w:sz w:val="22"/>
                <w:szCs w:val="22"/>
                <w:lang w:val="en-US" w:eastAsia="zh-CN"/>
              </w:rPr>
              <w:t>8</w:t>
            </w:r>
            <w:r>
              <w:rPr>
                <w:rFonts w:hint="eastAsia" w:ascii="宋体" w:hAnsi="宋体" w:eastAsia="宋体" w:cs="宋体"/>
                <w:sz w:val="22"/>
                <w:szCs w:val="22"/>
              </w:rPr>
              <w:t>小时的市公安局</w:t>
            </w:r>
            <w:r>
              <w:rPr>
                <w:rFonts w:hint="eastAsia" w:ascii="宋体" w:hAnsi="宋体" w:eastAsia="宋体" w:cs="宋体"/>
                <w:sz w:val="22"/>
                <w:szCs w:val="22"/>
                <w:highlight w:val="none"/>
              </w:rPr>
              <w:t>驻点服务</w:t>
            </w:r>
            <w:r>
              <w:rPr>
                <w:rFonts w:hint="eastAsia" w:ascii="宋体" w:hAnsi="宋体" w:eastAsia="宋体" w:cs="宋体"/>
                <w:sz w:val="22"/>
                <w:szCs w:val="22"/>
                <w:highlight w:val="none"/>
                <w:lang w:eastAsia="zh-CN"/>
              </w:rPr>
              <w:t>，</w:t>
            </w:r>
            <w:r>
              <w:rPr>
                <w:rFonts w:hint="eastAsia" w:ascii="宋体" w:hAnsi="宋体" w:eastAsia="宋体" w:cs="宋体"/>
                <w:color w:val="auto"/>
                <w:sz w:val="22"/>
                <w:szCs w:val="22"/>
                <w:lang w:val="en-US" w:eastAsia="zh-CN"/>
              </w:rPr>
              <w:t>技术人员熟悉IDC机房各系统（包括供电、空调、消防、监控等）的构造及功能，能够承担日常的维护任务及解决系统问题。技术人员需在机房网管中心7*24小时值班，对机房设施设备及环境进行实时监控，确保机房正常运行；保安人员7*24小时值守，保证未授权人员不得进入机房。参与项目人员需遵守采购人内部安全保卫和保密等各项管理要求，项目经理和技术人员变更时需经采购人审核。</w:t>
            </w:r>
          </w:p>
        </w:tc>
        <w:tc>
          <w:tcPr>
            <w:tcW w:w="2018" w:type="dxa"/>
          </w:tcPr>
          <w:p w14:paraId="1B87788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0E85D85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2CE15D4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410EF0C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43BB6E35">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6EB3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7D2589DF">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15</w:t>
            </w:r>
          </w:p>
        </w:tc>
        <w:tc>
          <w:tcPr>
            <w:tcW w:w="777" w:type="dxa"/>
          </w:tcPr>
          <w:p w14:paraId="66ABC88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1875EAF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12EC2719">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b/>
                <w:bCs/>
                <w:color w:val="auto"/>
                <w:sz w:val="22"/>
                <w:szCs w:val="22"/>
                <w:highlight w:val="none"/>
              </w:rPr>
            </w:pPr>
            <w:bookmarkStart w:id="61" w:name="_Toc27186"/>
            <w:bookmarkStart w:id="62" w:name="_Toc16739"/>
            <w:r>
              <w:rPr>
                <w:rFonts w:hint="eastAsia" w:ascii="宋体" w:hAnsi="宋体" w:eastAsia="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rPr>
              <w:t>质量保证及售后服务</w:t>
            </w:r>
            <w:bookmarkEnd w:id="61"/>
            <w:bookmarkEnd w:id="62"/>
          </w:p>
          <w:p w14:paraId="3BAD83ED">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SA"/>
              </w:rPr>
              <w:t>（一）</w:t>
            </w:r>
            <w:r>
              <w:rPr>
                <w:rFonts w:hint="eastAsia" w:ascii="宋体" w:hAnsi="宋体" w:eastAsia="宋体" w:cs="宋体"/>
                <w:color w:val="auto"/>
                <w:sz w:val="22"/>
                <w:szCs w:val="22"/>
              </w:rPr>
              <w:t>在</w:t>
            </w:r>
            <w:r>
              <w:rPr>
                <w:rFonts w:hint="eastAsia" w:ascii="宋体" w:hAnsi="宋体" w:eastAsia="宋体" w:cs="宋体"/>
                <w:color w:val="auto"/>
                <w:sz w:val="22"/>
                <w:szCs w:val="22"/>
                <w:lang w:val="en-US" w:eastAsia="zh-CN"/>
              </w:rPr>
              <w:t>服务期</w:t>
            </w:r>
            <w:r>
              <w:rPr>
                <w:rFonts w:hint="eastAsia" w:ascii="宋体" w:hAnsi="宋体" w:eastAsia="宋体" w:cs="宋体"/>
                <w:color w:val="auto"/>
                <w:sz w:val="22"/>
                <w:szCs w:val="22"/>
              </w:rPr>
              <w:t>内，中标人为采购人提供运维服务、系统管理、系统运行和培训等专业化服务</w:t>
            </w:r>
            <w:r>
              <w:rPr>
                <w:rFonts w:hint="eastAsia" w:ascii="宋体" w:hAnsi="宋体" w:eastAsia="宋体" w:cs="宋体"/>
                <w:color w:val="auto"/>
                <w:sz w:val="22"/>
                <w:szCs w:val="22"/>
                <w:lang w:eastAsia="zh-CN"/>
              </w:rPr>
              <w:t>，具体范围包括但不限于</w:t>
            </w:r>
            <w:r>
              <w:rPr>
                <w:rFonts w:hint="eastAsia" w:ascii="宋体" w:hAnsi="宋体" w:eastAsia="宋体" w:cs="宋体"/>
                <w:color w:val="auto"/>
                <w:sz w:val="22"/>
                <w:szCs w:val="22"/>
              </w:rPr>
              <w:t>机房空调、电源、综合布线系统、安防(门禁系统、图像监控系统等)的运行监控和故障处理及日常运行等工作。</w:t>
            </w:r>
          </w:p>
          <w:p w14:paraId="3F0074F4">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SA"/>
              </w:rPr>
              <w:t>（二）</w:t>
            </w:r>
            <w:r>
              <w:rPr>
                <w:rFonts w:hint="eastAsia" w:ascii="宋体" w:hAnsi="宋体" w:eastAsia="宋体" w:cs="宋体"/>
                <w:color w:val="auto"/>
                <w:sz w:val="22"/>
                <w:szCs w:val="22"/>
              </w:rPr>
              <w:t>对采购人的服务通知，中标人在接报后半小时内响应，1小时内到达现场，2小时内处理完毕。若在12小时内仍未能有效解决，中标人须免费提供同</w:t>
            </w:r>
            <w:r>
              <w:rPr>
                <w:sz w:val="22"/>
              </w:rPr>
              <w:t>-</w:t>
            </w:r>
            <w:bookmarkStart w:id="72" w:name="_GoBack"/>
            <w:bookmarkEnd w:id="72"/>
            <w:r>
              <w:rPr>
                <w:rFonts w:hint="eastAsia" w:ascii="宋体" w:hAnsi="宋体" w:eastAsia="宋体" w:cs="宋体"/>
                <w:color w:val="auto"/>
                <w:sz w:val="22"/>
                <w:szCs w:val="22"/>
              </w:rPr>
              <w:t>档次的设备予采购人临时使用。</w:t>
            </w:r>
          </w:p>
          <w:p w14:paraId="20779269">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SA"/>
              </w:rPr>
              <w:t>（三）</w:t>
            </w:r>
            <w:r>
              <w:rPr>
                <w:rFonts w:hint="eastAsia" w:ascii="宋体" w:hAnsi="宋体" w:eastAsia="宋体" w:cs="宋体"/>
                <w:color w:val="auto"/>
                <w:sz w:val="22"/>
                <w:szCs w:val="22"/>
              </w:rPr>
              <w:t>项目</w:t>
            </w:r>
            <w:r>
              <w:rPr>
                <w:rFonts w:hint="eastAsia" w:ascii="宋体" w:hAnsi="宋体" w:eastAsia="宋体" w:cs="宋体"/>
                <w:color w:val="auto"/>
                <w:sz w:val="22"/>
                <w:szCs w:val="22"/>
                <w:lang w:val="en-US" w:eastAsia="zh-CN"/>
              </w:rPr>
              <w:t>服务期</w:t>
            </w:r>
            <w:r>
              <w:rPr>
                <w:rFonts w:hint="eastAsia" w:ascii="宋体" w:hAnsi="宋体" w:eastAsia="宋体" w:cs="宋体"/>
                <w:color w:val="auto"/>
                <w:sz w:val="22"/>
                <w:szCs w:val="22"/>
              </w:rPr>
              <w:t>内，中标人必须提供7</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24小时电话热线服务，若设备系统出现软硬件故障，或</w:t>
            </w:r>
            <w:r>
              <w:rPr>
                <w:rFonts w:hint="eastAsia" w:ascii="宋体" w:hAnsi="宋体" w:eastAsia="宋体" w:cs="宋体"/>
                <w:color w:val="auto"/>
                <w:sz w:val="22"/>
                <w:szCs w:val="22"/>
                <w:lang w:eastAsia="zh-CN"/>
              </w:rPr>
              <w:t>采购人</w:t>
            </w:r>
            <w:r>
              <w:rPr>
                <w:rFonts w:hint="eastAsia" w:ascii="宋体" w:hAnsi="宋体" w:eastAsia="宋体" w:cs="宋体"/>
                <w:color w:val="auto"/>
                <w:sz w:val="22"/>
                <w:szCs w:val="22"/>
              </w:rPr>
              <w:t>有相关的技术问题，均可拨打热线电话，向中标人提出服务申请。中标人</w:t>
            </w:r>
            <w:r>
              <w:rPr>
                <w:rFonts w:hint="eastAsia" w:ascii="宋体" w:hAnsi="宋体" w:eastAsia="宋体" w:cs="宋体"/>
                <w:color w:val="auto"/>
                <w:sz w:val="22"/>
                <w:szCs w:val="22"/>
                <w:highlight w:val="none"/>
              </w:rPr>
              <w:t>必须</w:t>
            </w:r>
            <w:r>
              <w:rPr>
                <w:rFonts w:hint="eastAsia" w:ascii="宋体" w:hAnsi="宋体" w:eastAsia="宋体" w:cs="宋体"/>
                <w:color w:val="auto"/>
                <w:sz w:val="22"/>
                <w:szCs w:val="22"/>
              </w:rPr>
              <w:t>立即响应，提供技术支持，并对问题进行跟踪。</w:t>
            </w:r>
          </w:p>
          <w:p w14:paraId="27D92BB7">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SA"/>
              </w:rPr>
              <w:t>（四）</w:t>
            </w:r>
            <w:r>
              <w:rPr>
                <w:rFonts w:hint="eastAsia" w:ascii="宋体" w:hAnsi="宋体" w:eastAsia="宋体" w:cs="宋体"/>
                <w:color w:val="auto"/>
                <w:sz w:val="22"/>
                <w:szCs w:val="22"/>
              </w:rPr>
              <w:t>项目</w:t>
            </w:r>
            <w:r>
              <w:rPr>
                <w:rFonts w:hint="eastAsia" w:ascii="宋体" w:hAnsi="宋体" w:eastAsia="宋体" w:cs="宋体"/>
                <w:color w:val="auto"/>
                <w:sz w:val="22"/>
                <w:szCs w:val="22"/>
                <w:lang w:val="en-US" w:eastAsia="zh-CN"/>
              </w:rPr>
              <w:t>服务期</w:t>
            </w:r>
            <w:r>
              <w:rPr>
                <w:rFonts w:hint="eastAsia" w:ascii="宋体" w:hAnsi="宋体" w:eastAsia="宋体" w:cs="宋体"/>
                <w:color w:val="auto"/>
                <w:sz w:val="22"/>
                <w:szCs w:val="22"/>
              </w:rPr>
              <w:t>内，中标人必须提供一个月至少一次的全面（预防性）巡检服务。</w:t>
            </w:r>
          </w:p>
          <w:p w14:paraId="429B8748">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lang w:val="en-US" w:eastAsia="zh-CN" w:bidi="ar-SA"/>
              </w:rPr>
              <w:t>（五）</w:t>
            </w:r>
            <w:r>
              <w:rPr>
                <w:rFonts w:hint="eastAsia" w:ascii="宋体" w:hAnsi="宋体" w:eastAsia="宋体" w:cs="宋体"/>
                <w:color w:val="auto"/>
                <w:sz w:val="22"/>
                <w:szCs w:val="22"/>
              </w:rPr>
              <w:t>项目</w:t>
            </w:r>
            <w:r>
              <w:rPr>
                <w:rFonts w:hint="eastAsia" w:ascii="宋体" w:hAnsi="宋体" w:eastAsia="宋体" w:cs="宋体"/>
                <w:color w:val="auto"/>
                <w:sz w:val="22"/>
                <w:szCs w:val="22"/>
                <w:lang w:val="en-US" w:eastAsia="zh-CN"/>
              </w:rPr>
              <w:t>服务期</w:t>
            </w:r>
            <w:r>
              <w:rPr>
                <w:rFonts w:hint="eastAsia" w:ascii="宋体" w:hAnsi="宋体" w:eastAsia="宋体" w:cs="宋体"/>
                <w:color w:val="auto"/>
                <w:sz w:val="22"/>
                <w:szCs w:val="22"/>
              </w:rPr>
              <w:t>内，中标人必须定期设备保养服务。保养服务包含了设备表面清洁、设备内部清洁及传输介质整理及维护，由于对设备进行保养服务时需要关闭设备电源，业务中断较长，所以对于保养服务将提供定期每年实施两次设备表面清洁，每年实施一次设备内部清洁及传输介质整理及维护。</w:t>
            </w:r>
          </w:p>
        </w:tc>
        <w:tc>
          <w:tcPr>
            <w:tcW w:w="2018" w:type="dxa"/>
          </w:tcPr>
          <w:p w14:paraId="4AC9A82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6CDD2FF2">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78E3FED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1ACF852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2AF1490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3F553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1E0646C1">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lang w:val="en-US"/>
              </w:rPr>
            </w:pPr>
            <w:r>
              <w:rPr>
                <w:rFonts w:hint="eastAsia" w:ascii="宋体" w:hAnsi="宋体" w:eastAsia="宋体" w:cs="宋体"/>
                <w:i w:val="0"/>
                <w:iCs w:val="0"/>
                <w:color w:val="000000"/>
                <w:kern w:val="0"/>
                <w:sz w:val="22"/>
                <w:szCs w:val="22"/>
                <w:u w:val="none"/>
                <w:lang w:val="en-US" w:eastAsia="zh-CN" w:bidi="ar"/>
              </w:rPr>
              <w:t>16</w:t>
            </w:r>
          </w:p>
        </w:tc>
        <w:tc>
          <w:tcPr>
            <w:tcW w:w="777" w:type="dxa"/>
          </w:tcPr>
          <w:p w14:paraId="536C2F7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3D4076A2">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0385056F">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b/>
                <w:bCs/>
                <w:color w:val="auto"/>
                <w:sz w:val="22"/>
                <w:szCs w:val="22"/>
                <w:highlight w:val="none"/>
                <w:lang w:eastAsia="zh-CN"/>
              </w:rPr>
            </w:pPr>
            <w:bookmarkStart w:id="63" w:name="_Toc10178"/>
            <w:bookmarkStart w:id="64" w:name="_Toc18278"/>
            <w:r>
              <w:rPr>
                <w:rFonts w:hint="eastAsia" w:ascii="宋体" w:hAnsi="宋体" w:eastAsia="宋体" w:cs="宋体"/>
                <w:b/>
                <w:bCs/>
                <w:color w:val="auto"/>
                <w:sz w:val="22"/>
                <w:szCs w:val="22"/>
                <w:highlight w:val="none"/>
                <w:lang w:val="en-US" w:eastAsia="zh-CN"/>
              </w:rPr>
              <w:t>八</w:t>
            </w:r>
            <w:r>
              <w:rPr>
                <w:rFonts w:hint="eastAsia" w:ascii="宋体" w:hAnsi="宋体" w:eastAsia="宋体" w:cs="宋体"/>
                <w:b/>
                <w:bCs/>
                <w:color w:val="auto"/>
                <w:sz w:val="22"/>
                <w:szCs w:val="22"/>
                <w:highlight w:val="none"/>
              </w:rPr>
              <w:t>、保密</w:t>
            </w:r>
            <w:bookmarkEnd w:id="63"/>
            <w:bookmarkEnd w:id="64"/>
          </w:p>
          <w:p w14:paraId="3E7EE745">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 xml:space="preserve"> （一）</w:t>
            </w:r>
            <w:r>
              <w:rPr>
                <w:rFonts w:hint="eastAsia" w:ascii="宋体" w:hAnsi="宋体" w:eastAsia="宋体" w:cs="宋体"/>
                <w:color w:val="auto"/>
                <w:sz w:val="22"/>
                <w:szCs w:val="22"/>
              </w:rPr>
              <w:t>中标人</w:t>
            </w:r>
            <w:r>
              <w:rPr>
                <w:rFonts w:hint="eastAsia" w:ascii="宋体" w:hAnsi="宋体" w:eastAsia="宋体" w:cs="宋体"/>
                <w:color w:val="auto"/>
                <w:sz w:val="22"/>
                <w:szCs w:val="22"/>
                <w:highlight w:val="none"/>
              </w:rPr>
              <w:t>必须</w:t>
            </w:r>
            <w:r>
              <w:rPr>
                <w:rFonts w:hint="eastAsia" w:ascii="宋体" w:hAnsi="宋体" w:eastAsia="宋体" w:cs="宋体"/>
                <w:color w:val="auto"/>
                <w:sz w:val="22"/>
                <w:szCs w:val="22"/>
              </w:rPr>
              <w:t>采取措施对本项目实施过程中的数据、源代码、技术文档等资料保密，否则，由于中标人过错导致的上述资料泄密的，中标人必须承担一切责任。项目完成后，采购人、中标人双方均有责任对本项目的技术保密承担责任：未经采购人事先书面同意，中标人不得将由采购人为本项目提供的条文、规格、计划、图纸、模型、样品或资料等提供给与本项目无关的任何第三方，不得将其用于履行本项目之外的其它用途。即使向与履行本项目有关的人员提供，也应注意保密并限于履行本项目所必需的范围。</w:t>
            </w:r>
          </w:p>
          <w:p w14:paraId="02BD2648">
            <w:pPr>
              <w:pageBreakBefore w:val="0"/>
              <w:widowControl w:val="0"/>
              <w:numPr>
                <w:ilvl w:val="0"/>
                <w:numId w:val="0"/>
              </w:numPr>
              <w:tabs>
                <w:tab w:val="left" w:pos="567"/>
              </w:tabs>
              <w:kinsoku/>
              <w:wordWrap/>
              <w:overflowPunct/>
              <w:topLinePunct w:val="0"/>
              <w:autoSpaceDE/>
              <w:autoSpaceDN/>
              <w:bidi w:val="0"/>
              <w:spacing w:line="360" w:lineRule="auto"/>
              <w:jc w:val="both"/>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lang w:val="en-US" w:eastAsia="zh-CN"/>
              </w:rPr>
              <w:t>二</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中标人须提供项目所有管理、实施人员的社保证明给采购人审核，并签订《广东省公安机关信息化建设第三方运维机构安全保密责任书》、《广东省公安机关信息化建设第三方运维人员安全保密责任书》。</w:t>
            </w:r>
          </w:p>
        </w:tc>
        <w:tc>
          <w:tcPr>
            <w:tcW w:w="2018" w:type="dxa"/>
          </w:tcPr>
          <w:p w14:paraId="5CD4793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00F679AE">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48051F8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549747E7">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56F170D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774E3F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649CE8C3">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lang w:val="en-US"/>
              </w:rPr>
            </w:pPr>
            <w:r>
              <w:rPr>
                <w:rFonts w:hint="eastAsia" w:ascii="宋体" w:hAnsi="宋体" w:eastAsia="宋体" w:cs="宋体"/>
                <w:i w:val="0"/>
                <w:iCs w:val="0"/>
                <w:color w:val="000000"/>
                <w:kern w:val="0"/>
                <w:sz w:val="22"/>
                <w:szCs w:val="22"/>
                <w:u w:val="none"/>
                <w:lang w:val="en-US" w:eastAsia="zh-CN" w:bidi="ar"/>
              </w:rPr>
              <w:t>17</w:t>
            </w:r>
          </w:p>
        </w:tc>
        <w:tc>
          <w:tcPr>
            <w:tcW w:w="777" w:type="dxa"/>
          </w:tcPr>
          <w:p w14:paraId="6328069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0FE14DDA">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62DC7739">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b/>
                <w:bCs/>
                <w:color w:val="auto"/>
                <w:sz w:val="22"/>
                <w:szCs w:val="22"/>
                <w:highlight w:val="none"/>
              </w:rPr>
            </w:pPr>
            <w:bookmarkStart w:id="65" w:name="_Toc27354"/>
            <w:bookmarkStart w:id="66" w:name="_Toc30308"/>
            <w:r>
              <w:rPr>
                <w:rFonts w:hint="eastAsia" w:ascii="宋体" w:hAnsi="宋体" w:eastAsia="宋体" w:cs="宋体"/>
                <w:b/>
                <w:bCs/>
                <w:color w:val="auto"/>
                <w:sz w:val="22"/>
                <w:szCs w:val="22"/>
                <w:highlight w:val="none"/>
                <w:lang w:val="en-US" w:eastAsia="zh-CN"/>
              </w:rPr>
              <w:t>九</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rPr>
              <w:t>责任追究</w:t>
            </w:r>
            <w:bookmarkEnd w:id="65"/>
            <w:bookmarkEnd w:id="66"/>
          </w:p>
          <w:p w14:paraId="5DC3C96E">
            <w:pPr>
              <w:pStyle w:val="13"/>
              <w:pageBreakBefore w:val="0"/>
              <w:widowControl w:val="0"/>
              <w:numPr>
                <w:ilvl w:val="0"/>
                <w:numId w:val="0"/>
              </w:numPr>
              <w:tabs>
                <w:tab w:val="left" w:pos="567"/>
              </w:tabs>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一）中标人不能在合同约定生效之日起30天内完成机房交付和搬迁服务的，每超期一天，需缴纳中标总价的5‰的违约金。此外，中标人需确保采购人托管于机房的所有服务器、储存、网络等设备的正常运行，如造成设备停运，后果由中标人承担。</w:t>
            </w:r>
          </w:p>
          <w:p w14:paraId="0AB8F5C8">
            <w:pPr>
              <w:pStyle w:val="13"/>
              <w:pageBreakBefore w:val="0"/>
              <w:widowControl w:val="0"/>
              <w:numPr>
                <w:ilvl w:val="0"/>
                <w:numId w:val="0"/>
              </w:numPr>
              <w:tabs>
                <w:tab w:val="left" w:pos="567"/>
              </w:tabs>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二）如中标人不能在合同约定生效之日起30天内完成机房交付和搬迁服务的，或对于招标文件条款中标人已经响应但在实际交付中没有履行的，采购人有权终止合同并追究有关责任。采购人将根据政府采购相关管理规定重新选定供应商。至新中标人提供正常服务期间，中标人需确保采购人托管于机房的所有服务器、储存、网络等设备的正常运行，如造成设备停运，后果由中标人承担。</w:t>
            </w:r>
          </w:p>
          <w:p w14:paraId="62836922">
            <w:pPr>
              <w:pStyle w:val="13"/>
              <w:pageBreakBefore w:val="0"/>
              <w:widowControl w:val="0"/>
              <w:numPr>
                <w:ilvl w:val="0"/>
                <w:numId w:val="0"/>
              </w:numPr>
              <w:tabs>
                <w:tab w:val="left" w:pos="567"/>
              </w:tabs>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三）因中标人本身原因造成设备停机、故障、损坏、网络中断等影响系统正常运行超过2小时的，视影响范围，采购人保留停机时间每2小时以不高于合同总价1‰的幅度要求中标人支付违约金的权利，造成设备、数据损失的，中标人还应赔偿损失。</w:t>
            </w:r>
          </w:p>
        </w:tc>
        <w:tc>
          <w:tcPr>
            <w:tcW w:w="2018" w:type="dxa"/>
          </w:tcPr>
          <w:p w14:paraId="522AF14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50C9BBA2">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5148B39E">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8A8EF00">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5AC2D55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43FC2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36BDE0BB">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lang w:val="en-US"/>
              </w:rPr>
            </w:pPr>
            <w:r>
              <w:rPr>
                <w:rFonts w:hint="eastAsia" w:ascii="宋体" w:hAnsi="宋体" w:eastAsia="宋体" w:cs="宋体"/>
                <w:i w:val="0"/>
                <w:iCs w:val="0"/>
                <w:color w:val="000000"/>
                <w:kern w:val="0"/>
                <w:sz w:val="22"/>
                <w:szCs w:val="22"/>
                <w:u w:val="none"/>
                <w:lang w:val="en-US" w:eastAsia="zh-CN" w:bidi="ar"/>
              </w:rPr>
              <w:t>18</w:t>
            </w:r>
          </w:p>
        </w:tc>
        <w:tc>
          <w:tcPr>
            <w:tcW w:w="777" w:type="dxa"/>
          </w:tcPr>
          <w:p w14:paraId="4FB9882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545C68E6">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2641D64C">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color w:val="auto"/>
                <w:sz w:val="22"/>
                <w:szCs w:val="22"/>
                <w:highlight w:val="none"/>
              </w:rPr>
            </w:pPr>
            <w:bookmarkStart w:id="67" w:name="_Toc6136"/>
            <w:bookmarkStart w:id="68" w:name="_Toc30577"/>
            <w:r>
              <w:rPr>
                <w:rFonts w:hint="eastAsia" w:ascii="宋体" w:hAnsi="宋体" w:eastAsia="宋体" w:cs="宋体"/>
                <w:b/>
                <w:bCs/>
                <w:color w:val="auto"/>
                <w:sz w:val="22"/>
                <w:szCs w:val="22"/>
                <w:highlight w:val="none"/>
                <w:lang w:val="en-US" w:eastAsia="zh-CN"/>
              </w:rPr>
              <w:t>十、</w:t>
            </w:r>
            <w:r>
              <w:rPr>
                <w:rFonts w:hint="eastAsia" w:ascii="宋体" w:hAnsi="宋体" w:eastAsia="宋体" w:cs="宋体"/>
                <w:b/>
                <w:bCs/>
                <w:color w:val="auto"/>
                <w:sz w:val="22"/>
                <w:szCs w:val="22"/>
                <w:highlight w:val="none"/>
              </w:rPr>
              <w:t>培训服务要求</w:t>
            </w:r>
            <w:bookmarkEnd w:id="67"/>
            <w:bookmarkEnd w:id="68"/>
          </w:p>
          <w:p w14:paraId="6209BA77">
            <w:pPr>
              <w:pageBreakBefore w:val="0"/>
              <w:kinsoku/>
              <w:wordWrap/>
              <w:overflowPunct/>
              <w:topLinePunct w:val="0"/>
              <w:autoSpaceDE/>
              <w:autoSpaceDN/>
              <w:bidi w:val="0"/>
              <w:spacing w:line="360" w:lineRule="auto"/>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一</w:t>
            </w:r>
            <w:r>
              <w:rPr>
                <w:rFonts w:hint="eastAsia" w:ascii="宋体" w:hAnsi="宋体" w:eastAsia="宋体" w:cs="宋体"/>
                <w:sz w:val="22"/>
                <w:szCs w:val="22"/>
                <w:lang w:eastAsia="zh-CN"/>
              </w:rPr>
              <w:t>）</w:t>
            </w:r>
            <w:r>
              <w:rPr>
                <w:rFonts w:hint="eastAsia" w:ascii="宋体" w:hAnsi="宋体" w:eastAsia="宋体" w:cs="宋体"/>
                <w:sz w:val="22"/>
                <w:szCs w:val="22"/>
              </w:rPr>
              <w:t>在运维期间，</w:t>
            </w:r>
            <w:r>
              <w:rPr>
                <w:rFonts w:hint="eastAsia" w:ascii="宋体" w:hAnsi="宋体" w:eastAsia="宋体" w:cs="宋体"/>
                <w:sz w:val="22"/>
                <w:szCs w:val="22"/>
                <w:lang w:val="en-US" w:eastAsia="zh-CN"/>
              </w:rPr>
              <w:t>中标人需为采购人提供不少于1次的运维技术培训，</w:t>
            </w:r>
            <w:r>
              <w:rPr>
                <w:rFonts w:hint="eastAsia" w:ascii="宋体" w:hAnsi="宋体" w:eastAsia="宋体" w:cs="宋体"/>
                <w:sz w:val="22"/>
                <w:szCs w:val="22"/>
              </w:rPr>
              <w:t>若</w:t>
            </w:r>
            <w:r>
              <w:rPr>
                <w:rFonts w:hint="eastAsia" w:ascii="宋体" w:hAnsi="宋体" w:eastAsia="宋体" w:cs="宋体"/>
                <w:sz w:val="22"/>
                <w:szCs w:val="22"/>
                <w:lang w:eastAsia="zh-CN"/>
              </w:rPr>
              <w:t>采购人</w:t>
            </w:r>
            <w:r>
              <w:rPr>
                <w:rFonts w:hint="eastAsia" w:ascii="宋体" w:hAnsi="宋体" w:eastAsia="宋体" w:cs="宋体"/>
                <w:sz w:val="22"/>
                <w:szCs w:val="22"/>
              </w:rPr>
              <w:t>提出培训需求，</w:t>
            </w:r>
            <w:r>
              <w:rPr>
                <w:rFonts w:hint="eastAsia" w:ascii="宋体" w:hAnsi="宋体" w:eastAsia="宋体" w:cs="宋体"/>
                <w:sz w:val="22"/>
                <w:szCs w:val="22"/>
                <w:lang w:val="en-US" w:eastAsia="zh-CN"/>
              </w:rPr>
              <w:t>中标人</w:t>
            </w:r>
            <w:r>
              <w:rPr>
                <w:rFonts w:hint="eastAsia" w:ascii="宋体" w:hAnsi="宋体" w:eastAsia="宋体" w:cs="宋体"/>
                <w:sz w:val="22"/>
                <w:szCs w:val="22"/>
              </w:rPr>
              <w:t>需及时作出响应，并安排讲师进行培训。为了达到良好的培训效果，</w:t>
            </w:r>
            <w:r>
              <w:rPr>
                <w:rFonts w:hint="eastAsia" w:ascii="宋体" w:hAnsi="宋体" w:eastAsia="宋体" w:cs="宋体"/>
                <w:sz w:val="22"/>
                <w:szCs w:val="22"/>
                <w:lang w:val="en-US" w:eastAsia="zh-CN"/>
              </w:rPr>
              <w:t>中标人</w:t>
            </w:r>
            <w:r>
              <w:rPr>
                <w:rFonts w:hint="eastAsia" w:ascii="宋体" w:hAnsi="宋体" w:eastAsia="宋体" w:cs="宋体"/>
                <w:sz w:val="22"/>
                <w:szCs w:val="22"/>
              </w:rPr>
              <w:t>需提供相关培训教材及培训用具，应在培训前制定好详细的培训计划，罗列培训时间、地点、硬件和软件环境以及授课教师资质，为每个受训者提供一套培训材料，包括练习题、讲义、实验题等。</w:t>
            </w:r>
          </w:p>
          <w:p w14:paraId="0F5C7A82">
            <w:pPr>
              <w:pageBreakBefore w:val="0"/>
              <w:kinsoku/>
              <w:wordWrap/>
              <w:overflowPunct/>
              <w:topLinePunct w:val="0"/>
              <w:autoSpaceDE/>
              <w:autoSpaceDN/>
              <w:bidi w:val="0"/>
              <w:spacing w:line="360" w:lineRule="auto"/>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二</w:t>
            </w:r>
            <w:r>
              <w:rPr>
                <w:rFonts w:hint="eastAsia" w:ascii="宋体" w:hAnsi="宋体" w:eastAsia="宋体" w:cs="宋体"/>
                <w:sz w:val="22"/>
                <w:szCs w:val="22"/>
                <w:lang w:eastAsia="zh-CN"/>
              </w:rPr>
              <w:t>）</w:t>
            </w:r>
            <w:r>
              <w:rPr>
                <w:rFonts w:hint="eastAsia" w:ascii="宋体" w:hAnsi="宋体" w:eastAsia="宋体" w:cs="宋体"/>
                <w:sz w:val="22"/>
                <w:szCs w:val="22"/>
              </w:rPr>
              <w:t>根据</w:t>
            </w:r>
            <w:r>
              <w:rPr>
                <w:rFonts w:hint="eastAsia" w:ascii="宋体" w:hAnsi="宋体" w:eastAsia="宋体" w:cs="宋体"/>
                <w:sz w:val="22"/>
                <w:szCs w:val="22"/>
                <w:lang w:eastAsia="zh-CN"/>
              </w:rPr>
              <w:t>采购人</w:t>
            </w:r>
            <w:r>
              <w:rPr>
                <w:rFonts w:hint="eastAsia" w:ascii="宋体" w:hAnsi="宋体" w:eastAsia="宋体" w:cs="宋体"/>
                <w:sz w:val="22"/>
                <w:szCs w:val="22"/>
              </w:rPr>
              <w:t>实际需要，在</w:t>
            </w:r>
            <w:r>
              <w:rPr>
                <w:rFonts w:hint="eastAsia" w:ascii="宋体" w:hAnsi="宋体" w:eastAsia="宋体" w:cs="宋体"/>
                <w:sz w:val="22"/>
                <w:szCs w:val="22"/>
                <w:lang w:eastAsia="zh-CN"/>
              </w:rPr>
              <w:t>采购人</w:t>
            </w:r>
            <w:r>
              <w:rPr>
                <w:rFonts w:hint="eastAsia" w:ascii="宋体" w:hAnsi="宋体" w:eastAsia="宋体" w:cs="宋体"/>
                <w:sz w:val="22"/>
                <w:szCs w:val="22"/>
              </w:rPr>
              <w:t>指定范围内提供针对本</w:t>
            </w:r>
            <w:r>
              <w:rPr>
                <w:rFonts w:hint="eastAsia" w:ascii="宋体" w:hAnsi="宋体" w:eastAsia="宋体" w:cs="宋体"/>
                <w:sz w:val="22"/>
                <w:szCs w:val="22"/>
                <w:lang w:val="en-US" w:eastAsia="zh-CN"/>
              </w:rPr>
              <w:t>包组</w:t>
            </w:r>
            <w:r>
              <w:rPr>
                <w:rFonts w:hint="eastAsia" w:ascii="宋体" w:hAnsi="宋体" w:eastAsia="宋体" w:cs="宋体"/>
                <w:sz w:val="22"/>
                <w:szCs w:val="22"/>
              </w:rPr>
              <w:t>项目信息系统系统架构设计、业务数据流、模块与模块之间关系，系统数据库结构关系和对数据库、应用服务器监控、系统调优专业课程及业务系统操作等的相关培训。在培训后制作问卷向</w:t>
            </w:r>
            <w:r>
              <w:rPr>
                <w:rFonts w:hint="eastAsia" w:ascii="宋体" w:hAnsi="宋体" w:eastAsia="宋体" w:cs="宋体"/>
                <w:sz w:val="22"/>
                <w:szCs w:val="22"/>
                <w:lang w:eastAsia="zh-CN"/>
              </w:rPr>
              <w:t>采购人</w:t>
            </w:r>
            <w:r>
              <w:rPr>
                <w:rFonts w:hint="eastAsia" w:ascii="宋体" w:hAnsi="宋体" w:eastAsia="宋体" w:cs="宋体"/>
                <w:sz w:val="22"/>
                <w:szCs w:val="22"/>
              </w:rPr>
              <w:t>问询满意度，若</w:t>
            </w:r>
            <w:r>
              <w:rPr>
                <w:rFonts w:hint="eastAsia" w:ascii="宋体" w:hAnsi="宋体" w:eastAsia="宋体" w:cs="宋体"/>
                <w:sz w:val="22"/>
                <w:szCs w:val="22"/>
                <w:lang w:eastAsia="zh-CN"/>
              </w:rPr>
              <w:t>采购人</w:t>
            </w:r>
            <w:r>
              <w:rPr>
                <w:rFonts w:hint="eastAsia" w:ascii="宋体" w:hAnsi="宋体" w:eastAsia="宋体" w:cs="宋体"/>
                <w:sz w:val="22"/>
                <w:szCs w:val="22"/>
              </w:rPr>
              <w:t>有需求，则需改进授课的方式。</w:t>
            </w:r>
          </w:p>
        </w:tc>
        <w:tc>
          <w:tcPr>
            <w:tcW w:w="2018" w:type="dxa"/>
          </w:tcPr>
          <w:p w14:paraId="58D1B403">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36EC1AEF">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546B792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6F00519C">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6AB6E8C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r w14:paraId="7A88E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46" w:type="dxa"/>
            <w:vAlign w:val="center"/>
          </w:tcPr>
          <w:p w14:paraId="5728C47D">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19</w:t>
            </w:r>
          </w:p>
        </w:tc>
        <w:tc>
          <w:tcPr>
            <w:tcW w:w="777" w:type="dxa"/>
          </w:tcPr>
          <w:p w14:paraId="74F5DA78">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764" w:type="dxa"/>
          </w:tcPr>
          <w:p w14:paraId="3357B21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57" w:type="dxa"/>
          </w:tcPr>
          <w:p w14:paraId="4FA57CC7">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bookmarkStart w:id="69" w:name="_Toc3891"/>
            <w:bookmarkStart w:id="70" w:name="_Toc15890"/>
            <w:bookmarkStart w:id="71" w:name="_Toc11699"/>
            <w:r>
              <w:rPr>
                <w:rFonts w:hint="eastAsia" w:ascii="宋体" w:hAnsi="宋体" w:eastAsia="宋体" w:cs="宋体"/>
                <w:sz w:val="22"/>
                <w:szCs w:val="22"/>
                <w:lang w:val="en-US" w:eastAsia="zh-CN"/>
              </w:rPr>
              <w:t>十二、</w:t>
            </w:r>
            <w:r>
              <w:rPr>
                <w:rFonts w:hint="eastAsia" w:ascii="宋体" w:hAnsi="宋体" w:eastAsia="宋体" w:cs="宋体"/>
                <w:sz w:val="22"/>
                <w:szCs w:val="22"/>
              </w:rPr>
              <w:t>安全</w:t>
            </w:r>
            <w:r>
              <w:rPr>
                <w:rFonts w:hint="eastAsia" w:ascii="宋体" w:hAnsi="宋体" w:eastAsia="宋体" w:cs="宋体"/>
                <w:sz w:val="22"/>
                <w:szCs w:val="22"/>
                <w:lang w:val="en-US" w:eastAsia="zh-CN"/>
              </w:rPr>
              <w:t>管理</w:t>
            </w:r>
            <w:r>
              <w:rPr>
                <w:rFonts w:hint="eastAsia" w:ascii="宋体" w:hAnsi="宋体" w:eastAsia="宋体" w:cs="宋体"/>
                <w:sz w:val="22"/>
                <w:szCs w:val="22"/>
              </w:rPr>
              <w:t>要求</w:t>
            </w:r>
            <w:bookmarkEnd w:id="69"/>
            <w:bookmarkEnd w:id="70"/>
            <w:bookmarkEnd w:id="71"/>
          </w:p>
          <w:p w14:paraId="26840AD1">
            <w:pPr>
              <w:pageBreakBefore w:val="0"/>
              <w:widowControl w:val="0"/>
              <w:tabs>
                <w:tab w:val="left" w:pos="628"/>
                <w:tab w:val="left" w:pos="2100"/>
              </w:tabs>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（一）中标人是业务安全生产管理主体，对所承包业务安全生产管理工作负全责。</w:t>
            </w:r>
          </w:p>
          <w:p w14:paraId="2782F514">
            <w:pPr>
              <w:pageBreakBefore w:val="0"/>
              <w:widowControl w:val="0"/>
              <w:tabs>
                <w:tab w:val="left" w:pos="628"/>
                <w:tab w:val="left" w:pos="2100"/>
              </w:tabs>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（二）中标人负责日常安全生产管理，采购人只负责对中标人进行考核和必要的监督检查。</w:t>
            </w:r>
          </w:p>
          <w:p w14:paraId="6E8F2E57">
            <w:pPr>
              <w:pageBreakBefore w:val="0"/>
              <w:widowControl w:val="0"/>
              <w:tabs>
                <w:tab w:val="left" w:pos="628"/>
                <w:tab w:val="left" w:pos="2100"/>
              </w:tabs>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（三）按“谁聘用、谁负责”原则，中标人负责从业人员安全教育培训工作。</w:t>
            </w:r>
          </w:p>
          <w:p w14:paraId="7BF66E30">
            <w:pPr>
              <w:pageBreakBefore w:val="0"/>
              <w:widowControl w:val="0"/>
              <w:tabs>
                <w:tab w:val="left" w:pos="628"/>
                <w:tab w:val="left" w:pos="2100"/>
              </w:tabs>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（四）劳动保护用品发放由从业人员劳动关系所属单位负责。即由中标人负责采购及发放。</w:t>
            </w:r>
          </w:p>
          <w:p w14:paraId="4BC8D6EF">
            <w:pPr>
              <w:pStyle w:val="6"/>
              <w:pageBreakBefore w:val="0"/>
              <w:widowControl w:val="0"/>
              <w:numPr>
                <w:ilvl w:val="1"/>
                <w:numId w:val="0"/>
              </w:numPr>
              <w:kinsoku/>
              <w:wordWrap/>
              <w:overflowPunct/>
              <w:topLinePunct w:val="0"/>
              <w:autoSpaceDE/>
              <w:autoSpaceDN/>
              <w:bidi w:val="0"/>
              <w:adjustRightInd/>
              <w:snapToGrid/>
              <w:spacing w:before="0" w:line="360" w:lineRule="auto"/>
              <w:textAlignment w:val="auto"/>
              <w:rPr>
                <w:rFonts w:hint="eastAsia" w:asciiTheme="minorEastAsia" w:hAnsiTheme="minorEastAsia" w:eastAsiaTheme="minorEastAsia" w:cstheme="minorEastAsia"/>
                <w:b w:val="0"/>
                <w:bCs/>
                <w:color w:val="auto"/>
                <w:sz w:val="22"/>
                <w:szCs w:val="22"/>
                <w:highlight w:val="none"/>
                <w:lang w:val="en-US" w:eastAsia="zh-CN"/>
              </w:rPr>
            </w:pPr>
            <w:r>
              <w:rPr>
                <w:rFonts w:hint="eastAsia" w:asciiTheme="minorEastAsia" w:hAnsiTheme="minorEastAsia" w:eastAsiaTheme="minorEastAsia" w:cstheme="minorEastAsia"/>
                <w:b w:val="0"/>
                <w:bCs/>
                <w:color w:val="auto"/>
                <w:sz w:val="22"/>
                <w:szCs w:val="22"/>
                <w:highlight w:val="none"/>
                <w:lang w:val="en-US" w:eastAsia="zh-CN"/>
              </w:rPr>
              <w:t>（五）若本包组服务期间发生的各种工伤、生产安全事故，事故处理及赔偿均由中标人负责，</w:t>
            </w:r>
            <w:r>
              <w:rPr>
                <w:rFonts w:hint="eastAsia" w:ascii="宋体" w:hAnsi="宋体" w:eastAsia="宋体" w:cs="宋体"/>
                <w:sz w:val="22"/>
                <w:szCs w:val="22"/>
                <w:lang w:val="en-US" w:eastAsia="zh-CN"/>
              </w:rPr>
              <w:t>采购人</w:t>
            </w:r>
            <w:r>
              <w:rPr>
                <w:rFonts w:hint="eastAsia" w:asciiTheme="minorEastAsia" w:hAnsiTheme="minorEastAsia" w:eastAsiaTheme="minorEastAsia" w:cstheme="minorEastAsia"/>
                <w:b w:val="0"/>
                <w:bCs/>
                <w:color w:val="auto"/>
                <w:sz w:val="22"/>
                <w:szCs w:val="22"/>
                <w:highlight w:val="none"/>
                <w:lang w:val="en-US" w:eastAsia="zh-CN"/>
              </w:rPr>
              <w:t>免予承担一切责任。中标人负责贯彻实施好国家及当地安全系统运维服务规定，排除安全隐患，注意运维安全，保证服务人员具备相应的资质要求，佩证上岗。如服务期间出现财产损失或人身损害等安全事故由中标人负责，造成</w:t>
            </w:r>
            <w:r>
              <w:rPr>
                <w:rFonts w:hint="eastAsia" w:ascii="宋体" w:hAnsi="宋体" w:eastAsia="宋体" w:cs="宋体"/>
                <w:sz w:val="22"/>
                <w:szCs w:val="22"/>
                <w:lang w:val="en-US" w:eastAsia="zh-CN"/>
              </w:rPr>
              <w:t>采购人</w:t>
            </w:r>
            <w:r>
              <w:rPr>
                <w:rFonts w:hint="eastAsia" w:asciiTheme="minorEastAsia" w:hAnsiTheme="minorEastAsia" w:eastAsiaTheme="minorEastAsia" w:cstheme="minorEastAsia"/>
                <w:b w:val="0"/>
                <w:bCs/>
                <w:color w:val="auto"/>
                <w:sz w:val="22"/>
                <w:szCs w:val="22"/>
                <w:highlight w:val="none"/>
                <w:lang w:val="en-US" w:eastAsia="zh-CN"/>
              </w:rPr>
              <w:t>损失，由中标人承担赔偿责任。</w:t>
            </w:r>
          </w:p>
          <w:p w14:paraId="505286C4">
            <w:pPr>
              <w:pStyle w:val="6"/>
              <w:pageBreakBefore w:val="0"/>
              <w:widowControl w:val="0"/>
              <w:numPr>
                <w:ilvl w:val="1"/>
                <w:numId w:val="0"/>
              </w:numPr>
              <w:kinsoku/>
              <w:wordWrap/>
              <w:overflowPunct/>
              <w:topLinePunct w:val="0"/>
              <w:autoSpaceDE/>
              <w:autoSpaceDN/>
              <w:bidi w:val="0"/>
              <w:adjustRightInd/>
              <w:snapToGrid/>
              <w:spacing w:before="0" w:line="360" w:lineRule="auto"/>
              <w:textAlignment w:val="auto"/>
              <w:rPr>
                <w:rFonts w:hint="eastAsia" w:asciiTheme="minorEastAsia" w:hAnsiTheme="minorEastAsia" w:eastAsiaTheme="minorEastAsia" w:cstheme="minorEastAsia"/>
                <w:b w:val="0"/>
                <w:bCs/>
                <w:color w:val="auto"/>
                <w:sz w:val="22"/>
                <w:szCs w:val="22"/>
                <w:highlight w:val="none"/>
                <w:lang w:val="en-US" w:eastAsia="zh-CN"/>
              </w:rPr>
            </w:pPr>
            <w:r>
              <w:rPr>
                <w:rFonts w:hint="eastAsia" w:asciiTheme="minorEastAsia" w:hAnsiTheme="minorEastAsia" w:eastAsiaTheme="minorEastAsia" w:cstheme="minorEastAsia"/>
                <w:b w:val="0"/>
                <w:bCs/>
                <w:color w:val="auto"/>
                <w:sz w:val="22"/>
                <w:szCs w:val="22"/>
                <w:highlight w:val="none"/>
                <w:lang w:val="en-US" w:eastAsia="zh-CN"/>
              </w:rPr>
              <w:t>（六）中标人执行采购人关于运维制服、外勤工作服款式、颜色的规定，采购由中标人直接负责。</w:t>
            </w:r>
          </w:p>
          <w:p w14:paraId="7375279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lang w:eastAsia="zh-CN"/>
              </w:rPr>
            </w:pPr>
            <w:r>
              <w:rPr>
                <w:rFonts w:hint="eastAsia" w:asciiTheme="minorEastAsia" w:hAnsiTheme="minorEastAsia" w:eastAsiaTheme="minorEastAsia" w:cstheme="minorEastAsia"/>
                <w:b w:val="0"/>
                <w:bCs/>
                <w:color w:val="auto"/>
                <w:sz w:val="22"/>
                <w:szCs w:val="22"/>
                <w:highlight w:val="none"/>
                <w:lang w:val="en-US" w:eastAsia="zh-CN"/>
              </w:rPr>
              <w:t>（七）本包组所涉及的安全生产费用由中标人负责，</w:t>
            </w:r>
            <w:r>
              <w:rPr>
                <w:rFonts w:hint="eastAsia" w:ascii="宋体" w:hAnsi="宋体" w:eastAsia="宋体" w:cs="宋体"/>
                <w:sz w:val="22"/>
                <w:szCs w:val="22"/>
                <w:lang w:val="en-US" w:eastAsia="zh-CN"/>
              </w:rPr>
              <w:t>采购人</w:t>
            </w:r>
            <w:r>
              <w:rPr>
                <w:rFonts w:hint="eastAsia" w:asciiTheme="minorEastAsia" w:hAnsiTheme="minorEastAsia" w:eastAsiaTheme="minorEastAsia" w:cstheme="minorEastAsia"/>
                <w:b w:val="0"/>
                <w:bCs/>
                <w:color w:val="auto"/>
                <w:sz w:val="22"/>
                <w:szCs w:val="22"/>
                <w:highlight w:val="none"/>
                <w:lang w:val="en-US" w:eastAsia="zh-CN"/>
              </w:rPr>
              <w:t>的委托运维价格已含从业人员安全教育培训、劳动防护用品费用等。</w:t>
            </w:r>
          </w:p>
        </w:tc>
        <w:tc>
          <w:tcPr>
            <w:tcW w:w="2018" w:type="dxa"/>
          </w:tcPr>
          <w:p w14:paraId="0565F9B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832" w:type="dxa"/>
          </w:tcPr>
          <w:p w14:paraId="5BC42BB4">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74BB1DCB">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282" w:type="dxa"/>
          </w:tcPr>
          <w:p w14:paraId="77EE7D69">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c>
          <w:tcPr>
            <w:tcW w:w="1022" w:type="dxa"/>
          </w:tcPr>
          <w:p w14:paraId="661B1A51">
            <w:pPr>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p>
        </w:tc>
      </w:tr>
    </w:tbl>
    <w:p w14:paraId="4062382B"/>
    <w:p w14:paraId="0D7356D8">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32"/>
          <w:lang w:val="en-US" w:eastAsia="zh-CN"/>
        </w:rPr>
      </w:pPr>
      <w:r>
        <w:rPr>
          <w:rFonts w:hint="eastAsia"/>
          <w:b/>
          <w:bCs/>
          <w:sz w:val="24"/>
          <w:szCs w:val="32"/>
          <w:lang w:val="en-US" w:eastAsia="zh-CN"/>
        </w:rPr>
        <w:t>注：1.此表仅作为汇总参与评审的19项非“★”、“▲”的条款，按量化指标，每无偏离或正偏离1项得1分，满分19分； 其余条款请投标人在制作投标文件中自行补充到响应表中。</w:t>
      </w:r>
    </w:p>
    <w:p w14:paraId="3F1733BD">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kern w:val="2"/>
          <w:sz w:val="24"/>
          <w:szCs w:val="24"/>
          <w:highlight w:val="none"/>
          <w:lang w:val="en-US" w:eastAsia="zh-CN" w:bidi="ar-SA"/>
        </w:rPr>
      </w:pPr>
      <w:r>
        <w:rPr>
          <w:rFonts w:hint="eastAsia"/>
          <w:b/>
          <w:bCs/>
          <w:sz w:val="24"/>
          <w:szCs w:val="24"/>
          <w:lang w:val="en-US" w:eastAsia="zh-CN"/>
        </w:rPr>
        <w:t>2.</w:t>
      </w:r>
      <w:r>
        <w:rPr>
          <w:rFonts w:hint="eastAsia" w:ascii="宋体" w:hAnsi="宋体" w:eastAsia="宋体" w:cs="宋体"/>
          <w:b/>
          <w:bCs/>
          <w:kern w:val="2"/>
          <w:sz w:val="24"/>
          <w:szCs w:val="24"/>
          <w:highlight w:val="none"/>
          <w:lang w:val="en-US" w:eastAsia="zh-CN" w:bidi="ar-SA"/>
        </w:rPr>
        <w:t>本表中“采购文件规定的技术和服务要求”的填写若与招标文件第二章“采购需求”中的表述不一致，以招标文件第二章“采购需求”中的表述为准。</w:t>
      </w:r>
    </w:p>
    <w:sectPr>
      <w:pgSz w:w="16838" w:h="11906" w:orient="landscape"/>
      <w:pgMar w:top="138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7BACAA"/>
    <w:multiLevelType w:val="multilevel"/>
    <w:tmpl w:val="CE7BACAA"/>
    <w:lvl w:ilvl="0" w:tentative="0">
      <w:start w:val="1"/>
      <w:numFmt w:val="decimal"/>
      <w:pStyle w:val="5"/>
      <w:suff w:val="space"/>
      <w:lvlText w:val="%1"/>
      <w:lvlJc w:val="left"/>
      <w:pPr>
        <w:ind w:left="425" w:hanging="425"/>
      </w:pPr>
      <w:rPr>
        <w:rFonts w:hint="eastAsia"/>
      </w:rPr>
    </w:lvl>
    <w:lvl w:ilvl="1" w:tentative="0">
      <w:start w:val="1"/>
      <w:numFmt w:val="decimal"/>
      <w:pStyle w:val="6"/>
      <w:suff w:val="space"/>
      <w:lvlText w:val="%1.%2"/>
      <w:lvlJc w:val="left"/>
      <w:pPr>
        <w:ind w:left="992" w:hanging="992"/>
      </w:pPr>
      <w:rPr>
        <w:rFonts w:hint="default" w:ascii="Times New Roman" w:hAnsi="Times New Roman" w:cs="Times New Roman"/>
      </w:rPr>
    </w:lvl>
    <w:lvl w:ilvl="2" w:tentative="0">
      <w:start w:val="1"/>
      <w:numFmt w:val="decimal"/>
      <w:pStyle w:val="7"/>
      <w:suff w:val="space"/>
      <w:lvlText w:val="%1.%2.%3"/>
      <w:lvlJc w:val="left"/>
      <w:pPr>
        <w:ind w:left="1418" w:hanging="1418"/>
      </w:pPr>
      <w:rPr>
        <w:rFonts w:hint="eastAsia"/>
      </w:rPr>
    </w:lvl>
    <w:lvl w:ilvl="3" w:tentative="0">
      <w:start w:val="1"/>
      <w:numFmt w:val="decimal"/>
      <w:pStyle w:val="8"/>
      <w:suff w:val="space"/>
      <w:lvlText w:val="%1.%2.%3.%4"/>
      <w:lvlJc w:val="left"/>
      <w:pPr>
        <w:ind w:left="1984" w:hanging="1984"/>
      </w:pPr>
      <w:rPr>
        <w:rFonts w:hint="eastAsia"/>
      </w:rPr>
    </w:lvl>
    <w:lvl w:ilvl="4" w:tentative="0">
      <w:start w:val="1"/>
      <w:numFmt w:val="decimal"/>
      <w:pStyle w:val="9"/>
      <w:suff w:val="space"/>
      <w:lvlText w:val="%1.%2.%3.%4.%5"/>
      <w:lvlJc w:val="left"/>
      <w:pPr>
        <w:ind w:left="2551" w:hanging="2551"/>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NzMyZjhjN2E3YmVhODJhNzlkOThmNWY1ODE3NjYifQ=="/>
  </w:docVars>
  <w:rsids>
    <w:rsidRoot w:val="442F4999"/>
    <w:rsid w:val="061C607A"/>
    <w:rsid w:val="1152104B"/>
    <w:rsid w:val="15E30E98"/>
    <w:rsid w:val="1CA64694"/>
    <w:rsid w:val="2127199F"/>
    <w:rsid w:val="226357CA"/>
    <w:rsid w:val="23282B03"/>
    <w:rsid w:val="23FE6456"/>
    <w:rsid w:val="29EC3C46"/>
    <w:rsid w:val="2AF72AE6"/>
    <w:rsid w:val="2EB75843"/>
    <w:rsid w:val="37F27598"/>
    <w:rsid w:val="442F4999"/>
    <w:rsid w:val="45CA7611"/>
    <w:rsid w:val="47023EA4"/>
    <w:rsid w:val="4E4B77F1"/>
    <w:rsid w:val="4F986F98"/>
    <w:rsid w:val="52ED08E4"/>
    <w:rsid w:val="57393E1A"/>
    <w:rsid w:val="5A803F67"/>
    <w:rsid w:val="67754842"/>
    <w:rsid w:val="6ED31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6">
    <w:name w:val="heading 2"/>
    <w:basedOn w:val="1"/>
    <w:next w:val="1"/>
    <w:semiHidden/>
    <w:unhideWhenUsed/>
    <w:qFormat/>
    <w:uiPriority w:val="0"/>
    <w:pPr>
      <w:keepNext/>
      <w:keepLines/>
      <w:numPr>
        <w:ilvl w:val="1"/>
        <w:numId w:val="1"/>
      </w:numPr>
      <w:spacing w:before="120"/>
      <w:ind w:left="0" w:firstLine="0" w:firstLineChars="0"/>
      <w:outlineLvl w:val="1"/>
    </w:pPr>
    <w:rPr>
      <w:rFonts w:eastAsia="宋体" w:asciiTheme="minorAscii" w:hAnsiTheme="minorAscii" w:cstheme="majorBidi"/>
      <w:bCs/>
      <w:sz w:val="22"/>
      <w:szCs w:val="32"/>
    </w:rPr>
  </w:style>
  <w:style w:type="paragraph" w:styleId="7">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418" w:hanging="1418"/>
      <w:outlineLvl w:val="2"/>
    </w:pPr>
    <w:rPr>
      <w:b/>
      <w:sz w:val="32"/>
    </w:rPr>
  </w:style>
  <w:style w:type="paragraph" w:styleId="8">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1984" w:hanging="1984"/>
      <w:outlineLvl w:val="3"/>
    </w:pPr>
    <w:rPr>
      <w:rFonts w:ascii="Arial" w:hAnsi="Arial" w:eastAsia="黑体"/>
      <w:b/>
      <w:sz w:val="28"/>
    </w:rPr>
  </w:style>
  <w:style w:type="paragraph" w:styleId="9">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2551" w:hanging="2551"/>
      <w:outlineLvl w:val="4"/>
    </w:pPr>
    <w:rPr>
      <w:b/>
      <w:sz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4"/>
    <w:qFormat/>
    <w:uiPriority w:val="0"/>
    <w:rPr>
      <w:sz w:val="20"/>
      <w:szCs w:val="20"/>
    </w:r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0">
    <w:name w:val="annotation text"/>
    <w:basedOn w:val="1"/>
    <w:qFormat/>
    <w:uiPriority w:val="0"/>
    <w:pPr>
      <w:jc w:val="left"/>
    </w:pPr>
  </w:style>
  <w:style w:type="paragraph" w:styleId="13">
    <w:name w:val="List Paragraph"/>
    <w:basedOn w:val="1"/>
    <w:qFormat/>
    <w:uiPriority w:val="34"/>
    <w:pPr>
      <w:ind w:firstLine="42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7193</Words>
  <Characters>7345</Characters>
  <Lines>0</Lines>
  <Paragraphs>0</Paragraphs>
  <TotalTime>0</TotalTime>
  <ScaleCrop>false</ScaleCrop>
  <LinksUpToDate>false</LinksUpToDate>
  <CharactersWithSpaces>7359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2024-07-26T03:40:00Z</dcterms:created>
  <dc:creator>ZL-Sumoio</dc:creator>
  <cp:lastModifiedBy>ZL-Sumoio</cp:lastModifiedBy>
  <dcterms:modified xsi:type="dcterms:W3CDTF">2024-09-20T04:42:07Z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A1EF8D4846E64DF78E0A22E72BF75B77_13</vt:lpwstr>
  </property>
</Properties>
</file>