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6EEB98">
      <w:pPr>
        <w:spacing w:line="360" w:lineRule="auto"/>
        <w:jc w:val="center"/>
        <w:outlineLvl w:val="9"/>
        <w:rPr>
          <w:rFonts w:hint="eastAsia" w:ascii="宋体" w:hAnsi="宋体" w:eastAsia="宋体" w:cs="宋体"/>
          <w:b/>
          <w:sz w:val="28"/>
          <w:szCs w:val="28"/>
        </w:rPr>
      </w:pPr>
      <w:r>
        <w:rPr>
          <w:rFonts w:hint="eastAsia" w:ascii="宋体" w:hAnsi="宋体" w:eastAsia="宋体" w:cs="宋体"/>
          <w:b/>
          <w:sz w:val="28"/>
          <w:szCs w:val="28"/>
        </w:rPr>
        <w:t>采购包</w:t>
      </w:r>
      <w:r>
        <w:rPr>
          <w:rFonts w:hint="eastAsia" w:ascii="宋体" w:hAnsi="宋体" w:eastAsia="宋体" w:cs="宋体"/>
          <w:b/>
          <w:sz w:val="28"/>
          <w:szCs w:val="28"/>
          <w:lang w:val="en-US" w:eastAsia="zh-CN"/>
        </w:rPr>
        <w:t>一</w:t>
      </w:r>
      <w:r>
        <w:rPr>
          <w:rFonts w:hint="eastAsia" w:ascii="宋体" w:hAnsi="宋体" w:eastAsia="宋体" w:cs="宋体"/>
          <w:b/>
          <w:sz w:val="28"/>
          <w:szCs w:val="28"/>
        </w:rPr>
        <w:t>（机房维护类）“★”条款汇总表</w:t>
      </w:r>
    </w:p>
    <w:p w14:paraId="1D14DEE6">
      <w:pPr>
        <w:spacing w:line="360" w:lineRule="auto"/>
        <w:jc w:val="center"/>
        <w:outlineLvl w:val="9"/>
        <w:rPr>
          <w:rFonts w:hint="eastAsia" w:ascii="宋体" w:hAnsi="宋体" w:eastAsia="宋体" w:cs="宋体"/>
          <w:sz w:val="28"/>
          <w:szCs w:val="28"/>
        </w:rPr>
      </w:pPr>
      <w:r>
        <w:rPr>
          <w:rFonts w:hint="eastAsia" w:ascii="宋体" w:hAnsi="宋体" w:eastAsia="宋体" w:cs="宋体"/>
          <w:b/>
          <w:sz w:val="28"/>
          <w:szCs w:val="28"/>
        </w:rPr>
        <w:t>《技术和服务要求响应表》</w:t>
      </w:r>
    </w:p>
    <w:tbl>
      <w:tblPr>
        <w:tblStyle w:val="1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34"/>
        <w:gridCol w:w="653"/>
        <w:gridCol w:w="553"/>
        <w:gridCol w:w="7589"/>
        <w:gridCol w:w="1444"/>
        <w:gridCol w:w="688"/>
        <w:gridCol w:w="845"/>
        <w:gridCol w:w="984"/>
        <w:gridCol w:w="784"/>
      </w:tblGrid>
      <w:tr w14:paraId="4262F3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8" w:hRule="atLeast"/>
        </w:trPr>
        <w:tc>
          <w:tcPr>
            <w:tcW w:w="634" w:type="dxa"/>
            <w:vAlign w:val="center"/>
          </w:tcPr>
          <w:p w14:paraId="30658A8E">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sz w:val="22"/>
                <w:szCs w:val="22"/>
                <w:highlight w:val="none"/>
              </w:rPr>
              <w:t>序号</w:t>
            </w:r>
          </w:p>
        </w:tc>
        <w:tc>
          <w:tcPr>
            <w:tcW w:w="653" w:type="dxa"/>
            <w:vAlign w:val="center"/>
          </w:tcPr>
          <w:p w14:paraId="15B68395">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标的名称</w:t>
            </w:r>
          </w:p>
        </w:tc>
        <w:tc>
          <w:tcPr>
            <w:tcW w:w="553" w:type="dxa"/>
            <w:vAlign w:val="center"/>
          </w:tcPr>
          <w:p w14:paraId="64B1A386">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参数性质</w:t>
            </w:r>
          </w:p>
        </w:tc>
        <w:tc>
          <w:tcPr>
            <w:tcW w:w="7589" w:type="dxa"/>
            <w:vAlign w:val="center"/>
          </w:tcPr>
          <w:p w14:paraId="3DEC7BE6">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采购文件规定的技术和服务要求</w:t>
            </w:r>
          </w:p>
        </w:tc>
        <w:tc>
          <w:tcPr>
            <w:tcW w:w="1444" w:type="dxa"/>
            <w:vAlign w:val="center"/>
          </w:tcPr>
          <w:p w14:paraId="70982E8A">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投标文件响应的具体内容</w:t>
            </w:r>
          </w:p>
        </w:tc>
        <w:tc>
          <w:tcPr>
            <w:tcW w:w="688" w:type="dxa"/>
            <w:vAlign w:val="center"/>
          </w:tcPr>
          <w:p w14:paraId="108538E4">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型号</w:t>
            </w:r>
          </w:p>
        </w:tc>
        <w:tc>
          <w:tcPr>
            <w:tcW w:w="845" w:type="dxa"/>
            <w:vAlign w:val="center"/>
          </w:tcPr>
          <w:p w14:paraId="5D38D928">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是否偏离</w:t>
            </w:r>
          </w:p>
        </w:tc>
        <w:tc>
          <w:tcPr>
            <w:tcW w:w="984" w:type="dxa"/>
            <w:vAlign w:val="center"/>
          </w:tcPr>
          <w:p w14:paraId="40758014">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证明文件所在位置</w:t>
            </w:r>
          </w:p>
        </w:tc>
        <w:tc>
          <w:tcPr>
            <w:tcW w:w="784" w:type="dxa"/>
            <w:vAlign w:val="center"/>
          </w:tcPr>
          <w:p w14:paraId="18FD1ABA">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备注</w:t>
            </w:r>
          </w:p>
        </w:tc>
      </w:tr>
      <w:tr w14:paraId="35A05B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8" w:hRule="atLeast"/>
        </w:trPr>
        <w:tc>
          <w:tcPr>
            <w:tcW w:w="634" w:type="dxa"/>
          </w:tcPr>
          <w:p w14:paraId="4813C1C2">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1</w:t>
            </w:r>
          </w:p>
        </w:tc>
        <w:tc>
          <w:tcPr>
            <w:tcW w:w="653" w:type="dxa"/>
          </w:tcPr>
          <w:p w14:paraId="66A9B41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457D1CE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2"/>
                <w:szCs w:val="22"/>
              </w:rPr>
            </w:pPr>
            <w:r>
              <w:rPr>
                <w:rFonts w:hint="eastAsia" w:ascii="宋体" w:hAnsi="宋体" w:eastAsia="宋体" w:cs="宋体"/>
                <w:sz w:val="22"/>
                <w:szCs w:val="22"/>
              </w:rPr>
              <w:t>★</w:t>
            </w:r>
          </w:p>
        </w:tc>
        <w:tc>
          <w:tcPr>
            <w:tcW w:w="7589" w:type="dxa"/>
          </w:tcPr>
          <w:p w14:paraId="3C2FCBD1">
            <w:pPr>
              <w:pageBreakBefore w:val="0"/>
              <w:kinsoku/>
              <w:wordWrap/>
              <w:overflowPunct/>
              <w:topLinePunct w:val="0"/>
              <w:autoSpaceDE/>
              <w:autoSpaceDN/>
              <w:bidi w:val="0"/>
              <w:spacing w:line="360" w:lineRule="auto"/>
              <w:textAlignment w:val="auto"/>
              <w:outlineLvl w:val="1"/>
              <w:rPr>
                <w:rFonts w:hint="eastAsia" w:ascii="宋体" w:hAnsi="宋体" w:eastAsia="宋体" w:cs="宋体"/>
                <w:sz w:val="22"/>
                <w:szCs w:val="22"/>
              </w:rPr>
            </w:pPr>
            <w:bookmarkStart w:id="0" w:name="_Toc17330"/>
            <w:bookmarkStart w:id="1" w:name="_Toc27196"/>
            <w:bookmarkStart w:id="2" w:name="_Toc897"/>
            <w:bookmarkStart w:id="3" w:name="_Toc15927"/>
            <w:r>
              <w:rPr>
                <w:rFonts w:hint="eastAsia" w:ascii="宋体" w:hAnsi="宋体" w:eastAsia="宋体" w:cs="宋体"/>
                <w:b/>
                <w:sz w:val="22"/>
                <w:szCs w:val="22"/>
              </w:rPr>
              <w:t>一、项目概况：</w:t>
            </w:r>
            <w:bookmarkEnd w:id="0"/>
            <w:bookmarkEnd w:id="1"/>
            <w:bookmarkEnd w:id="2"/>
            <w:bookmarkEnd w:id="3"/>
          </w:p>
          <w:p w14:paraId="0AC119CD">
            <w:pPr>
              <w:pStyle w:val="17"/>
              <w:spacing w:line="360" w:lineRule="auto"/>
              <w:jc w:val="both"/>
              <w:rPr>
                <w:rFonts w:hint="eastAsia" w:ascii="宋体" w:hAnsi="宋体" w:eastAsia="宋体" w:cs="宋体"/>
                <w:sz w:val="22"/>
                <w:szCs w:val="22"/>
              </w:rPr>
            </w:pPr>
            <w:r>
              <w:rPr>
                <w:rFonts w:hint="eastAsia" w:ascii="宋体" w:hAnsi="宋体" w:eastAsia="宋体" w:cs="宋体"/>
                <w:sz w:val="22"/>
                <w:szCs w:val="22"/>
              </w:rPr>
              <w:t>★7.本项目兼投不兼中。</w:t>
            </w:r>
          </w:p>
          <w:p w14:paraId="76276B9A">
            <w:pPr>
              <w:pStyle w:val="17"/>
              <w:spacing w:line="360" w:lineRule="auto"/>
              <w:jc w:val="both"/>
              <w:rPr>
                <w:rFonts w:hint="eastAsia" w:ascii="宋体" w:hAnsi="宋体" w:eastAsia="宋体" w:cs="宋体"/>
                <w:sz w:val="22"/>
                <w:szCs w:val="22"/>
                <w:lang w:eastAsia="zh-CN"/>
              </w:rPr>
            </w:pP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1</w:t>
            </w:r>
            <w:r>
              <w:rPr>
                <w:rFonts w:hint="eastAsia" w:ascii="宋体" w:hAnsi="宋体" w:eastAsia="宋体" w:cs="宋体"/>
                <w:sz w:val="22"/>
                <w:szCs w:val="22"/>
                <w:lang w:eastAsia="zh-CN"/>
              </w:rPr>
              <w:t>）</w:t>
            </w:r>
            <w:r>
              <w:rPr>
                <w:rFonts w:hint="eastAsia" w:ascii="宋体" w:hAnsi="宋体" w:eastAsia="宋体" w:cs="宋体"/>
                <w:sz w:val="22"/>
                <w:szCs w:val="22"/>
              </w:rPr>
              <w:t>每个投标人最多只能被确定为1个采购包组的第一中标候选人。</w:t>
            </w:r>
          </w:p>
          <w:p w14:paraId="61D40C5C">
            <w:pPr>
              <w:pStyle w:val="17"/>
              <w:spacing w:line="360" w:lineRule="auto"/>
              <w:jc w:val="both"/>
              <w:rPr>
                <w:rFonts w:hint="eastAsia" w:ascii="宋体" w:hAnsi="宋体" w:eastAsia="宋体" w:cs="宋体"/>
                <w:sz w:val="22"/>
                <w:szCs w:val="22"/>
              </w:rPr>
            </w:pP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2</w:t>
            </w:r>
            <w:r>
              <w:rPr>
                <w:rFonts w:hint="eastAsia" w:ascii="宋体" w:hAnsi="宋体" w:eastAsia="宋体" w:cs="宋体"/>
                <w:sz w:val="22"/>
                <w:szCs w:val="22"/>
                <w:lang w:eastAsia="zh-CN"/>
              </w:rPr>
              <w:t>）</w:t>
            </w:r>
            <w:r>
              <w:rPr>
                <w:rFonts w:hint="eastAsia" w:ascii="宋体" w:hAnsi="宋体" w:eastAsia="宋体" w:cs="宋体"/>
                <w:sz w:val="22"/>
                <w:szCs w:val="22"/>
              </w:rPr>
              <w:t>本项目按采购包组的顺序进行评审，依次按照评标总得分由高到低的顺序，每</w:t>
            </w:r>
            <w:r>
              <w:rPr>
                <w:rFonts w:hint="eastAsia" w:ascii="宋体" w:hAnsi="宋体" w:eastAsia="宋体" w:cs="宋体"/>
                <w:sz w:val="22"/>
                <w:szCs w:val="22"/>
                <w:lang w:val="en-US" w:eastAsia="zh-CN"/>
              </w:rPr>
              <w:t>个</w:t>
            </w:r>
            <w:r>
              <w:rPr>
                <w:rFonts w:hint="eastAsia" w:ascii="宋体" w:hAnsi="宋体" w:eastAsia="宋体" w:cs="宋体"/>
                <w:sz w:val="22"/>
                <w:szCs w:val="22"/>
              </w:rPr>
              <w:t>采购包推荐3名中标候选人。</w:t>
            </w:r>
          </w:p>
          <w:p w14:paraId="7DA73309">
            <w:pPr>
              <w:pStyle w:val="17"/>
              <w:spacing w:line="360" w:lineRule="auto"/>
              <w:jc w:val="both"/>
              <w:rPr>
                <w:rFonts w:hint="eastAsia" w:ascii="宋体" w:hAnsi="宋体" w:eastAsia="宋体" w:cs="宋体"/>
                <w:sz w:val="22"/>
                <w:szCs w:val="22"/>
                <w:lang w:eastAsia="zh-CN"/>
              </w:rPr>
            </w:pP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3</w:t>
            </w:r>
            <w:r>
              <w:rPr>
                <w:rFonts w:hint="eastAsia" w:ascii="宋体" w:hAnsi="宋体" w:eastAsia="宋体" w:cs="宋体"/>
                <w:sz w:val="22"/>
                <w:szCs w:val="22"/>
                <w:lang w:eastAsia="zh-CN"/>
              </w:rPr>
              <w:t>）</w:t>
            </w:r>
            <w:r>
              <w:rPr>
                <w:rFonts w:hint="eastAsia" w:ascii="宋体" w:hAnsi="宋体" w:eastAsia="宋体" w:cs="宋体"/>
                <w:sz w:val="22"/>
                <w:szCs w:val="22"/>
              </w:rPr>
              <w:t>已获得采购包1的第一中标候选人资格的，将不再具有采购包2的参与评标资格</w:t>
            </w:r>
            <w:r>
              <w:rPr>
                <w:rFonts w:hint="eastAsia" w:ascii="宋体" w:hAnsi="宋体" w:eastAsia="宋体" w:cs="宋体"/>
                <w:sz w:val="22"/>
                <w:szCs w:val="22"/>
                <w:lang w:eastAsia="zh-CN"/>
              </w:rPr>
              <w:t>。</w:t>
            </w:r>
          </w:p>
          <w:p w14:paraId="7BE4D13F">
            <w:pPr>
              <w:pStyle w:val="17"/>
              <w:spacing w:line="360" w:lineRule="auto"/>
              <w:jc w:val="both"/>
              <w:rPr>
                <w:rFonts w:hint="eastAsia" w:ascii="宋体" w:hAnsi="宋体" w:eastAsia="宋体" w:cs="宋体"/>
                <w:b w:val="0"/>
                <w:bCs w:val="0"/>
                <w:sz w:val="22"/>
                <w:szCs w:val="22"/>
                <w:u w:val="none"/>
                <w:lang w:val="en-US" w:eastAsia="zh-CN"/>
              </w:rPr>
            </w:pP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4</w:t>
            </w:r>
            <w:r>
              <w:rPr>
                <w:rFonts w:hint="eastAsia" w:ascii="宋体" w:hAnsi="宋体" w:eastAsia="宋体" w:cs="宋体"/>
                <w:sz w:val="22"/>
                <w:szCs w:val="22"/>
                <w:lang w:eastAsia="zh-CN"/>
              </w:rPr>
              <w:t>）</w:t>
            </w:r>
            <w:r>
              <w:rPr>
                <w:rFonts w:hint="eastAsia" w:ascii="宋体" w:hAnsi="宋体" w:eastAsia="宋体" w:cs="宋体"/>
                <w:sz w:val="22"/>
                <w:szCs w:val="22"/>
              </w:rPr>
              <w:t>采购包</w:t>
            </w:r>
            <w:r>
              <w:rPr>
                <w:rFonts w:hint="eastAsia" w:ascii="宋体" w:hAnsi="宋体" w:eastAsia="宋体" w:cs="宋体"/>
                <w:sz w:val="22"/>
                <w:szCs w:val="22"/>
                <w:lang w:val="en-US" w:eastAsia="zh-CN"/>
              </w:rPr>
              <w:t>1根据评审结果</w:t>
            </w:r>
            <w:r>
              <w:rPr>
                <w:rFonts w:hint="eastAsia" w:ascii="宋体" w:hAnsi="宋体" w:eastAsia="宋体" w:cs="宋体"/>
                <w:sz w:val="22"/>
                <w:szCs w:val="22"/>
              </w:rPr>
              <w:t>依次按照评标总得分由高到低的顺序，选取排名第一的投标</w:t>
            </w:r>
            <w:r>
              <w:rPr>
                <w:rFonts w:hint="eastAsia" w:ascii="宋体" w:hAnsi="宋体" w:eastAsia="宋体" w:cs="宋体"/>
                <w:sz w:val="22"/>
                <w:szCs w:val="22"/>
                <w:lang w:val="en-US" w:eastAsia="zh-CN"/>
              </w:rPr>
              <w:t>人</w:t>
            </w:r>
            <w:r>
              <w:rPr>
                <w:rFonts w:hint="eastAsia" w:ascii="宋体" w:hAnsi="宋体" w:eastAsia="宋体" w:cs="宋体"/>
                <w:sz w:val="22"/>
                <w:szCs w:val="22"/>
              </w:rPr>
              <w:t>为采购包</w:t>
            </w:r>
            <w:r>
              <w:rPr>
                <w:rFonts w:hint="eastAsia" w:ascii="宋体" w:hAnsi="宋体" w:eastAsia="宋体" w:cs="宋体"/>
                <w:sz w:val="22"/>
                <w:szCs w:val="22"/>
                <w:lang w:val="en-US" w:eastAsia="zh-CN"/>
              </w:rPr>
              <w:t>1</w:t>
            </w:r>
            <w:r>
              <w:rPr>
                <w:rFonts w:hint="eastAsia" w:ascii="宋体" w:hAnsi="宋体" w:eastAsia="宋体" w:cs="宋体"/>
                <w:sz w:val="22"/>
                <w:szCs w:val="22"/>
              </w:rPr>
              <w:t>的第一中标候选人</w:t>
            </w:r>
            <w:r>
              <w:rPr>
                <w:rFonts w:hint="eastAsia" w:ascii="宋体" w:hAnsi="宋体" w:eastAsia="宋体" w:cs="宋体"/>
                <w:sz w:val="22"/>
                <w:szCs w:val="22"/>
                <w:lang w:eastAsia="zh-CN"/>
              </w:rPr>
              <w:t>，</w:t>
            </w:r>
            <w:r>
              <w:rPr>
                <w:rFonts w:hint="eastAsia" w:ascii="宋体" w:hAnsi="宋体" w:eastAsia="宋体" w:cs="宋体"/>
                <w:sz w:val="22"/>
                <w:szCs w:val="22"/>
              </w:rPr>
              <w:t>排名第二的投标</w:t>
            </w:r>
            <w:r>
              <w:rPr>
                <w:rFonts w:hint="eastAsia" w:ascii="宋体" w:hAnsi="宋体" w:eastAsia="宋体" w:cs="宋体"/>
                <w:sz w:val="22"/>
                <w:szCs w:val="22"/>
                <w:lang w:val="en-US" w:eastAsia="zh-CN"/>
              </w:rPr>
              <w:t>人</w:t>
            </w:r>
            <w:r>
              <w:rPr>
                <w:rFonts w:hint="eastAsia" w:ascii="宋体" w:hAnsi="宋体" w:eastAsia="宋体" w:cs="宋体"/>
                <w:sz w:val="22"/>
                <w:szCs w:val="22"/>
              </w:rPr>
              <w:t>为第二中标候选人</w:t>
            </w:r>
            <w:r>
              <w:rPr>
                <w:rFonts w:hint="eastAsia" w:ascii="宋体" w:hAnsi="宋体" w:eastAsia="宋体" w:cs="宋体"/>
                <w:sz w:val="22"/>
                <w:szCs w:val="22"/>
                <w:lang w:eastAsia="zh-CN"/>
              </w:rPr>
              <w:t>，</w:t>
            </w:r>
            <w:r>
              <w:rPr>
                <w:rFonts w:hint="eastAsia" w:ascii="宋体" w:hAnsi="宋体" w:eastAsia="宋体" w:cs="宋体"/>
                <w:sz w:val="22"/>
                <w:szCs w:val="22"/>
              </w:rPr>
              <w:t>排名第三的</w:t>
            </w:r>
            <w:r>
              <w:rPr>
                <w:rFonts w:hint="eastAsia" w:ascii="宋体" w:hAnsi="宋体" w:eastAsia="宋体" w:cs="宋体"/>
                <w:sz w:val="22"/>
                <w:szCs w:val="22"/>
                <w:lang w:val="en-US" w:eastAsia="zh-CN"/>
              </w:rPr>
              <w:t>投标人</w:t>
            </w:r>
            <w:r>
              <w:rPr>
                <w:rFonts w:hint="eastAsia" w:ascii="宋体" w:hAnsi="宋体" w:eastAsia="宋体" w:cs="宋体"/>
                <w:sz w:val="22"/>
                <w:szCs w:val="22"/>
              </w:rPr>
              <w:t>为第三中标候选人；采购包</w:t>
            </w:r>
            <w:r>
              <w:rPr>
                <w:rFonts w:hint="eastAsia" w:ascii="宋体" w:hAnsi="宋体" w:eastAsia="宋体" w:cs="宋体"/>
                <w:sz w:val="22"/>
                <w:szCs w:val="22"/>
                <w:lang w:val="en-US" w:eastAsia="zh-CN"/>
              </w:rPr>
              <w:t>2</w:t>
            </w:r>
            <w:r>
              <w:rPr>
                <w:rFonts w:hint="eastAsia" w:ascii="宋体" w:hAnsi="宋体" w:eastAsia="宋体" w:cs="宋体"/>
                <w:sz w:val="22"/>
                <w:szCs w:val="22"/>
              </w:rPr>
              <w:t>从具有</w:t>
            </w:r>
            <w:r>
              <w:rPr>
                <w:rFonts w:hint="eastAsia" w:ascii="宋体" w:hAnsi="宋体" w:eastAsia="宋体" w:cs="宋体"/>
                <w:sz w:val="22"/>
                <w:szCs w:val="22"/>
                <w:lang w:val="en-US" w:eastAsia="zh-CN"/>
              </w:rPr>
              <w:t>参与评标</w:t>
            </w:r>
            <w:r>
              <w:rPr>
                <w:rFonts w:hint="eastAsia" w:ascii="宋体" w:hAnsi="宋体" w:eastAsia="宋体" w:cs="宋体"/>
                <w:sz w:val="22"/>
                <w:szCs w:val="22"/>
              </w:rPr>
              <w:t>资格的投标人中，</w:t>
            </w:r>
            <w:r>
              <w:rPr>
                <w:rFonts w:hint="eastAsia" w:ascii="宋体" w:hAnsi="宋体" w:eastAsia="宋体" w:cs="宋体"/>
                <w:sz w:val="22"/>
                <w:szCs w:val="22"/>
                <w:lang w:val="en-US" w:eastAsia="zh-CN"/>
              </w:rPr>
              <w:t>根据评审结果</w:t>
            </w:r>
            <w:r>
              <w:rPr>
                <w:rFonts w:hint="eastAsia" w:ascii="宋体" w:hAnsi="宋体" w:eastAsia="宋体" w:cs="宋体"/>
                <w:sz w:val="22"/>
                <w:szCs w:val="22"/>
              </w:rPr>
              <w:t>依次按照评标总得分由高到低的顺序，选取排名第一的投标</w:t>
            </w:r>
            <w:r>
              <w:rPr>
                <w:rFonts w:hint="eastAsia" w:ascii="宋体" w:hAnsi="宋体" w:eastAsia="宋体" w:cs="宋体"/>
                <w:sz w:val="22"/>
                <w:szCs w:val="22"/>
                <w:lang w:val="en-US" w:eastAsia="zh-CN"/>
              </w:rPr>
              <w:t>人</w:t>
            </w:r>
            <w:r>
              <w:rPr>
                <w:rFonts w:hint="eastAsia" w:ascii="宋体" w:hAnsi="宋体" w:eastAsia="宋体" w:cs="宋体"/>
                <w:sz w:val="22"/>
                <w:szCs w:val="22"/>
              </w:rPr>
              <w:t>为采购包2的第一中标候选人</w:t>
            </w:r>
            <w:r>
              <w:rPr>
                <w:rFonts w:hint="eastAsia" w:ascii="宋体" w:hAnsi="宋体" w:eastAsia="宋体" w:cs="宋体"/>
                <w:sz w:val="22"/>
                <w:szCs w:val="22"/>
                <w:lang w:eastAsia="zh-CN"/>
              </w:rPr>
              <w:t>，</w:t>
            </w:r>
            <w:r>
              <w:rPr>
                <w:rFonts w:hint="eastAsia" w:ascii="宋体" w:hAnsi="宋体" w:eastAsia="宋体" w:cs="宋体"/>
                <w:sz w:val="22"/>
                <w:szCs w:val="22"/>
              </w:rPr>
              <w:t>排名第二的投标</w:t>
            </w:r>
            <w:r>
              <w:rPr>
                <w:rFonts w:hint="eastAsia" w:ascii="宋体" w:hAnsi="宋体" w:eastAsia="宋体" w:cs="宋体"/>
                <w:sz w:val="22"/>
                <w:szCs w:val="22"/>
                <w:lang w:val="en-US" w:eastAsia="zh-CN"/>
              </w:rPr>
              <w:t>人</w:t>
            </w:r>
            <w:r>
              <w:rPr>
                <w:rFonts w:hint="eastAsia" w:ascii="宋体" w:hAnsi="宋体" w:eastAsia="宋体" w:cs="宋体"/>
                <w:sz w:val="22"/>
                <w:szCs w:val="22"/>
              </w:rPr>
              <w:t>为第二中标候选人，排名第三的</w:t>
            </w:r>
            <w:r>
              <w:rPr>
                <w:rFonts w:hint="eastAsia" w:ascii="宋体" w:hAnsi="宋体" w:eastAsia="宋体" w:cs="宋体"/>
                <w:sz w:val="22"/>
                <w:szCs w:val="22"/>
                <w:lang w:val="en-US" w:eastAsia="zh-CN"/>
              </w:rPr>
              <w:t>投标人</w:t>
            </w:r>
            <w:r>
              <w:rPr>
                <w:rFonts w:hint="eastAsia" w:ascii="宋体" w:hAnsi="宋体" w:eastAsia="宋体" w:cs="宋体"/>
                <w:sz w:val="22"/>
                <w:szCs w:val="22"/>
              </w:rPr>
              <w:t>为第三中标候选人</w:t>
            </w:r>
            <w:r>
              <w:rPr>
                <w:rFonts w:hint="eastAsia" w:ascii="宋体" w:hAnsi="宋体" w:eastAsia="宋体" w:cs="宋体"/>
                <w:sz w:val="22"/>
                <w:szCs w:val="22"/>
                <w:lang w:eastAsia="zh-CN"/>
              </w:rPr>
              <w:t>。</w:t>
            </w:r>
          </w:p>
        </w:tc>
        <w:tc>
          <w:tcPr>
            <w:tcW w:w="1444" w:type="dxa"/>
          </w:tcPr>
          <w:p w14:paraId="6C658A3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0F997FE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428812F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55EC9E3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430D4B8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5242F0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8" w:hRule="atLeast"/>
        </w:trPr>
        <w:tc>
          <w:tcPr>
            <w:tcW w:w="634" w:type="dxa"/>
          </w:tcPr>
          <w:p w14:paraId="4153B824">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kern w:val="2"/>
                <w:sz w:val="22"/>
                <w:szCs w:val="22"/>
                <w:highlight w:val="none"/>
                <w:lang w:val="en-US" w:eastAsia="zh-CN" w:bidi="ar-SA"/>
              </w:rPr>
              <w:t>2</w:t>
            </w:r>
          </w:p>
        </w:tc>
        <w:tc>
          <w:tcPr>
            <w:tcW w:w="653" w:type="dxa"/>
          </w:tcPr>
          <w:p w14:paraId="7E81C1E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3941AF1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sz w:val="22"/>
                <w:szCs w:val="22"/>
              </w:rPr>
              <w:t>★</w:t>
            </w:r>
          </w:p>
        </w:tc>
        <w:tc>
          <w:tcPr>
            <w:tcW w:w="7589" w:type="dxa"/>
          </w:tcPr>
          <w:p w14:paraId="20171A34">
            <w:pPr>
              <w:pStyle w:val="8"/>
              <w:pageBreakBefore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rPr>
            </w:pPr>
            <w:r>
              <w:rPr>
                <w:rFonts w:hint="eastAsia" w:ascii="宋体" w:hAnsi="宋体" w:eastAsia="宋体" w:cs="宋体"/>
                <w:sz w:val="22"/>
                <w:szCs w:val="22"/>
              </w:rPr>
              <w:t>其他商务需求</w:t>
            </w:r>
            <w:r>
              <w:rPr>
                <w:rFonts w:hint="eastAsia" w:ascii="宋体" w:hAnsi="宋体" w:eastAsia="宋体" w:cs="宋体"/>
                <w:sz w:val="22"/>
                <w:szCs w:val="22"/>
                <w:lang w:val="en-US" w:eastAsia="zh-CN"/>
              </w:rPr>
              <w:t>-</w:t>
            </w:r>
            <w:r>
              <w:rPr>
                <w:rFonts w:hint="eastAsia" w:ascii="宋体" w:hAnsi="宋体" w:eastAsia="宋体" w:cs="宋体"/>
                <w:sz w:val="22"/>
                <w:szCs w:val="22"/>
              </w:rPr>
              <w:t>报价要求</w:t>
            </w:r>
          </w:p>
          <w:p w14:paraId="152649B3">
            <w:pPr>
              <w:numPr>
                <w:ilvl w:val="-1"/>
                <w:numId w:val="0"/>
              </w:numPr>
              <w:spacing w:line="360" w:lineRule="auto"/>
              <w:ind w:left="0" w:leftChars="0" w:firstLine="0" w:firstLineChars="0"/>
              <w:jc w:val="left"/>
              <w:rPr>
                <w:rFonts w:hint="eastAsia" w:ascii="宋体" w:hAnsi="宋体" w:eastAsia="宋体" w:cs="宋体"/>
                <w:sz w:val="22"/>
                <w:szCs w:val="22"/>
              </w:rPr>
            </w:pPr>
            <w:r>
              <w:rPr>
                <w:rFonts w:hint="eastAsia" w:ascii="宋体" w:hAnsi="宋体" w:eastAsia="宋体" w:cs="宋体"/>
                <w:kern w:val="2"/>
                <w:sz w:val="22"/>
                <w:szCs w:val="22"/>
                <w:lang w:val="en-US" w:eastAsia="zh-CN" w:bidi="ar-SA"/>
              </w:rPr>
              <w:t>1.本采购包采用总价报价，</w:t>
            </w:r>
            <w:r>
              <w:rPr>
                <w:rFonts w:hint="eastAsia" w:ascii="宋体" w:hAnsi="宋体" w:eastAsia="宋体" w:cs="宋体"/>
                <w:sz w:val="22"/>
                <w:szCs w:val="22"/>
              </w:rPr>
              <w:t>投标报价不得超过本采购包预算金额，否则视为无效报价</w:t>
            </w:r>
            <w:r>
              <w:rPr>
                <w:rFonts w:hint="eastAsia" w:ascii="宋体" w:hAnsi="宋体" w:eastAsia="宋体" w:cs="宋体"/>
                <w:sz w:val="22"/>
                <w:szCs w:val="22"/>
                <w:lang w:eastAsia="zh-CN"/>
              </w:rPr>
              <w:t>；</w:t>
            </w:r>
            <w:r>
              <w:rPr>
                <w:rFonts w:hint="eastAsia" w:ascii="宋体" w:hAnsi="宋体" w:eastAsia="宋体" w:cs="宋体"/>
                <w:sz w:val="22"/>
                <w:szCs w:val="22"/>
              </w:rPr>
              <w:t xml:space="preserve">  </w:t>
            </w:r>
          </w:p>
          <w:p w14:paraId="354E5224">
            <w:pPr>
              <w:numPr>
                <w:ilvl w:val="-1"/>
                <w:numId w:val="0"/>
              </w:numPr>
              <w:spacing w:line="360" w:lineRule="auto"/>
              <w:ind w:leftChars="0"/>
              <w:jc w:val="lef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2.报价要求：（1）投标人无需在投标客户端中进行分项报价；</w:t>
            </w:r>
          </w:p>
          <w:p w14:paraId="19D1ABE1">
            <w:pPr>
              <w:numPr>
                <w:ilvl w:val="-1"/>
                <w:numId w:val="0"/>
              </w:numPr>
              <w:spacing w:line="360" w:lineRule="auto"/>
              <w:ind w:leftChars="0"/>
              <w:jc w:val="left"/>
              <w:rPr>
                <w:rFonts w:hint="eastAsia" w:ascii="宋体" w:hAnsi="宋体" w:eastAsia="宋体" w:cs="宋体"/>
                <w:sz w:val="22"/>
                <w:szCs w:val="22"/>
              </w:rPr>
            </w:pPr>
            <w:r>
              <w:rPr>
                <w:rFonts w:hint="eastAsia" w:ascii="宋体" w:hAnsi="宋体" w:eastAsia="宋体" w:cs="宋体"/>
                <w:sz w:val="22"/>
                <w:szCs w:val="22"/>
                <w:lang w:val="en-US" w:eastAsia="zh-CN"/>
              </w:rPr>
              <w:t>（2）请按招标公告“附件2：采购包一（机房维护类）分项报价表”格式填写分项报价附在投标文件中，每机柜每月费用将作为中标后结算依据；</w:t>
            </w:r>
          </w:p>
          <w:p w14:paraId="232D7545">
            <w:pPr>
              <w:numPr>
                <w:ilvl w:val="-1"/>
                <w:numId w:val="0"/>
              </w:numPr>
              <w:spacing w:line="360" w:lineRule="auto"/>
              <w:ind w:left="0" w:leftChars="0" w:firstLine="0" w:firstLineChars="0"/>
              <w:jc w:val="left"/>
              <w:rPr>
                <w:rFonts w:hint="eastAsia" w:ascii="宋体" w:hAnsi="宋体" w:eastAsia="宋体" w:cs="宋体"/>
                <w:sz w:val="22"/>
                <w:szCs w:val="22"/>
                <w:lang w:eastAsia="zh-CN"/>
              </w:rPr>
            </w:pPr>
            <w:r>
              <w:rPr>
                <w:rFonts w:hint="eastAsia" w:ascii="宋体" w:hAnsi="宋体" w:eastAsia="宋体" w:cs="宋体"/>
                <w:sz w:val="22"/>
                <w:szCs w:val="22"/>
                <w:u w:val="none"/>
                <w:lang w:val="en-US" w:eastAsia="zh-CN"/>
              </w:rPr>
              <w:t>（3）</w:t>
            </w:r>
            <w:r>
              <w:rPr>
                <w:rFonts w:hint="eastAsia" w:ascii="宋体" w:hAnsi="宋体" w:eastAsia="宋体" w:cs="宋体"/>
                <w:sz w:val="22"/>
                <w:szCs w:val="22"/>
              </w:rPr>
              <w:t>本项目为总价包干项目。本采购包报价包括但不限于：硬件、软件维护、第三方软件采购、安装、集成、运行、测试、培训、验收、技术服务、税费（包括关税、增值税）、人工、设备、耗材、运费、保险费、</w:t>
            </w:r>
            <w:r>
              <w:rPr>
                <w:rFonts w:hint="eastAsia" w:ascii="宋体" w:hAnsi="宋体" w:eastAsia="宋体" w:cs="宋体"/>
                <w:kern w:val="2"/>
                <w:sz w:val="22"/>
                <w:szCs w:val="22"/>
                <w:lang w:val="en-US" w:eastAsia="zh-CN" w:bidi="ar-SA"/>
              </w:rPr>
              <w:t>过渡支持期费用、</w:t>
            </w:r>
            <w:r>
              <w:rPr>
                <w:rFonts w:hint="eastAsia" w:ascii="宋体" w:hAnsi="宋体" w:eastAsia="宋体" w:cs="宋体"/>
                <w:sz w:val="22"/>
                <w:szCs w:val="22"/>
              </w:rPr>
              <w:t>资料等所有相关的全部费用</w:t>
            </w:r>
            <w:r>
              <w:rPr>
                <w:rFonts w:hint="eastAsia" w:ascii="宋体" w:hAnsi="宋体" w:eastAsia="宋体" w:cs="宋体"/>
                <w:sz w:val="22"/>
                <w:szCs w:val="22"/>
                <w:lang w:eastAsia="zh-CN"/>
              </w:rPr>
              <w:t>；</w:t>
            </w:r>
          </w:p>
          <w:p w14:paraId="51D31F20">
            <w:pPr>
              <w:pageBreakBefore w:val="0"/>
              <w:numPr>
                <w:ilvl w:val="0"/>
                <w:numId w:val="0"/>
              </w:numPr>
              <w:kinsoku/>
              <w:wordWrap/>
              <w:overflowPunct/>
              <w:topLinePunct w:val="0"/>
              <w:autoSpaceDE/>
              <w:autoSpaceDN/>
              <w:bidi w:val="0"/>
              <w:spacing w:line="360" w:lineRule="auto"/>
              <w:ind w:leftChars="0"/>
              <w:jc w:val="left"/>
              <w:textAlignment w:val="auto"/>
              <w:rPr>
                <w:rFonts w:hint="eastAsia" w:ascii="宋体" w:hAnsi="宋体" w:eastAsia="宋体" w:cs="宋体"/>
                <w:b w:val="0"/>
                <w:bCs w:val="0"/>
                <w:color w:val="auto"/>
                <w:sz w:val="22"/>
                <w:szCs w:val="22"/>
                <w:highlight w:val="none"/>
              </w:rPr>
            </w:pPr>
            <w:r>
              <w:rPr>
                <w:rFonts w:hint="eastAsia" w:ascii="宋体" w:hAnsi="宋体" w:eastAsia="宋体" w:cs="宋体"/>
                <w:sz w:val="22"/>
                <w:szCs w:val="22"/>
                <w:lang w:val="en-US" w:eastAsia="zh-CN"/>
              </w:rPr>
              <w:t>（4）</w:t>
            </w:r>
            <w:r>
              <w:rPr>
                <w:rFonts w:hint="eastAsia" w:ascii="宋体" w:hAnsi="宋体" w:eastAsia="宋体" w:cs="宋体"/>
                <w:sz w:val="22"/>
                <w:szCs w:val="22"/>
              </w:rPr>
              <w:t>中标人在运维</w:t>
            </w:r>
            <w:r>
              <w:rPr>
                <w:rFonts w:hint="eastAsia" w:ascii="宋体" w:hAnsi="宋体" w:eastAsia="宋体" w:cs="宋体"/>
                <w:sz w:val="22"/>
                <w:szCs w:val="22"/>
                <w:lang w:eastAsia="zh-CN"/>
              </w:rPr>
              <w:t>服务</w:t>
            </w:r>
            <w:r>
              <w:rPr>
                <w:rFonts w:hint="eastAsia" w:ascii="宋体" w:hAnsi="宋体" w:eastAsia="宋体" w:cs="宋体"/>
                <w:sz w:val="22"/>
                <w:szCs w:val="22"/>
              </w:rPr>
              <w:t>期间内履行本项目所有义务后，采购人</w:t>
            </w:r>
            <w:r>
              <w:rPr>
                <w:rFonts w:hint="eastAsia" w:ascii="宋体" w:hAnsi="宋体" w:eastAsia="宋体" w:cs="宋体"/>
                <w:sz w:val="22"/>
                <w:szCs w:val="22"/>
                <w:lang w:val="en-US" w:eastAsia="zh-CN"/>
              </w:rPr>
              <w:t>根据合同约定</w:t>
            </w:r>
            <w:r>
              <w:rPr>
                <w:rFonts w:hint="eastAsia" w:ascii="宋体" w:hAnsi="宋体" w:eastAsia="宋体" w:cs="宋体"/>
                <w:sz w:val="22"/>
                <w:szCs w:val="22"/>
              </w:rPr>
              <w:t>支付</w:t>
            </w:r>
            <w:r>
              <w:rPr>
                <w:rFonts w:hint="eastAsia" w:ascii="宋体" w:hAnsi="宋体" w:eastAsia="宋体" w:cs="宋体"/>
                <w:sz w:val="22"/>
                <w:szCs w:val="22"/>
                <w:lang w:val="en-US" w:eastAsia="zh-CN"/>
              </w:rPr>
              <w:t>相关</w:t>
            </w:r>
            <w:r>
              <w:rPr>
                <w:rFonts w:hint="eastAsia" w:ascii="宋体" w:hAnsi="宋体" w:eastAsia="宋体" w:cs="宋体"/>
                <w:sz w:val="22"/>
                <w:szCs w:val="22"/>
              </w:rPr>
              <w:t>费用</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不再另行支付合同约定以外的任何费用</w:t>
            </w:r>
            <w:r>
              <w:rPr>
                <w:rFonts w:hint="eastAsia" w:ascii="宋体" w:hAnsi="宋体" w:eastAsia="宋体" w:cs="宋体"/>
                <w:sz w:val="22"/>
                <w:szCs w:val="22"/>
              </w:rPr>
              <w:t>。由于部分子项目在运维期内可能停止运营，经采购人确认停止运营后，不再支付该子项目后续运维费，</w:t>
            </w:r>
            <w:r>
              <w:rPr>
                <w:rFonts w:hint="eastAsia" w:ascii="宋体" w:hAnsi="宋体" w:eastAsia="宋体" w:cs="宋体"/>
                <w:sz w:val="22"/>
                <w:szCs w:val="22"/>
                <w:lang w:val="en-US" w:eastAsia="zh-CN"/>
              </w:rPr>
              <w:t>运维费需按实际进行结算</w:t>
            </w:r>
            <w:r>
              <w:rPr>
                <w:rFonts w:hint="eastAsia" w:ascii="宋体" w:hAnsi="宋体" w:eastAsia="宋体" w:cs="宋体"/>
                <w:sz w:val="22"/>
                <w:szCs w:val="22"/>
              </w:rPr>
              <w:t>（不足一个月的按一个月结算）。</w:t>
            </w:r>
          </w:p>
        </w:tc>
        <w:tc>
          <w:tcPr>
            <w:tcW w:w="1444" w:type="dxa"/>
          </w:tcPr>
          <w:p w14:paraId="3F26533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549D4AD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282900F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1E838E4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1331456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5A6C22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643444E9">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kern w:val="2"/>
                <w:sz w:val="22"/>
                <w:szCs w:val="22"/>
                <w:highlight w:val="none"/>
                <w:lang w:val="en-US" w:eastAsia="zh-CN" w:bidi="ar-SA"/>
              </w:rPr>
              <w:t>3</w:t>
            </w:r>
          </w:p>
        </w:tc>
        <w:tc>
          <w:tcPr>
            <w:tcW w:w="653" w:type="dxa"/>
          </w:tcPr>
          <w:p w14:paraId="7E4E6C4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7D245F4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sz w:val="22"/>
                <w:szCs w:val="22"/>
              </w:rPr>
              <w:t>★</w:t>
            </w:r>
          </w:p>
        </w:tc>
        <w:tc>
          <w:tcPr>
            <w:tcW w:w="7589" w:type="dxa"/>
          </w:tcPr>
          <w:p w14:paraId="0CB5FB87">
            <w:pPr>
              <w:pageBreakBefore w:val="0"/>
              <w:kinsoku/>
              <w:wordWrap/>
              <w:overflowPunct/>
              <w:topLinePunct w:val="0"/>
              <w:autoSpaceDE/>
              <w:autoSpaceDN/>
              <w:bidi w:val="0"/>
              <w:spacing w:line="360" w:lineRule="auto"/>
              <w:textAlignment w:val="auto"/>
              <w:rPr>
                <w:rFonts w:hint="eastAsia" w:ascii="宋体" w:hAnsi="宋体" w:eastAsia="宋体" w:cs="宋体"/>
                <w:b/>
                <w:bCs/>
                <w:color w:val="auto"/>
                <w:sz w:val="22"/>
                <w:szCs w:val="22"/>
                <w:highlight w:val="none"/>
              </w:rPr>
            </w:pPr>
            <w:r>
              <w:rPr>
                <w:rFonts w:hint="eastAsia" w:ascii="宋体" w:hAnsi="宋体" w:eastAsia="宋体" w:cs="宋体"/>
                <w:b/>
                <w:bCs/>
                <w:sz w:val="22"/>
                <w:szCs w:val="22"/>
              </w:rPr>
              <w:t>其他商务需求</w:t>
            </w:r>
            <w:r>
              <w:rPr>
                <w:rFonts w:hint="eastAsia" w:ascii="宋体" w:hAnsi="宋体" w:eastAsia="宋体" w:cs="宋体"/>
                <w:b/>
                <w:bCs/>
                <w:sz w:val="22"/>
                <w:szCs w:val="22"/>
                <w:lang w:val="en-US" w:eastAsia="zh-CN"/>
              </w:rPr>
              <w:t>-</w:t>
            </w:r>
            <w:r>
              <w:rPr>
                <w:rFonts w:hint="eastAsia" w:ascii="宋体" w:hAnsi="宋体" w:eastAsia="宋体" w:cs="宋体"/>
                <w:b/>
                <w:bCs/>
                <w:color w:val="auto"/>
                <w:sz w:val="22"/>
                <w:szCs w:val="22"/>
                <w:highlight w:val="none"/>
              </w:rPr>
              <w:t>过渡支持期</w:t>
            </w:r>
          </w:p>
          <w:p w14:paraId="1E726DC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kern w:val="2"/>
                <w:sz w:val="22"/>
                <w:szCs w:val="22"/>
                <w:highlight w:val="none"/>
                <w:lang w:val="en-US" w:eastAsia="zh-CN" w:bidi="ar-SA"/>
              </w:rPr>
              <w:t>中标人从项目运维期满之日起，在新</w:t>
            </w:r>
            <w:bookmarkStart w:id="16" w:name="_GoBack"/>
            <w:bookmarkEnd w:id="16"/>
            <w:r>
              <w:rPr>
                <w:rFonts w:hint="eastAsia" w:ascii="宋体" w:hAnsi="宋体" w:eastAsia="宋体" w:cs="宋体"/>
                <w:kern w:val="2"/>
                <w:sz w:val="22"/>
                <w:szCs w:val="22"/>
                <w:highlight w:val="none"/>
                <w:lang w:val="en-US" w:eastAsia="zh-CN" w:bidi="ar-SA"/>
              </w:rPr>
              <w:t>中标人到位前免费继续提供1个月内的运维过渡支持服务，若本期中标人未中标下一期运维服务项目。则必须在下一期运维新中标人入场前提交运维服务工作移交清单并在2个月内配合完成工作移交。</w:t>
            </w:r>
          </w:p>
        </w:tc>
        <w:tc>
          <w:tcPr>
            <w:tcW w:w="1444" w:type="dxa"/>
          </w:tcPr>
          <w:p w14:paraId="200E160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00E54FC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1EE526C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4011C85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50EDD39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5ED8B8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27C5D6C4">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kern w:val="2"/>
                <w:sz w:val="22"/>
                <w:szCs w:val="22"/>
                <w:highlight w:val="none"/>
                <w:lang w:val="en-US" w:eastAsia="zh-CN" w:bidi="ar-SA"/>
              </w:rPr>
              <w:t>4</w:t>
            </w:r>
          </w:p>
        </w:tc>
        <w:tc>
          <w:tcPr>
            <w:tcW w:w="653" w:type="dxa"/>
          </w:tcPr>
          <w:p w14:paraId="4920A03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2648A02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sz w:val="22"/>
                <w:szCs w:val="22"/>
              </w:rPr>
              <w:t>★</w:t>
            </w:r>
          </w:p>
        </w:tc>
        <w:tc>
          <w:tcPr>
            <w:tcW w:w="7589" w:type="dxa"/>
          </w:tcPr>
          <w:p w14:paraId="286DE73D">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二、租用需求及内容</w:t>
            </w:r>
          </w:p>
          <w:p w14:paraId="4E90FD07">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w:t>
            </w:r>
            <w:r>
              <w:rPr>
                <w:rFonts w:hint="eastAsia" w:ascii="宋体" w:hAnsi="宋体" w:eastAsia="宋体" w:cs="宋体"/>
                <w:color w:val="auto"/>
                <w:sz w:val="22"/>
                <w:szCs w:val="22"/>
                <w:lang w:val="en-US" w:eastAsia="zh-CN"/>
              </w:rPr>
              <w:t>1.</w:t>
            </w:r>
            <w:r>
              <w:rPr>
                <w:rFonts w:hint="eastAsia" w:ascii="宋体" w:hAnsi="宋体" w:eastAsia="宋体" w:cs="宋体"/>
                <w:color w:val="auto"/>
                <w:sz w:val="22"/>
                <w:szCs w:val="22"/>
                <w:highlight w:val="none"/>
                <w:lang w:val="en-US" w:eastAsia="zh-CN"/>
              </w:rPr>
              <w:t>中标人必须提供不少于346个机柜的机房整体服务，包括机房用电、电源系统、温湿度控制系统、消防系统、综合布线、智能化管理系统等。服务</w:t>
            </w:r>
            <w:r>
              <w:rPr>
                <w:rFonts w:hint="eastAsia" w:ascii="宋体" w:hAnsi="宋体" w:eastAsia="宋体" w:cs="宋体"/>
                <w:color w:val="auto"/>
                <w:sz w:val="22"/>
                <w:szCs w:val="22"/>
                <w:highlight w:val="none"/>
              </w:rPr>
              <w:t>期</w:t>
            </w:r>
            <w:r>
              <w:rPr>
                <w:rFonts w:hint="eastAsia" w:ascii="宋体" w:hAnsi="宋体" w:eastAsia="宋体" w:cs="宋体"/>
                <w:sz w:val="22"/>
                <w:szCs w:val="22"/>
                <w:lang w:val="en-US" w:eastAsia="zh-CN"/>
              </w:rPr>
              <w:t>自</w:t>
            </w:r>
            <w:r>
              <w:rPr>
                <w:rFonts w:hint="eastAsia" w:ascii="宋体" w:hAnsi="宋体" w:eastAsia="宋体" w:cs="宋体"/>
                <w:sz w:val="22"/>
                <w:szCs w:val="22"/>
                <w:highlight w:val="none"/>
                <w:lang w:val="en-US" w:eastAsia="zh-CN"/>
              </w:rPr>
              <w:t>合同约定生效之日起33个月。</w:t>
            </w:r>
          </w:p>
        </w:tc>
        <w:tc>
          <w:tcPr>
            <w:tcW w:w="1444" w:type="dxa"/>
          </w:tcPr>
          <w:p w14:paraId="1501B29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4A41B6A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13636FB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078E44E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0E6DE0C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6BC386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013E121D">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kern w:val="2"/>
                <w:sz w:val="22"/>
                <w:szCs w:val="22"/>
                <w:highlight w:val="none"/>
                <w:lang w:val="en-US" w:eastAsia="zh-CN" w:bidi="ar-SA"/>
              </w:rPr>
              <w:t>5</w:t>
            </w:r>
          </w:p>
        </w:tc>
        <w:tc>
          <w:tcPr>
            <w:tcW w:w="653" w:type="dxa"/>
          </w:tcPr>
          <w:p w14:paraId="60167BB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2957B7C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color w:val="auto"/>
                <w:sz w:val="22"/>
                <w:szCs w:val="22"/>
              </w:rPr>
              <w:t>★</w:t>
            </w:r>
          </w:p>
        </w:tc>
        <w:tc>
          <w:tcPr>
            <w:tcW w:w="7589" w:type="dxa"/>
          </w:tcPr>
          <w:p w14:paraId="0B4E8E82">
            <w:pPr>
              <w:pStyle w:val="8"/>
              <w:keepNext/>
              <w:keepLines/>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Chars="0"/>
              <w:textAlignment w:val="auto"/>
              <w:rPr>
                <w:rFonts w:hint="eastAsia" w:ascii="宋体" w:hAnsi="宋体" w:eastAsia="宋体" w:cs="宋体"/>
                <w:color w:val="auto"/>
                <w:sz w:val="22"/>
                <w:szCs w:val="22"/>
              </w:rPr>
            </w:pPr>
            <w:r>
              <w:rPr>
                <w:rFonts w:hint="eastAsia" w:ascii="宋体" w:hAnsi="宋体" w:eastAsia="宋体" w:cs="宋体"/>
                <w:sz w:val="22"/>
                <w:szCs w:val="22"/>
                <w:lang w:val="en-US" w:eastAsia="zh-CN"/>
              </w:rPr>
              <w:t>（一）</w:t>
            </w:r>
            <w:r>
              <w:rPr>
                <w:rFonts w:hint="eastAsia" w:ascii="宋体" w:hAnsi="宋体" w:eastAsia="宋体" w:cs="宋体"/>
                <w:sz w:val="22"/>
                <w:szCs w:val="22"/>
              </w:rPr>
              <w:t>机房环境要求</w:t>
            </w:r>
          </w:p>
          <w:p w14:paraId="2CA737BF">
            <w:pPr>
              <w:pageBreakBefore w:val="0"/>
              <w:numPr>
                <w:ilvl w:val="0"/>
                <w:numId w:val="0"/>
              </w:numPr>
              <w:tabs>
                <w:tab w:val="left" w:pos="567"/>
              </w:tabs>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color w:val="auto"/>
                <w:sz w:val="22"/>
                <w:szCs w:val="22"/>
              </w:rPr>
              <w:t>★</w:t>
            </w:r>
            <w:r>
              <w:rPr>
                <w:rFonts w:hint="eastAsia" w:ascii="宋体" w:hAnsi="宋体" w:eastAsia="宋体" w:cs="宋体"/>
                <w:b w:val="0"/>
                <w:bCs w:val="0"/>
                <w:color w:val="auto"/>
                <w:sz w:val="22"/>
                <w:szCs w:val="22"/>
              </w:rPr>
              <w:t>10</w:t>
            </w:r>
            <w:r>
              <w:rPr>
                <w:rFonts w:hint="eastAsia" w:ascii="宋体" w:hAnsi="宋体" w:eastAsia="宋体" w:cs="宋体"/>
                <w:b w:val="0"/>
                <w:bCs w:val="0"/>
                <w:color w:val="auto"/>
                <w:sz w:val="22"/>
                <w:szCs w:val="22"/>
                <w:lang w:val="en-US" w:eastAsia="zh-CN"/>
              </w:rPr>
              <w:t>.</w:t>
            </w:r>
            <w:r>
              <w:rPr>
                <w:rFonts w:hint="eastAsia" w:ascii="宋体" w:hAnsi="宋体" w:eastAsia="宋体" w:cs="宋体"/>
                <w:b w:val="0"/>
                <w:bCs w:val="0"/>
                <w:color w:val="auto"/>
                <w:sz w:val="22"/>
                <w:szCs w:val="22"/>
              </w:rPr>
              <w:t>提供的公安网接入交换机、公安网汇聚交换机支持与</w:t>
            </w:r>
            <w:r>
              <w:rPr>
                <w:rFonts w:hint="eastAsia" w:ascii="宋体" w:hAnsi="宋体" w:eastAsia="宋体" w:cs="宋体"/>
                <w:b w:val="0"/>
                <w:bCs w:val="0"/>
                <w:color w:val="auto"/>
                <w:sz w:val="22"/>
                <w:szCs w:val="22"/>
                <w:lang w:val="en-US" w:eastAsia="zh-CN"/>
              </w:rPr>
              <w:t>采购人</w:t>
            </w:r>
            <w:r>
              <w:rPr>
                <w:rFonts w:hint="eastAsia" w:ascii="宋体" w:hAnsi="宋体" w:eastAsia="宋体" w:cs="宋体"/>
                <w:b w:val="0"/>
                <w:bCs w:val="0"/>
                <w:color w:val="auto"/>
                <w:sz w:val="22"/>
                <w:szCs w:val="22"/>
              </w:rPr>
              <w:t>现有的公安网网管平台“网络监控平台”对接；提供的视频网核心交换机支持与</w:t>
            </w:r>
            <w:r>
              <w:rPr>
                <w:rFonts w:hint="eastAsia" w:ascii="宋体" w:hAnsi="宋体" w:eastAsia="宋体" w:cs="宋体"/>
                <w:b w:val="0"/>
                <w:bCs w:val="0"/>
                <w:color w:val="auto"/>
                <w:sz w:val="22"/>
                <w:szCs w:val="22"/>
                <w:lang w:val="en-US" w:eastAsia="zh-CN"/>
              </w:rPr>
              <w:t>采购人</w:t>
            </w:r>
            <w:r>
              <w:rPr>
                <w:rFonts w:hint="eastAsia" w:ascii="宋体" w:hAnsi="宋体" w:eastAsia="宋体" w:cs="宋体"/>
                <w:b w:val="0"/>
                <w:bCs w:val="0"/>
                <w:color w:val="auto"/>
                <w:sz w:val="22"/>
                <w:szCs w:val="22"/>
              </w:rPr>
              <w:t>现有的视频专网网管平台“智能管理中心”对接。</w:t>
            </w:r>
          </w:p>
        </w:tc>
        <w:tc>
          <w:tcPr>
            <w:tcW w:w="1444" w:type="dxa"/>
          </w:tcPr>
          <w:p w14:paraId="7442A5D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1C4F57A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4F3EDF9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1B9DE11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0F12D62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5D2008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22366E71">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kern w:val="2"/>
                <w:sz w:val="22"/>
                <w:szCs w:val="22"/>
                <w:highlight w:val="none"/>
                <w:lang w:val="en-US" w:eastAsia="zh-CN" w:bidi="ar-SA"/>
              </w:rPr>
              <w:t>6</w:t>
            </w:r>
          </w:p>
        </w:tc>
        <w:tc>
          <w:tcPr>
            <w:tcW w:w="653" w:type="dxa"/>
          </w:tcPr>
          <w:p w14:paraId="276E366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582694C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bCs/>
                <w:sz w:val="22"/>
                <w:szCs w:val="22"/>
                <w:lang w:val="en-US" w:eastAsia="zh-CN"/>
              </w:rPr>
              <w:t>★</w:t>
            </w:r>
          </w:p>
        </w:tc>
        <w:tc>
          <w:tcPr>
            <w:tcW w:w="7589" w:type="dxa"/>
          </w:tcPr>
          <w:p w14:paraId="07D8014B">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Chars="0"/>
              <w:textAlignment w:val="auto"/>
              <w:rPr>
                <w:rFonts w:hint="eastAsia" w:ascii="宋体" w:hAnsi="宋体" w:eastAsia="宋体" w:cs="宋体"/>
                <w:sz w:val="22"/>
                <w:szCs w:val="22"/>
              </w:rPr>
            </w:pPr>
            <w:r>
              <w:rPr>
                <w:rFonts w:hint="eastAsia" w:ascii="宋体" w:hAnsi="宋体" w:eastAsia="宋体" w:cs="宋体"/>
                <w:color w:val="auto"/>
                <w:sz w:val="22"/>
                <w:szCs w:val="22"/>
              </w:rPr>
              <w:t>★</w:t>
            </w:r>
            <w:r>
              <w:rPr>
                <w:rFonts w:hint="eastAsia" w:ascii="宋体" w:hAnsi="宋体" w:eastAsia="宋体" w:cs="宋体"/>
                <w:sz w:val="22"/>
                <w:szCs w:val="22"/>
                <w:lang w:val="en-US" w:eastAsia="zh-CN"/>
              </w:rPr>
              <w:t>（二）</w:t>
            </w:r>
            <w:r>
              <w:rPr>
                <w:rFonts w:hint="eastAsia" w:ascii="宋体" w:hAnsi="宋体" w:eastAsia="宋体" w:cs="宋体"/>
                <w:sz w:val="22"/>
                <w:szCs w:val="22"/>
              </w:rPr>
              <w:t>机房空间要求</w:t>
            </w:r>
          </w:p>
          <w:p w14:paraId="5CBFF61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1</w:t>
            </w:r>
            <w:r>
              <w:rPr>
                <w:rFonts w:hint="eastAsia" w:ascii="宋体" w:hAnsi="宋体" w:eastAsia="宋体" w:cs="宋体"/>
                <w:b w:val="0"/>
                <w:bCs w:val="0"/>
                <w:color w:val="auto"/>
                <w:sz w:val="22"/>
                <w:szCs w:val="22"/>
                <w:lang w:val="en-US" w:eastAsia="zh-CN"/>
              </w:rPr>
              <w:t>.</w:t>
            </w:r>
            <w:r>
              <w:rPr>
                <w:rFonts w:hint="eastAsia" w:ascii="宋体" w:hAnsi="宋体" w:eastAsia="宋体" w:cs="宋体"/>
                <w:b w:val="0"/>
                <w:bCs w:val="0"/>
                <w:color w:val="auto"/>
                <w:sz w:val="22"/>
                <w:szCs w:val="22"/>
              </w:rPr>
              <w:t>本次租用共计不少于3</w:t>
            </w:r>
            <w:r>
              <w:rPr>
                <w:rFonts w:hint="eastAsia" w:ascii="宋体" w:hAnsi="宋体" w:eastAsia="宋体" w:cs="宋体"/>
                <w:b w:val="0"/>
                <w:bCs w:val="0"/>
                <w:color w:val="auto"/>
                <w:sz w:val="22"/>
                <w:szCs w:val="22"/>
                <w:lang w:val="en-US" w:eastAsia="zh-CN"/>
              </w:rPr>
              <w:t>46</w:t>
            </w:r>
            <w:r>
              <w:rPr>
                <w:rFonts w:hint="eastAsia" w:ascii="宋体" w:hAnsi="宋体" w:eastAsia="宋体" w:cs="宋体"/>
                <w:b w:val="0"/>
                <w:bCs w:val="0"/>
                <w:color w:val="auto"/>
                <w:sz w:val="22"/>
                <w:szCs w:val="22"/>
              </w:rPr>
              <w:t>个机柜，分为信息中心</w:t>
            </w:r>
            <w:r>
              <w:rPr>
                <w:rFonts w:hint="eastAsia" w:ascii="宋体" w:hAnsi="宋体" w:eastAsia="宋体" w:cs="宋体"/>
                <w:b w:val="0"/>
                <w:bCs w:val="0"/>
                <w:color w:val="auto"/>
                <w:sz w:val="22"/>
                <w:szCs w:val="22"/>
                <w:lang w:eastAsia="zh-CN"/>
              </w:rPr>
              <w:t>、</w:t>
            </w:r>
            <w:r>
              <w:rPr>
                <w:rFonts w:hint="eastAsia" w:ascii="宋体" w:hAnsi="宋体" w:eastAsia="宋体" w:cs="宋体"/>
                <w:b w:val="0"/>
                <w:bCs w:val="0"/>
                <w:color w:val="auto"/>
                <w:sz w:val="22"/>
                <w:szCs w:val="22"/>
                <w:lang w:val="en-US" w:eastAsia="zh-CN"/>
              </w:rPr>
              <w:t>WJ</w:t>
            </w:r>
            <w:r>
              <w:rPr>
                <w:rFonts w:hint="eastAsia" w:ascii="宋体" w:hAnsi="宋体" w:eastAsia="宋体" w:cs="宋体"/>
                <w:b w:val="0"/>
                <w:bCs w:val="0"/>
                <w:color w:val="auto"/>
                <w:sz w:val="22"/>
                <w:szCs w:val="22"/>
              </w:rPr>
              <w:t>、</w:t>
            </w:r>
            <w:r>
              <w:rPr>
                <w:rFonts w:hint="eastAsia" w:ascii="宋体" w:hAnsi="宋体" w:eastAsia="宋体" w:cs="宋体"/>
                <w:b w:val="0"/>
                <w:bCs w:val="0"/>
                <w:color w:val="auto"/>
                <w:sz w:val="22"/>
                <w:szCs w:val="22"/>
                <w:lang w:eastAsia="zh-CN"/>
              </w:rPr>
              <w:t>JZ</w:t>
            </w:r>
            <w:r>
              <w:rPr>
                <w:rFonts w:hint="eastAsia" w:ascii="宋体" w:hAnsi="宋体" w:eastAsia="宋体" w:cs="宋体"/>
                <w:b w:val="0"/>
                <w:bCs w:val="0"/>
                <w:color w:val="auto"/>
                <w:sz w:val="22"/>
                <w:szCs w:val="22"/>
              </w:rPr>
              <w:t>用等三个区域，</w:t>
            </w:r>
            <w:r>
              <w:rPr>
                <w:rFonts w:hint="eastAsia" w:ascii="宋体" w:hAnsi="宋体" w:eastAsia="宋体" w:cs="宋体"/>
                <w:b w:val="0"/>
                <w:bCs w:val="0"/>
                <w:color w:val="auto"/>
                <w:sz w:val="22"/>
                <w:szCs w:val="22"/>
                <w:lang w:eastAsia="zh-CN"/>
              </w:rPr>
              <w:t>中标人</w:t>
            </w:r>
            <w:r>
              <w:rPr>
                <w:rFonts w:hint="eastAsia" w:ascii="宋体" w:hAnsi="宋体" w:eastAsia="宋体" w:cs="宋体"/>
                <w:b w:val="0"/>
                <w:bCs w:val="0"/>
                <w:color w:val="auto"/>
                <w:sz w:val="22"/>
                <w:szCs w:val="22"/>
              </w:rPr>
              <w:t>须确保在同一单体建筑物提供足够空间和运行环境满足</w:t>
            </w:r>
            <w:r>
              <w:rPr>
                <w:rFonts w:hint="eastAsia" w:ascii="宋体" w:hAnsi="宋体" w:eastAsia="宋体" w:cs="宋体"/>
                <w:b w:val="0"/>
                <w:bCs w:val="0"/>
                <w:color w:val="auto"/>
                <w:sz w:val="22"/>
                <w:szCs w:val="22"/>
                <w:lang w:val="en-US" w:eastAsia="zh-CN"/>
              </w:rPr>
              <w:t>采购人</w:t>
            </w:r>
            <w:r>
              <w:rPr>
                <w:rFonts w:hint="eastAsia" w:ascii="宋体" w:hAnsi="宋体" w:eastAsia="宋体" w:cs="宋体"/>
                <w:b w:val="0"/>
                <w:bCs w:val="0"/>
                <w:color w:val="auto"/>
                <w:sz w:val="22"/>
                <w:szCs w:val="22"/>
              </w:rPr>
              <w:t>信息化未来三年发展需求。以下是空间需求：</w:t>
            </w:r>
          </w:p>
          <w:p w14:paraId="6A488158">
            <w:pPr>
              <w:pageBreakBefore w:val="0"/>
              <w:widowControl w:val="0"/>
              <w:kinsoku/>
              <w:wordWrap/>
              <w:overflowPunct/>
              <w:topLinePunct w:val="0"/>
              <w:autoSpaceDE/>
              <w:autoSpaceDN/>
              <w:bidi w:val="0"/>
              <w:adjustRightInd/>
              <w:snapToGrid/>
              <w:spacing w:line="360" w:lineRule="auto"/>
              <w:ind w:firstLine="444" w:firstLineChars="202"/>
              <w:textAlignment w:val="auto"/>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（1）信息中心：独立封闭空间，本次需提供不少于</w:t>
            </w:r>
            <w:r>
              <w:rPr>
                <w:rFonts w:hint="eastAsia" w:ascii="宋体" w:hAnsi="宋体" w:eastAsia="宋体" w:cs="宋体"/>
                <w:b w:val="0"/>
                <w:bCs w:val="0"/>
                <w:color w:val="auto"/>
                <w:sz w:val="22"/>
                <w:szCs w:val="22"/>
                <w:lang w:val="en-US" w:eastAsia="zh-CN"/>
              </w:rPr>
              <w:t>226</w:t>
            </w:r>
            <w:r>
              <w:rPr>
                <w:rFonts w:hint="eastAsia" w:ascii="宋体" w:hAnsi="宋体" w:eastAsia="宋体" w:cs="宋体"/>
                <w:b w:val="0"/>
                <w:bCs w:val="0"/>
                <w:color w:val="auto"/>
                <w:sz w:val="22"/>
                <w:szCs w:val="22"/>
              </w:rPr>
              <w:t>个机柜，并具备放置300个机柜的可扩展性，与外部必须有安全隔离，需要有独立的门禁系统、视频监控系统、KVM系统，各系统需连接到公安网或视频网。在机房附近配备40平方米以上操作间，操作间配备电源、照明、空调等工作环境，并能连接到信息中心机房内不同的网络。</w:t>
            </w:r>
          </w:p>
          <w:p w14:paraId="744EAF25">
            <w:pPr>
              <w:pageBreakBefore w:val="0"/>
              <w:widowControl w:val="0"/>
              <w:kinsoku/>
              <w:wordWrap/>
              <w:overflowPunct/>
              <w:topLinePunct w:val="0"/>
              <w:autoSpaceDE/>
              <w:autoSpaceDN/>
              <w:bidi w:val="0"/>
              <w:adjustRightInd/>
              <w:snapToGrid/>
              <w:spacing w:line="360" w:lineRule="auto"/>
              <w:ind w:firstLine="444" w:firstLineChars="202"/>
              <w:textAlignment w:val="auto"/>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（2）</w:t>
            </w:r>
            <w:r>
              <w:rPr>
                <w:rFonts w:hint="eastAsia" w:ascii="宋体" w:hAnsi="宋体" w:eastAsia="宋体" w:cs="宋体"/>
                <w:b w:val="0"/>
                <w:bCs w:val="0"/>
                <w:color w:val="auto"/>
                <w:sz w:val="22"/>
                <w:szCs w:val="22"/>
                <w:lang w:eastAsia="zh-CN"/>
              </w:rPr>
              <w:t>JZ</w:t>
            </w:r>
            <w:r>
              <w:rPr>
                <w:rFonts w:hint="eastAsia" w:ascii="宋体" w:hAnsi="宋体" w:eastAsia="宋体" w:cs="宋体"/>
                <w:b w:val="0"/>
                <w:bCs w:val="0"/>
                <w:color w:val="auto"/>
                <w:sz w:val="22"/>
                <w:szCs w:val="22"/>
              </w:rPr>
              <w:t>：独立封闭空间，本次需提供不少于15个机柜，并具备放置4</w:t>
            </w:r>
            <w:r>
              <w:rPr>
                <w:rFonts w:hint="eastAsia" w:ascii="宋体" w:hAnsi="宋体" w:eastAsia="宋体" w:cs="宋体"/>
                <w:b w:val="0"/>
                <w:bCs w:val="0"/>
                <w:color w:val="auto"/>
                <w:sz w:val="22"/>
                <w:szCs w:val="22"/>
                <w:lang w:val="en-US" w:eastAsia="zh-CN"/>
              </w:rPr>
              <w:t>0</w:t>
            </w:r>
            <w:r>
              <w:rPr>
                <w:rFonts w:hint="eastAsia" w:ascii="宋体" w:hAnsi="宋体" w:eastAsia="宋体" w:cs="宋体"/>
                <w:b w:val="0"/>
                <w:bCs w:val="0"/>
                <w:color w:val="auto"/>
                <w:sz w:val="22"/>
                <w:szCs w:val="22"/>
              </w:rPr>
              <w:t>个机柜的可扩展性，与外部必须有安全隔离，需要有独立的指纹门禁系统、视频监控系统、KVM系统，各系统需连接到公安网。另需在机房附近配备10平方米以上操作间，操作间配备电源、照明、空调等工作环境，并能连接到</w:t>
            </w:r>
            <w:r>
              <w:rPr>
                <w:rFonts w:hint="eastAsia" w:ascii="宋体" w:hAnsi="宋体" w:eastAsia="宋体" w:cs="宋体"/>
                <w:b w:val="0"/>
                <w:bCs w:val="0"/>
                <w:color w:val="auto"/>
                <w:sz w:val="22"/>
                <w:szCs w:val="22"/>
                <w:lang w:eastAsia="zh-CN"/>
              </w:rPr>
              <w:t>JZ</w:t>
            </w:r>
            <w:r>
              <w:rPr>
                <w:rFonts w:hint="eastAsia" w:ascii="宋体" w:hAnsi="宋体" w:eastAsia="宋体" w:cs="宋体"/>
                <w:b w:val="0"/>
                <w:bCs w:val="0"/>
                <w:color w:val="auto"/>
                <w:sz w:val="22"/>
                <w:szCs w:val="22"/>
              </w:rPr>
              <w:t>机房内不同的网络。</w:t>
            </w:r>
          </w:p>
          <w:p w14:paraId="0DFD7350">
            <w:pPr>
              <w:pageBreakBefore w:val="0"/>
              <w:widowControl w:val="0"/>
              <w:kinsoku/>
              <w:wordWrap/>
              <w:overflowPunct/>
              <w:topLinePunct w:val="0"/>
              <w:autoSpaceDE/>
              <w:autoSpaceDN/>
              <w:bidi w:val="0"/>
              <w:adjustRightInd/>
              <w:snapToGrid/>
              <w:spacing w:line="360" w:lineRule="auto"/>
              <w:ind w:firstLine="444" w:firstLineChars="202"/>
              <w:textAlignment w:val="auto"/>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（3）</w:t>
            </w:r>
            <w:r>
              <w:rPr>
                <w:rFonts w:hint="eastAsia" w:ascii="宋体" w:hAnsi="宋体" w:eastAsia="宋体" w:cs="宋体"/>
                <w:b w:val="0"/>
                <w:bCs w:val="0"/>
                <w:color w:val="auto"/>
                <w:sz w:val="22"/>
                <w:szCs w:val="22"/>
                <w:lang w:val="en-US" w:eastAsia="zh-CN"/>
              </w:rPr>
              <w:t>WJ</w:t>
            </w:r>
            <w:r>
              <w:rPr>
                <w:rFonts w:hint="eastAsia" w:ascii="宋体" w:hAnsi="宋体" w:eastAsia="宋体" w:cs="宋体"/>
                <w:b w:val="0"/>
                <w:bCs w:val="0"/>
                <w:color w:val="auto"/>
                <w:sz w:val="22"/>
                <w:szCs w:val="22"/>
              </w:rPr>
              <w:t>：独立封闭空间，本次需提供不少于</w:t>
            </w:r>
            <w:r>
              <w:rPr>
                <w:rFonts w:hint="eastAsia" w:ascii="宋体" w:hAnsi="宋体" w:eastAsia="宋体" w:cs="宋体"/>
                <w:b w:val="0"/>
                <w:bCs w:val="0"/>
                <w:color w:val="auto"/>
                <w:sz w:val="22"/>
                <w:szCs w:val="22"/>
                <w:lang w:val="en-US" w:eastAsia="zh-CN"/>
              </w:rPr>
              <w:t>105</w:t>
            </w:r>
            <w:r>
              <w:rPr>
                <w:rFonts w:hint="eastAsia" w:ascii="宋体" w:hAnsi="宋体" w:eastAsia="宋体" w:cs="宋体"/>
                <w:b w:val="0"/>
                <w:bCs w:val="0"/>
                <w:color w:val="auto"/>
                <w:sz w:val="22"/>
                <w:szCs w:val="22"/>
              </w:rPr>
              <w:t>个机柜，并具备放置120个机柜的可扩展性，与外部必须有安全隔离（实体墙隔断并配备铁门），需要有独立的门禁系统、视频监控系统、KVM系统。另需在机房附近配备20平方米以上操作间，操作间配备电源、照明、空调等工作环境，并能连接到</w:t>
            </w:r>
            <w:r>
              <w:rPr>
                <w:rFonts w:hint="eastAsia" w:ascii="宋体" w:hAnsi="宋体" w:eastAsia="宋体" w:cs="宋体"/>
                <w:b w:val="0"/>
                <w:bCs w:val="0"/>
                <w:color w:val="auto"/>
                <w:sz w:val="22"/>
                <w:szCs w:val="22"/>
                <w:lang w:val="en-US" w:eastAsia="zh-CN"/>
              </w:rPr>
              <w:t>WJ</w:t>
            </w:r>
            <w:r>
              <w:rPr>
                <w:rFonts w:hint="eastAsia" w:ascii="宋体" w:hAnsi="宋体" w:eastAsia="宋体" w:cs="宋体"/>
                <w:b w:val="0"/>
                <w:bCs w:val="0"/>
                <w:color w:val="auto"/>
                <w:sz w:val="22"/>
                <w:szCs w:val="22"/>
              </w:rPr>
              <w:t>机房内不同的网络。</w:t>
            </w:r>
          </w:p>
          <w:p w14:paraId="15F9407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2</w:t>
            </w:r>
            <w:r>
              <w:rPr>
                <w:rFonts w:hint="eastAsia" w:ascii="宋体" w:hAnsi="宋体" w:eastAsia="宋体" w:cs="宋体"/>
                <w:b w:val="0"/>
                <w:bCs w:val="0"/>
                <w:color w:val="auto"/>
                <w:sz w:val="22"/>
                <w:szCs w:val="22"/>
                <w:lang w:val="en-US" w:eastAsia="zh-CN"/>
              </w:rPr>
              <w:t>.</w:t>
            </w:r>
            <w:r>
              <w:rPr>
                <w:rFonts w:hint="eastAsia" w:ascii="宋体" w:hAnsi="宋体" w:eastAsia="宋体" w:cs="宋体"/>
                <w:b w:val="0"/>
                <w:bCs w:val="0"/>
                <w:color w:val="auto"/>
                <w:sz w:val="22"/>
                <w:szCs w:val="22"/>
                <w:lang w:eastAsia="zh-CN"/>
              </w:rPr>
              <w:t>中标人</w:t>
            </w:r>
            <w:r>
              <w:rPr>
                <w:rFonts w:hint="eastAsia" w:ascii="宋体" w:hAnsi="宋体" w:eastAsia="宋体" w:cs="宋体"/>
                <w:b w:val="0"/>
                <w:bCs w:val="0"/>
                <w:color w:val="auto"/>
                <w:sz w:val="22"/>
                <w:szCs w:val="22"/>
              </w:rPr>
              <w:t>提供两个独立的临时仓库，每个仓库面积不少于12平方米，且必须与机房同处一幢楼房。</w:t>
            </w:r>
          </w:p>
          <w:p w14:paraId="620706E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rPr>
              <w:t>3</w:t>
            </w:r>
            <w:r>
              <w:rPr>
                <w:rFonts w:hint="eastAsia" w:ascii="宋体" w:hAnsi="宋体" w:eastAsia="宋体" w:cs="宋体"/>
                <w:b w:val="0"/>
                <w:bCs w:val="0"/>
                <w:color w:val="auto"/>
                <w:sz w:val="22"/>
                <w:szCs w:val="22"/>
                <w:lang w:val="en-US" w:eastAsia="zh-CN"/>
              </w:rPr>
              <w:t>.</w:t>
            </w:r>
            <w:r>
              <w:rPr>
                <w:rFonts w:hint="eastAsia" w:ascii="宋体" w:hAnsi="宋体" w:eastAsia="宋体" w:cs="宋体"/>
                <w:b w:val="0"/>
                <w:bCs w:val="0"/>
                <w:color w:val="auto"/>
                <w:sz w:val="22"/>
                <w:szCs w:val="22"/>
                <w:lang w:eastAsia="zh-CN"/>
              </w:rPr>
              <w:t>中标人</w:t>
            </w:r>
            <w:r>
              <w:rPr>
                <w:rFonts w:hint="eastAsia" w:ascii="宋体" w:hAnsi="宋体" w:eastAsia="宋体" w:cs="宋体"/>
                <w:b w:val="0"/>
                <w:bCs w:val="0"/>
                <w:color w:val="auto"/>
                <w:sz w:val="22"/>
                <w:szCs w:val="22"/>
              </w:rPr>
              <w:t>提供的操作间应具备基本的办公环境，包括办公桌椅、办公沙发、电源插座、网络信息点等。</w:t>
            </w:r>
          </w:p>
        </w:tc>
        <w:tc>
          <w:tcPr>
            <w:tcW w:w="1444" w:type="dxa"/>
          </w:tcPr>
          <w:p w14:paraId="0CBC25A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1E98835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38918F2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5A506B0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3A19470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7D201D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2F99DCCB">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7</w:t>
            </w:r>
          </w:p>
        </w:tc>
        <w:tc>
          <w:tcPr>
            <w:tcW w:w="653" w:type="dxa"/>
          </w:tcPr>
          <w:p w14:paraId="1A81EA2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4212836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2"/>
                <w:szCs w:val="22"/>
                <w:lang w:val="en-US" w:eastAsia="zh-CN"/>
              </w:rPr>
            </w:pPr>
            <w:r>
              <w:rPr>
                <w:rFonts w:hint="eastAsia" w:ascii="宋体" w:hAnsi="宋体" w:eastAsia="宋体" w:cs="宋体"/>
                <w:b/>
                <w:bCs/>
                <w:color w:val="auto"/>
                <w:sz w:val="22"/>
                <w:szCs w:val="22"/>
              </w:rPr>
              <w:t>★</w:t>
            </w:r>
          </w:p>
        </w:tc>
        <w:tc>
          <w:tcPr>
            <w:tcW w:w="7589" w:type="dxa"/>
          </w:tcPr>
          <w:p w14:paraId="4513F394">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Chars="0"/>
              <w:textAlignment w:val="auto"/>
              <w:rPr>
                <w:rFonts w:hint="eastAsia" w:ascii="宋体" w:hAnsi="宋体" w:eastAsia="宋体" w:cs="宋体"/>
                <w:sz w:val="22"/>
                <w:szCs w:val="22"/>
              </w:rPr>
            </w:pPr>
            <w:r>
              <w:rPr>
                <w:rFonts w:hint="eastAsia" w:ascii="宋体" w:hAnsi="宋体" w:eastAsia="宋体" w:cs="宋体"/>
                <w:sz w:val="22"/>
                <w:szCs w:val="22"/>
                <w:lang w:val="en-US" w:eastAsia="zh-CN"/>
              </w:rPr>
              <w:t>（四）</w:t>
            </w:r>
            <w:r>
              <w:rPr>
                <w:rFonts w:hint="eastAsia" w:ascii="宋体" w:hAnsi="宋体" w:eastAsia="宋体" w:cs="宋体"/>
                <w:sz w:val="22"/>
                <w:szCs w:val="22"/>
              </w:rPr>
              <w:t>线路要求</w:t>
            </w:r>
          </w:p>
          <w:p w14:paraId="0C4009EE">
            <w:pPr>
              <w:spacing w:line="360" w:lineRule="auto"/>
              <w:ind w:left="-59" w:leftChars="-28" w:firstLine="280"/>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w:t>
            </w:r>
            <w:r>
              <w:rPr>
                <w:rFonts w:hint="eastAsia" w:ascii="宋体" w:hAnsi="宋体" w:eastAsia="宋体" w:cs="宋体"/>
                <w:b w:val="0"/>
                <w:bCs w:val="0"/>
                <w:color w:val="auto"/>
                <w:sz w:val="22"/>
                <w:szCs w:val="22"/>
                <w:lang w:eastAsia="zh-CN"/>
              </w:rPr>
              <w:t>中标人</w:t>
            </w:r>
            <w:r>
              <w:rPr>
                <w:rFonts w:hint="eastAsia" w:ascii="宋体" w:hAnsi="宋体" w:eastAsia="宋体" w:cs="宋体"/>
                <w:b w:val="0"/>
                <w:bCs w:val="0"/>
                <w:color w:val="auto"/>
                <w:sz w:val="22"/>
                <w:szCs w:val="22"/>
              </w:rPr>
              <w:t>提供的机房须与市公安局的机房实现互联互通，租赁机房与</w:t>
            </w:r>
            <w:r>
              <w:rPr>
                <w:rFonts w:hint="eastAsia" w:ascii="宋体" w:hAnsi="宋体" w:eastAsia="宋体" w:cs="宋体"/>
                <w:b w:val="0"/>
                <w:bCs w:val="0"/>
                <w:color w:val="auto"/>
                <w:sz w:val="22"/>
                <w:szCs w:val="22"/>
                <w:lang w:val="en-US" w:eastAsia="zh-CN"/>
              </w:rPr>
              <w:t>采购人</w:t>
            </w:r>
            <w:r>
              <w:rPr>
                <w:rFonts w:hint="eastAsia" w:ascii="宋体" w:hAnsi="宋体" w:eastAsia="宋体" w:cs="宋体"/>
                <w:b w:val="0"/>
                <w:bCs w:val="0"/>
                <w:color w:val="auto"/>
                <w:sz w:val="22"/>
                <w:szCs w:val="22"/>
              </w:rPr>
              <w:t>机房之间提供光纤线路接入，满足现有业务运行：</w:t>
            </w:r>
          </w:p>
          <w:p w14:paraId="6580BF33">
            <w:pPr>
              <w:spacing w:line="360" w:lineRule="auto"/>
              <w:ind w:firstLine="444" w:firstLineChars="202"/>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（1）提供由租赁机房至</w:t>
            </w:r>
            <w:r>
              <w:rPr>
                <w:rFonts w:hint="eastAsia" w:ascii="宋体" w:hAnsi="宋体" w:eastAsia="宋体" w:cs="宋体"/>
                <w:b w:val="0"/>
                <w:bCs w:val="0"/>
                <w:color w:val="auto"/>
                <w:sz w:val="22"/>
                <w:szCs w:val="22"/>
                <w:lang w:val="en-US" w:eastAsia="zh-CN"/>
              </w:rPr>
              <w:t>采购人</w:t>
            </w:r>
            <w:r>
              <w:rPr>
                <w:rFonts w:hint="eastAsia" w:ascii="宋体" w:hAnsi="宋体" w:eastAsia="宋体" w:cs="宋体"/>
                <w:b w:val="0"/>
                <w:bCs w:val="0"/>
                <w:color w:val="auto"/>
                <w:sz w:val="22"/>
                <w:szCs w:val="22"/>
              </w:rPr>
              <w:t>信息中心机房2*48芯光缆，每6芯一组，每组光缆需要不同物理路由，实现自动冗余备份；</w:t>
            </w:r>
          </w:p>
          <w:p w14:paraId="4E0085E5">
            <w:pPr>
              <w:spacing w:line="360" w:lineRule="auto"/>
              <w:ind w:firstLine="444" w:firstLineChars="202"/>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（2）提供由租赁机房至</w:t>
            </w:r>
            <w:r>
              <w:rPr>
                <w:rFonts w:hint="eastAsia" w:ascii="宋体" w:hAnsi="宋体" w:eastAsia="宋体" w:cs="宋体"/>
                <w:b w:val="0"/>
                <w:bCs w:val="0"/>
                <w:color w:val="auto"/>
                <w:sz w:val="22"/>
                <w:szCs w:val="22"/>
                <w:lang w:val="en-US" w:eastAsia="zh-CN"/>
              </w:rPr>
              <w:t>采购人WA</w:t>
            </w:r>
            <w:r>
              <w:rPr>
                <w:rFonts w:hint="eastAsia" w:ascii="宋体" w:hAnsi="宋体" w:eastAsia="宋体" w:cs="宋体"/>
                <w:b w:val="0"/>
                <w:bCs w:val="0"/>
                <w:color w:val="auto"/>
                <w:sz w:val="22"/>
                <w:szCs w:val="22"/>
              </w:rPr>
              <w:t>专网12芯裸纤,光纤两端光衰减低于2db；</w:t>
            </w:r>
          </w:p>
          <w:p w14:paraId="4A9A8D6A">
            <w:pPr>
              <w:spacing w:line="360" w:lineRule="auto"/>
              <w:ind w:firstLine="444" w:firstLineChars="202"/>
              <w:rPr>
                <w:rFonts w:hint="eastAsia" w:ascii="宋体" w:hAnsi="宋体" w:eastAsia="宋体" w:cs="宋体"/>
                <w:b w:val="0"/>
                <w:bCs w:val="0"/>
                <w:color w:val="auto"/>
                <w:sz w:val="22"/>
                <w:szCs w:val="22"/>
                <w:lang w:val="en-US" w:eastAsia="zh-CN"/>
              </w:rPr>
            </w:pPr>
            <w:r>
              <w:rPr>
                <w:rFonts w:hint="eastAsia" w:ascii="宋体" w:hAnsi="宋体" w:eastAsia="宋体" w:cs="宋体"/>
                <w:b w:val="0"/>
                <w:bCs w:val="0"/>
                <w:color w:val="auto"/>
                <w:sz w:val="22"/>
                <w:szCs w:val="22"/>
              </w:rPr>
              <w:t>（3）提供租赁机房至</w:t>
            </w:r>
            <w:r>
              <w:rPr>
                <w:rFonts w:hint="eastAsia" w:ascii="宋体" w:hAnsi="宋体" w:eastAsia="宋体" w:cs="宋体"/>
                <w:b w:val="0"/>
                <w:bCs w:val="0"/>
                <w:color w:val="auto"/>
                <w:sz w:val="22"/>
                <w:szCs w:val="22"/>
                <w:lang w:val="en-US" w:eastAsia="zh-CN"/>
              </w:rPr>
              <w:t>采购人WJ</w:t>
            </w:r>
            <w:r>
              <w:rPr>
                <w:rFonts w:hint="eastAsia" w:ascii="宋体" w:hAnsi="宋体" w:eastAsia="宋体" w:cs="宋体"/>
                <w:b w:val="0"/>
                <w:bCs w:val="0"/>
                <w:color w:val="auto"/>
                <w:sz w:val="22"/>
                <w:szCs w:val="22"/>
              </w:rPr>
              <w:t>机房2*24芯光缆，两条光缆需要不同物理路由,实现自动冗余备份，光纤两端光衰减低于2db</w:t>
            </w:r>
            <w:r>
              <w:rPr>
                <w:rFonts w:hint="eastAsia" w:ascii="宋体" w:hAnsi="宋体" w:eastAsia="宋体" w:cs="宋体"/>
                <w:b w:val="0"/>
                <w:bCs w:val="0"/>
                <w:color w:val="auto"/>
                <w:sz w:val="22"/>
                <w:szCs w:val="22"/>
                <w:lang w:eastAsia="zh-CN"/>
              </w:rPr>
              <w:t>；</w:t>
            </w:r>
          </w:p>
          <w:p w14:paraId="436773EC">
            <w:pPr>
              <w:spacing w:line="360" w:lineRule="auto"/>
              <w:ind w:firstLine="444" w:firstLineChars="202"/>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（4）提供由租赁机房至</w:t>
            </w:r>
            <w:r>
              <w:rPr>
                <w:rFonts w:hint="eastAsia" w:ascii="宋体" w:hAnsi="宋体" w:eastAsia="宋体" w:cs="宋体"/>
                <w:b w:val="0"/>
                <w:bCs w:val="0"/>
                <w:color w:val="auto"/>
                <w:sz w:val="22"/>
                <w:szCs w:val="22"/>
                <w:lang w:val="en-US" w:eastAsia="zh-CN"/>
              </w:rPr>
              <w:t>采购人</w:t>
            </w:r>
            <w:r>
              <w:rPr>
                <w:rFonts w:hint="eastAsia" w:ascii="宋体" w:hAnsi="宋体" w:eastAsia="宋体" w:cs="宋体"/>
                <w:b w:val="0"/>
                <w:bCs w:val="0"/>
                <w:color w:val="auto"/>
                <w:sz w:val="22"/>
                <w:szCs w:val="22"/>
                <w:lang w:eastAsia="zh-CN"/>
              </w:rPr>
              <w:t>JZ</w:t>
            </w:r>
            <w:r>
              <w:rPr>
                <w:rFonts w:hint="eastAsia" w:ascii="宋体" w:hAnsi="宋体" w:eastAsia="宋体" w:cs="宋体"/>
                <w:b w:val="0"/>
                <w:bCs w:val="0"/>
                <w:color w:val="auto"/>
                <w:sz w:val="22"/>
                <w:szCs w:val="22"/>
              </w:rPr>
              <w:t>机房12芯裸纤，光纤两端光衰减低于2db；</w:t>
            </w:r>
          </w:p>
          <w:p w14:paraId="6AD76C05">
            <w:pPr>
              <w:spacing w:line="360" w:lineRule="auto"/>
              <w:ind w:firstLine="444" w:firstLineChars="202"/>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（5）提供光纤从</w:t>
            </w:r>
            <w:r>
              <w:rPr>
                <w:rFonts w:hint="eastAsia" w:ascii="宋体" w:hAnsi="宋体" w:eastAsia="宋体" w:cs="宋体"/>
                <w:b w:val="0"/>
                <w:bCs w:val="0"/>
                <w:color w:val="auto"/>
                <w:sz w:val="22"/>
                <w:szCs w:val="22"/>
                <w:lang w:val="en-US" w:eastAsia="zh-CN"/>
              </w:rPr>
              <w:t>采购人</w:t>
            </w:r>
            <w:r>
              <w:rPr>
                <w:rFonts w:hint="eastAsia" w:ascii="宋体" w:hAnsi="宋体" w:eastAsia="宋体" w:cs="宋体"/>
                <w:b w:val="0"/>
                <w:bCs w:val="0"/>
                <w:color w:val="auto"/>
                <w:sz w:val="22"/>
                <w:szCs w:val="22"/>
              </w:rPr>
              <w:t>到租赁机房设备末端的光纤路由图纸</w:t>
            </w:r>
            <w:r>
              <w:rPr>
                <w:rFonts w:hint="eastAsia" w:ascii="宋体" w:hAnsi="宋体" w:eastAsia="宋体" w:cs="宋体"/>
                <w:b w:val="0"/>
                <w:bCs w:val="0"/>
                <w:color w:val="auto"/>
                <w:sz w:val="22"/>
                <w:szCs w:val="22"/>
                <w:lang w:val="en-US" w:eastAsia="zh-CN"/>
              </w:rPr>
              <w:t>合</w:t>
            </w:r>
            <w:r>
              <w:rPr>
                <w:rFonts w:hint="eastAsia" w:ascii="宋体" w:hAnsi="宋体" w:eastAsia="宋体" w:cs="宋体"/>
                <w:b w:val="0"/>
                <w:bCs w:val="0"/>
                <w:color w:val="auto"/>
                <w:sz w:val="22"/>
                <w:szCs w:val="22"/>
              </w:rPr>
              <w:t>并做好标签。</w:t>
            </w:r>
          </w:p>
        </w:tc>
        <w:tc>
          <w:tcPr>
            <w:tcW w:w="1444" w:type="dxa"/>
          </w:tcPr>
          <w:p w14:paraId="2C0862D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412A1FB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5625CA5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491094F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77CBC59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3151F5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707C8606">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8</w:t>
            </w:r>
          </w:p>
        </w:tc>
        <w:tc>
          <w:tcPr>
            <w:tcW w:w="653" w:type="dxa"/>
          </w:tcPr>
          <w:p w14:paraId="3F76C89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16FB573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2"/>
                <w:szCs w:val="22"/>
                <w:lang w:val="en-US" w:eastAsia="zh-CN"/>
              </w:rPr>
            </w:pPr>
            <w:r>
              <w:rPr>
                <w:rFonts w:hint="eastAsia" w:ascii="宋体" w:hAnsi="宋体" w:eastAsia="宋体" w:cs="宋体"/>
                <w:b/>
                <w:bCs/>
                <w:color w:val="auto"/>
                <w:sz w:val="22"/>
                <w:szCs w:val="22"/>
              </w:rPr>
              <w:t>★</w:t>
            </w:r>
          </w:p>
        </w:tc>
        <w:tc>
          <w:tcPr>
            <w:tcW w:w="7589" w:type="dxa"/>
          </w:tcPr>
          <w:p w14:paraId="41118093">
            <w:pPr>
              <w:pageBreakBefore w:val="0"/>
              <w:numPr>
                <w:ilvl w:val="0"/>
                <w:numId w:val="0"/>
              </w:numPr>
              <w:tabs>
                <w:tab w:val="left" w:pos="567"/>
              </w:tabs>
              <w:kinsoku/>
              <w:wordWrap/>
              <w:overflowPunct/>
              <w:topLinePunct w:val="0"/>
              <w:autoSpaceDE/>
              <w:autoSpaceDN/>
              <w:bidi w:val="0"/>
              <w:spacing w:line="360" w:lineRule="auto"/>
              <w:ind w:left="567" w:leftChars="0" w:hanging="567" w:firstLineChars="0"/>
              <w:textAlignment w:val="auto"/>
              <w:rPr>
                <w:rFonts w:hint="eastAsia" w:ascii="宋体" w:hAnsi="宋体" w:eastAsia="宋体" w:cs="宋体"/>
                <w:b/>
                <w:bCs/>
                <w:color w:val="auto"/>
                <w:kern w:val="2"/>
                <w:sz w:val="22"/>
                <w:szCs w:val="22"/>
              </w:rPr>
            </w:pPr>
            <w:r>
              <w:rPr>
                <w:rFonts w:hint="eastAsia" w:ascii="宋体" w:hAnsi="宋体" w:eastAsia="宋体" w:cs="宋体"/>
                <w:sz w:val="22"/>
                <w:szCs w:val="22"/>
              </w:rPr>
              <w:t>★</w:t>
            </w:r>
            <w:r>
              <w:rPr>
                <w:rStyle w:val="16"/>
                <w:rFonts w:hint="eastAsia" w:ascii="宋体" w:hAnsi="宋体" w:eastAsia="宋体" w:cs="宋体"/>
                <w:sz w:val="22"/>
                <w:szCs w:val="22"/>
                <w:shd w:val="clear" w:color="auto" w:fill="auto"/>
                <w:lang w:val="en-US" w:eastAsia="zh-CN"/>
              </w:rPr>
              <w:t>三、</w:t>
            </w:r>
            <w:r>
              <w:rPr>
                <w:rStyle w:val="16"/>
                <w:rFonts w:hint="eastAsia" w:ascii="宋体" w:hAnsi="宋体" w:eastAsia="宋体" w:cs="宋体"/>
                <w:sz w:val="22"/>
                <w:szCs w:val="22"/>
                <w:shd w:val="clear" w:color="auto" w:fill="auto"/>
              </w:rPr>
              <w:t>信息系统安全等级保护设计说明</w:t>
            </w:r>
          </w:p>
          <w:p w14:paraId="70048763">
            <w:pPr>
              <w:pageBreakBefore w:val="0"/>
              <w:numPr>
                <w:ilvl w:val="0"/>
                <w:numId w:val="0"/>
              </w:numPr>
              <w:tabs>
                <w:tab w:val="left" w:pos="567"/>
              </w:tabs>
              <w:kinsoku/>
              <w:wordWrap/>
              <w:overflowPunct/>
              <w:topLinePunct w:val="0"/>
              <w:autoSpaceDE/>
              <w:autoSpaceDN/>
              <w:bidi w:val="0"/>
              <w:spacing w:line="360" w:lineRule="auto"/>
              <w:textAlignment w:val="auto"/>
              <w:rPr>
                <w:rFonts w:hint="eastAsia" w:ascii="宋体" w:hAnsi="宋体" w:eastAsia="宋体" w:cs="宋体"/>
                <w:b w:val="0"/>
                <w:bCs w:val="0"/>
                <w:color w:val="auto"/>
                <w:sz w:val="22"/>
                <w:szCs w:val="22"/>
              </w:rPr>
            </w:pPr>
            <w:r>
              <w:rPr>
                <w:rFonts w:hint="eastAsia" w:ascii="宋体" w:hAnsi="宋体" w:eastAsia="宋体" w:cs="宋体"/>
                <w:b w:val="0"/>
                <w:bCs w:val="0"/>
                <w:color w:val="auto"/>
                <w:kern w:val="2"/>
                <w:sz w:val="22"/>
                <w:szCs w:val="22"/>
                <w:lang w:val="en-US" w:eastAsia="zh-CN" w:bidi="ar-SA"/>
              </w:rPr>
              <w:t>投标人承诺：根据《信息安全等级保护管理办法》要求，拟投入本项目的机房已通过系统安全等级三级或以上测评；或承诺中标后机房投入使用前保证通过系统安全等级三级或以上测评。（请在投标文件格式十“承诺函”提供承诺，</w:t>
            </w:r>
            <w:r>
              <w:rPr>
                <w:rFonts w:hint="eastAsia" w:ascii="宋体" w:hAnsi="宋体" w:eastAsia="宋体" w:cs="宋体"/>
                <w:b w:val="0"/>
                <w:bCs w:val="0"/>
                <w:color w:val="000000"/>
                <w:kern w:val="0"/>
                <w:sz w:val="22"/>
                <w:szCs w:val="22"/>
                <w:lang w:val="en-US" w:eastAsia="zh-CN" w:bidi="ar"/>
              </w:rPr>
              <w:t>并在条款前注明：对中山市公安局信息数据机房租用项目承诺：</w:t>
            </w:r>
            <w:r>
              <w:rPr>
                <w:rFonts w:hint="eastAsia" w:ascii="宋体" w:hAnsi="宋体" w:eastAsia="宋体" w:cs="宋体"/>
                <w:b w:val="0"/>
                <w:bCs w:val="0"/>
                <w:color w:val="auto"/>
                <w:kern w:val="2"/>
                <w:sz w:val="22"/>
                <w:szCs w:val="22"/>
                <w:lang w:val="en-US" w:eastAsia="zh-CN" w:bidi="ar-SA"/>
              </w:rPr>
              <w:t>）</w:t>
            </w:r>
          </w:p>
        </w:tc>
        <w:tc>
          <w:tcPr>
            <w:tcW w:w="1444" w:type="dxa"/>
          </w:tcPr>
          <w:p w14:paraId="5F9F00E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11E6732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04DB636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0FDEF58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2BEFD47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77FF3F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19D9E23A">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9</w:t>
            </w:r>
          </w:p>
        </w:tc>
        <w:tc>
          <w:tcPr>
            <w:tcW w:w="653" w:type="dxa"/>
          </w:tcPr>
          <w:p w14:paraId="23B9B96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0DE575E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2"/>
                <w:szCs w:val="22"/>
                <w:lang w:val="en-US" w:eastAsia="zh-CN"/>
              </w:rPr>
            </w:pPr>
            <w:r>
              <w:rPr>
                <w:rFonts w:hint="eastAsia" w:ascii="宋体" w:hAnsi="宋体" w:eastAsia="宋体" w:cs="宋体"/>
                <w:b/>
                <w:bCs/>
                <w:color w:val="auto"/>
                <w:sz w:val="22"/>
                <w:szCs w:val="22"/>
              </w:rPr>
              <w:t>★</w:t>
            </w:r>
          </w:p>
        </w:tc>
        <w:tc>
          <w:tcPr>
            <w:tcW w:w="7589" w:type="dxa"/>
          </w:tcPr>
          <w:p w14:paraId="318E299F">
            <w:pPr>
              <w:pStyle w:val="7"/>
              <w:pageBreakBefore w:val="0"/>
              <w:widowControl w:val="0"/>
              <w:numPr>
                <w:ilvl w:val="2"/>
                <w:numId w:val="0"/>
              </w:numPr>
              <w:kinsoku/>
              <w:wordWrap/>
              <w:overflowPunct/>
              <w:topLinePunct w:val="0"/>
              <w:autoSpaceDE/>
              <w:autoSpaceDN/>
              <w:bidi w:val="0"/>
              <w:adjustRightInd/>
              <w:snapToGrid/>
              <w:spacing w:before="0" w:beforeLines="0" w:after="0" w:afterLines="0" w:line="360" w:lineRule="auto"/>
              <w:ind w:leftChars="0"/>
              <w:textAlignment w:val="auto"/>
              <w:rPr>
                <w:rFonts w:hint="eastAsia" w:ascii="宋体" w:hAnsi="宋体" w:eastAsia="宋体" w:cs="宋体"/>
                <w:sz w:val="22"/>
                <w:szCs w:val="22"/>
              </w:rPr>
            </w:pPr>
            <w:bookmarkStart w:id="4" w:name="_Toc16105"/>
            <w:bookmarkStart w:id="5" w:name="_Toc4328"/>
            <w:bookmarkStart w:id="6" w:name="_Toc22548"/>
            <w:r>
              <w:rPr>
                <w:rFonts w:hint="eastAsia" w:ascii="宋体" w:hAnsi="宋体" w:eastAsia="宋体" w:cs="宋体"/>
                <w:color w:val="auto"/>
                <w:sz w:val="22"/>
                <w:szCs w:val="22"/>
                <w:highlight w:val="none"/>
              </w:rPr>
              <w:t>★</w:t>
            </w:r>
            <w:r>
              <w:rPr>
                <w:rFonts w:hint="eastAsia" w:ascii="宋体" w:hAnsi="宋体" w:eastAsia="宋体" w:cs="宋体"/>
                <w:sz w:val="22"/>
                <w:szCs w:val="22"/>
                <w:lang w:val="en-US" w:eastAsia="zh-CN"/>
              </w:rPr>
              <w:t>四、</w:t>
            </w:r>
            <w:r>
              <w:rPr>
                <w:rFonts w:hint="eastAsia" w:ascii="宋体" w:hAnsi="宋体" w:eastAsia="宋体" w:cs="宋体"/>
                <w:sz w:val="22"/>
                <w:szCs w:val="22"/>
              </w:rPr>
              <w:t>密码安全基础设施环境构造</w:t>
            </w:r>
            <w:bookmarkEnd w:id="4"/>
            <w:bookmarkEnd w:id="5"/>
            <w:bookmarkEnd w:id="6"/>
          </w:p>
          <w:p w14:paraId="2F59DB65">
            <w:pPr>
              <w:pageBreakBefore w:val="0"/>
              <w:widowControl w:val="0"/>
              <w:numPr>
                <w:ilvl w:val="0"/>
                <w:numId w:val="0"/>
              </w:numPr>
              <w:tabs>
                <w:tab w:val="left" w:pos="567"/>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kern w:val="2"/>
                <w:sz w:val="22"/>
                <w:szCs w:val="22"/>
                <w:lang w:val="en-US" w:eastAsia="zh-CN" w:bidi="ar-SA"/>
              </w:rPr>
            </w:pPr>
            <w:r>
              <w:rPr>
                <w:rFonts w:hint="eastAsia" w:ascii="宋体" w:hAnsi="宋体" w:eastAsia="宋体" w:cs="宋体"/>
                <w:color w:val="auto"/>
                <w:sz w:val="22"/>
                <w:szCs w:val="22"/>
                <w:highlight w:val="none"/>
                <w:lang w:val="en-US" w:eastAsia="zh-CN"/>
              </w:rPr>
              <w:t>具备</w:t>
            </w:r>
            <w:r>
              <w:rPr>
                <w:rFonts w:hint="eastAsia" w:ascii="宋体" w:hAnsi="宋体" w:eastAsia="宋体" w:cs="宋体"/>
                <w:color w:val="auto"/>
                <w:sz w:val="22"/>
                <w:szCs w:val="22"/>
                <w:lang w:eastAsia="zh-CN"/>
              </w:rPr>
              <w:t>基于国产密码算法的门禁和视频监控系统，视频监控前端做到无死角覆盖。</w:t>
            </w:r>
          </w:p>
        </w:tc>
        <w:tc>
          <w:tcPr>
            <w:tcW w:w="1444" w:type="dxa"/>
          </w:tcPr>
          <w:p w14:paraId="4C8A439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7AF6335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3B8ECE8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547225E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0F3466F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24A184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4AF60220">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10</w:t>
            </w:r>
          </w:p>
        </w:tc>
        <w:tc>
          <w:tcPr>
            <w:tcW w:w="653" w:type="dxa"/>
          </w:tcPr>
          <w:p w14:paraId="6D4B6D2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0D4F733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2"/>
                <w:szCs w:val="22"/>
                <w:lang w:val="en-US" w:eastAsia="zh-CN"/>
              </w:rPr>
            </w:pPr>
            <w:r>
              <w:rPr>
                <w:rFonts w:hint="eastAsia" w:ascii="宋体" w:hAnsi="宋体" w:eastAsia="宋体" w:cs="宋体"/>
                <w:b/>
                <w:bCs/>
                <w:color w:val="auto"/>
                <w:sz w:val="22"/>
                <w:szCs w:val="22"/>
              </w:rPr>
              <w:t>★</w:t>
            </w:r>
          </w:p>
        </w:tc>
        <w:tc>
          <w:tcPr>
            <w:tcW w:w="7589" w:type="dxa"/>
          </w:tcPr>
          <w:p w14:paraId="09A7C010">
            <w:pPr>
              <w:pStyle w:val="7"/>
              <w:pageBreakBefore w:val="0"/>
              <w:numPr>
                <w:ilvl w:val="2"/>
                <w:numId w:val="0"/>
              </w:numPr>
              <w:kinsoku/>
              <w:wordWrap/>
              <w:overflowPunct/>
              <w:topLinePunct w:val="0"/>
              <w:autoSpaceDE/>
              <w:autoSpaceDN/>
              <w:bidi w:val="0"/>
              <w:spacing w:before="0" w:beforeLines="0" w:after="0" w:afterLines="0" w:line="360" w:lineRule="auto"/>
              <w:textAlignment w:val="auto"/>
              <w:rPr>
                <w:rFonts w:hint="eastAsia" w:ascii="宋体" w:hAnsi="宋体" w:eastAsia="宋体" w:cs="宋体"/>
                <w:sz w:val="22"/>
                <w:szCs w:val="22"/>
              </w:rPr>
            </w:pPr>
            <w:bookmarkStart w:id="7" w:name="_Toc9699"/>
            <w:bookmarkStart w:id="8" w:name="_Toc25297"/>
            <w:bookmarkStart w:id="9" w:name="_Toc31730"/>
            <w:r>
              <w:rPr>
                <w:rFonts w:hint="eastAsia" w:ascii="宋体" w:hAnsi="宋体" w:eastAsia="宋体" w:cs="宋体"/>
                <w:sz w:val="22"/>
                <w:szCs w:val="22"/>
                <w:lang w:val="en-US" w:eastAsia="zh-CN"/>
              </w:rPr>
              <w:t>五、</w:t>
            </w:r>
            <w:r>
              <w:rPr>
                <w:rFonts w:hint="eastAsia" w:ascii="宋体" w:hAnsi="宋体" w:eastAsia="宋体" w:cs="宋体"/>
                <w:sz w:val="22"/>
                <w:szCs w:val="22"/>
              </w:rPr>
              <w:t>机房设备搬迁服务</w:t>
            </w:r>
            <w:bookmarkEnd w:id="7"/>
            <w:bookmarkEnd w:id="8"/>
            <w:bookmarkEnd w:id="9"/>
          </w:p>
          <w:p w14:paraId="43295D76">
            <w:pPr>
              <w:pageBreakBefore w:val="0"/>
              <w:numPr>
                <w:ilvl w:val="0"/>
                <w:numId w:val="0"/>
              </w:numPr>
              <w:tabs>
                <w:tab w:val="left" w:pos="851"/>
              </w:tabs>
              <w:kinsoku/>
              <w:wordWrap/>
              <w:overflowPunct/>
              <w:topLinePunct w:val="0"/>
              <w:autoSpaceDE/>
              <w:autoSpaceDN/>
              <w:bidi w:val="0"/>
              <w:adjustRightInd w:val="0"/>
              <w:snapToGrid w:val="0"/>
              <w:spacing w:line="360" w:lineRule="auto"/>
              <w:ind w:left="720" w:leftChars="0" w:hanging="720" w:firstLineChars="0"/>
              <w:textAlignment w:val="auto"/>
              <w:rPr>
                <w:rFonts w:hint="eastAsia" w:ascii="宋体" w:hAnsi="宋体" w:eastAsia="宋体" w:cs="宋体"/>
                <w:b/>
                <w:color w:val="auto"/>
                <w:sz w:val="22"/>
                <w:szCs w:val="22"/>
              </w:rPr>
            </w:pPr>
            <w:bookmarkStart w:id="10" w:name="_Toc11941092"/>
            <w:r>
              <w:rPr>
                <w:rFonts w:hint="eastAsia" w:ascii="宋体" w:hAnsi="宋体" w:eastAsia="宋体" w:cs="宋体"/>
                <w:b/>
                <w:color w:val="auto"/>
                <w:sz w:val="22"/>
                <w:szCs w:val="22"/>
                <w:lang w:val="en-US" w:eastAsia="zh-CN" w:bidi="ar-SA"/>
              </w:rPr>
              <w:t>（一）</w:t>
            </w:r>
            <w:r>
              <w:rPr>
                <w:rFonts w:hint="eastAsia" w:ascii="宋体" w:hAnsi="宋体" w:eastAsia="宋体" w:cs="宋体"/>
                <w:b/>
                <w:color w:val="auto"/>
                <w:sz w:val="22"/>
                <w:szCs w:val="22"/>
              </w:rPr>
              <w:t>搬迁需求</w:t>
            </w:r>
            <w:bookmarkEnd w:id="10"/>
          </w:p>
          <w:p w14:paraId="3163FF6F">
            <w:pPr>
              <w:pageBreakBefore w:val="0"/>
              <w:kinsoku/>
              <w:wordWrap/>
              <w:overflowPunct/>
              <w:topLinePunct w:val="0"/>
              <w:autoSpaceDE/>
              <w:autoSpaceDN/>
              <w:bidi w:val="0"/>
              <w:spacing w:line="360" w:lineRule="auto"/>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b/>
                <w:sz w:val="22"/>
                <w:szCs w:val="22"/>
              </w:rPr>
              <w:t>★</w:t>
            </w:r>
            <w:r>
              <w:rPr>
                <w:rFonts w:hint="eastAsia" w:ascii="宋体" w:hAnsi="宋体" w:eastAsia="宋体" w:cs="宋体"/>
                <w:b w:val="0"/>
                <w:bCs w:val="0"/>
                <w:color w:val="auto"/>
                <w:sz w:val="22"/>
                <w:szCs w:val="22"/>
                <w:lang w:val="en-US" w:eastAsia="zh-CN"/>
              </w:rPr>
              <w:t>2.</w:t>
            </w:r>
            <w:r>
              <w:rPr>
                <w:rFonts w:hint="eastAsia" w:ascii="宋体" w:hAnsi="宋体" w:eastAsia="宋体" w:cs="宋体"/>
                <w:b w:val="0"/>
                <w:bCs w:val="0"/>
                <w:color w:val="auto"/>
                <w:sz w:val="22"/>
                <w:szCs w:val="22"/>
                <w:lang w:eastAsia="zh-CN"/>
              </w:rPr>
              <w:t>中标人</w:t>
            </w:r>
            <w:r>
              <w:rPr>
                <w:rFonts w:hint="eastAsia" w:ascii="宋体" w:hAnsi="宋体" w:eastAsia="宋体" w:cs="宋体"/>
                <w:b w:val="0"/>
                <w:bCs w:val="0"/>
                <w:color w:val="auto"/>
                <w:sz w:val="22"/>
                <w:szCs w:val="22"/>
              </w:rPr>
              <w:t>负责原有设备的搬迁，主要包括目标机房安装环境检查、搬迁设备标签与标记、绘制设备连接图、设备拆卸与线缆绑扎、搬迁后设备重新组装和相关线缆连接等，设备上架后调试至正常运行状态。搬迁费用由中标人承担。</w:t>
            </w:r>
          </w:p>
        </w:tc>
        <w:tc>
          <w:tcPr>
            <w:tcW w:w="1444" w:type="dxa"/>
          </w:tcPr>
          <w:p w14:paraId="59D8547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5B4854A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3A57A3E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5A17091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58FC7B2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3B1BBD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58C37DB2">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11</w:t>
            </w:r>
          </w:p>
        </w:tc>
        <w:tc>
          <w:tcPr>
            <w:tcW w:w="653" w:type="dxa"/>
          </w:tcPr>
          <w:p w14:paraId="192B225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303BD71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2"/>
                <w:szCs w:val="22"/>
                <w:lang w:val="en-US" w:eastAsia="zh-CN"/>
              </w:rPr>
            </w:pPr>
            <w:r>
              <w:rPr>
                <w:rFonts w:hint="eastAsia" w:ascii="宋体" w:hAnsi="宋体" w:eastAsia="宋体" w:cs="宋体"/>
                <w:b/>
                <w:bCs/>
                <w:color w:val="auto"/>
                <w:sz w:val="22"/>
                <w:szCs w:val="22"/>
              </w:rPr>
              <w:t>★</w:t>
            </w:r>
          </w:p>
        </w:tc>
        <w:tc>
          <w:tcPr>
            <w:tcW w:w="7589" w:type="dxa"/>
          </w:tcPr>
          <w:p w14:paraId="71CC2FC3">
            <w:pPr>
              <w:pStyle w:val="7"/>
              <w:pageBreakBefore w:val="0"/>
              <w:numPr>
                <w:ilvl w:val="2"/>
                <w:numId w:val="0"/>
              </w:numPr>
              <w:kinsoku/>
              <w:wordWrap/>
              <w:overflowPunct/>
              <w:topLinePunct w:val="0"/>
              <w:autoSpaceDE/>
              <w:autoSpaceDN/>
              <w:bidi w:val="0"/>
              <w:spacing w:before="0" w:beforeLines="0" w:after="0" w:afterLines="0" w:line="360" w:lineRule="auto"/>
              <w:textAlignment w:val="auto"/>
              <w:rPr>
                <w:rFonts w:hint="eastAsia" w:ascii="宋体" w:hAnsi="宋体" w:eastAsia="宋体" w:cs="宋体"/>
                <w:b/>
                <w:color w:val="auto"/>
                <w:kern w:val="2"/>
                <w:sz w:val="22"/>
                <w:szCs w:val="22"/>
                <w:lang w:val="en-US" w:eastAsia="zh-CN" w:bidi="ar-SA"/>
              </w:rPr>
            </w:pPr>
            <w:bookmarkStart w:id="11" w:name="_Toc11941096"/>
            <w:bookmarkStart w:id="12" w:name="_Toc5832728"/>
            <w:r>
              <w:rPr>
                <w:rFonts w:hint="eastAsia" w:ascii="宋体" w:hAnsi="宋体" w:eastAsia="宋体" w:cs="宋体"/>
                <w:sz w:val="22"/>
                <w:szCs w:val="22"/>
                <w:lang w:val="en-US" w:eastAsia="zh-CN"/>
              </w:rPr>
              <w:t>五、</w:t>
            </w:r>
            <w:r>
              <w:rPr>
                <w:rFonts w:hint="eastAsia" w:ascii="宋体" w:hAnsi="宋体" w:eastAsia="宋体" w:cs="宋体"/>
                <w:sz w:val="22"/>
                <w:szCs w:val="22"/>
              </w:rPr>
              <w:t>机房设备搬迁服务</w:t>
            </w:r>
          </w:p>
          <w:p w14:paraId="68FA7B1F">
            <w:pPr>
              <w:pStyle w:val="15"/>
              <w:pageBreakBefore w:val="0"/>
              <w:numPr>
                <w:ilvl w:val="3"/>
                <w:numId w:val="0"/>
              </w:numPr>
              <w:kinsoku/>
              <w:wordWrap/>
              <w:overflowPunct/>
              <w:topLinePunct w:val="0"/>
              <w:autoSpaceDE/>
              <w:autoSpaceDN/>
              <w:bidi w:val="0"/>
              <w:spacing w:line="360" w:lineRule="auto"/>
              <w:textAlignment w:val="auto"/>
              <w:rPr>
                <w:rFonts w:hint="eastAsia" w:ascii="宋体" w:hAnsi="宋体" w:eastAsia="宋体" w:cs="宋体"/>
                <w:b/>
                <w:color w:val="auto"/>
                <w:sz w:val="22"/>
                <w:szCs w:val="22"/>
              </w:rPr>
            </w:pPr>
            <w:r>
              <w:rPr>
                <w:rFonts w:hint="eastAsia" w:ascii="宋体" w:hAnsi="宋体" w:eastAsia="宋体" w:cs="宋体"/>
                <w:b/>
                <w:color w:val="auto"/>
                <w:kern w:val="2"/>
                <w:sz w:val="22"/>
                <w:szCs w:val="22"/>
                <w:lang w:val="en-US" w:eastAsia="zh-CN" w:bidi="ar-SA"/>
              </w:rPr>
              <w:t>3.</w:t>
            </w:r>
            <w:r>
              <w:rPr>
                <w:rFonts w:hint="eastAsia" w:ascii="宋体" w:hAnsi="宋体" w:eastAsia="宋体" w:cs="宋体"/>
                <w:b/>
                <w:color w:val="auto"/>
                <w:sz w:val="22"/>
                <w:szCs w:val="22"/>
              </w:rPr>
              <w:t>搬迁实施时间要求</w:t>
            </w:r>
            <w:bookmarkEnd w:id="11"/>
            <w:bookmarkEnd w:id="12"/>
          </w:p>
          <w:p w14:paraId="46702419">
            <w:pPr>
              <w:pageBreakBefore w:val="0"/>
              <w:kinsoku/>
              <w:wordWrap/>
              <w:overflowPunct/>
              <w:topLinePunct w:val="0"/>
              <w:autoSpaceDE/>
              <w:autoSpaceDN/>
              <w:bidi w:val="0"/>
              <w:spacing w:line="360" w:lineRule="auto"/>
              <w:textAlignment w:val="auto"/>
              <w:rPr>
                <w:rFonts w:hint="eastAsia" w:ascii="宋体" w:hAnsi="宋体" w:eastAsia="宋体" w:cs="宋体"/>
                <w:b/>
                <w:sz w:val="22"/>
                <w:szCs w:val="22"/>
              </w:rPr>
            </w:pPr>
            <w:r>
              <w:rPr>
                <w:rFonts w:hint="eastAsia" w:ascii="宋体" w:hAnsi="宋体" w:eastAsia="宋体" w:cs="宋体"/>
                <w:color w:val="auto"/>
                <w:sz w:val="22"/>
                <w:szCs w:val="22"/>
              </w:rPr>
              <w:t>★</w:t>
            </w:r>
            <w:r>
              <w:rPr>
                <w:rFonts w:hint="eastAsia" w:ascii="宋体" w:hAnsi="宋体" w:eastAsia="宋体" w:cs="宋体"/>
                <w:b w:val="0"/>
                <w:bCs w:val="0"/>
                <w:color w:val="auto"/>
                <w:sz w:val="22"/>
                <w:szCs w:val="22"/>
              </w:rPr>
              <w:t>单个系统搬迁时间不超过12小时（单个系统暂停服务不超过12小时）。</w:t>
            </w:r>
            <w:r>
              <w:rPr>
                <w:rFonts w:hint="eastAsia" w:ascii="宋体" w:hAnsi="宋体" w:eastAsia="宋体" w:cs="宋体"/>
                <w:b w:val="0"/>
                <w:bCs w:val="0"/>
                <w:color w:val="auto"/>
                <w:sz w:val="22"/>
                <w:szCs w:val="22"/>
                <w:lang w:eastAsia="zh-CN"/>
              </w:rPr>
              <w:t>中标人</w:t>
            </w:r>
            <w:r>
              <w:rPr>
                <w:rFonts w:hint="eastAsia" w:ascii="宋体" w:hAnsi="宋体" w:eastAsia="宋体" w:cs="宋体"/>
                <w:b w:val="0"/>
                <w:bCs w:val="0"/>
                <w:color w:val="auto"/>
                <w:sz w:val="22"/>
                <w:szCs w:val="22"/>
              </w:rPr>
              <w:t>在搬迁实施过程中，因</w:t>
            </w:r>
            <w:r>
              <w:rPr>
                <w:rFonts w:hint="eastAsia" w:ascii="宋体" w:hAnsi="宋体" w:eastAsia="宋体" w:cs="宋体"/>
                <w:b w:val="0"/>
                <w:bCs w:val="0"/>
                <w:color w:val="auto"/>
                <w:sz w:val="22"/>
                <w:szCs w:val="22"/>
                <w:lang w:eastAsia="zh-CN"/>
              </w:rPr>
              <w:t>中标人</w:t>
            </w:r>
            <w:r>
              <w:rPr>
                <w:rFonts w:hint="eastAsia" w:ascii="宋体" w:hAnsi="宋体" w:eastAsia="宋体" w:cs="宋体"/>
                <w:b w:val="0"/>
                <w:bCs w:val="0"/>
                <w:color w:val="auto"/>
                <w:sz w:val="22"/>
                <w:szCs w:val="22"/>
              </w:rPr>
              <w:t>人为原因造成的设备损坏或丢失的，由</w:t>
            </w:r>
            <w:r>
              <w:rPr>
                <w:rFonts w:hint="eastAsia" w:ascii="宋体" w:hAnsi="宋体" w:eastAsia="宋体" w:cs="宋体"/>
                <w:b w:val="0"/>
                <w:bCs w:val="0"/>
                <w:color w:val="auto"/>
                <w:sz w:val="22"/>
                <w:szCs w:val="22"/>
                <w:lang w:eastAsia="zh-CN"/>
              </w:rPr>
              <w:t>中标人</w:t>
            </w:r>
            <w:r>
              <w:rPr>
                <w:rFonts w:hint="eastAsia" w:ascii="宋体" w:hAnsi="宋体" w:eastAsia="宋体" w:cs="宋体"/>
                <w:b w:val="0"/>
                <w:bCs w:val="0"/>
                <w:color w:val="auto"/>
                <w:sz w:val="22"/>
                <w:szCs w:val="22"/>
              </w:rPr>
              <w:t>负全责，采购人保留追究权利。</w:t>
            </w:r>
          </w:p>
        </w:tc>
        <w:tc>
          <w:tcPr>
            <w:tcW w:w="1444" w:type="dxa"/>
          </w:tcPr>
          <w:p w14:paraId="306BA9F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5D6541B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0DEF34A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7572D42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675ADD5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4F12AC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03A2F455">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12</w:t>
            </w:r>
          </w:p>
        </w:tc>
        <w:tc>
          <w:tcPr>
            <w:tcW w:w="653" w:type="dxa"/>
          </w:tcPr>
          <w:p w14:paraId="3DBE3F2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55785A6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2"/>
                <w:szCs w:val="22"/>
                <w:lang w:val="en-US" w:eastAsia="zh-CN"/>
              </w:rPr>
            </w:pPr>
            <w:r>
              <w:rPr>
                <w:rFonts w:hint="eastAsia" w:ascii="宋体" w:hAnsi="宋体" w:eastAsia="宋体" w:cs="宋体"/>
                <w:b/>
                <w:bCs/>
                <w:color w:val="auto"/>
                <w:sz w:val="22"/>
                <w:szCs w:val="22"/>
              </w:rPr>
              <w:t>★</w:t>
            </w:r>
          </w:p>
        </w:tc>
        <w:tc>
          <w:tcPr>
            <w:tcW w:w="7589" w:type="dxa"/>
          </w:tcPr>
          <w:p w14:paraId="1ACF1F76">
            <w:pPr>
              <w:pStyle w:val="7"/>
              <w:keepNext/>
              <w:keepLines/>
              <w:pageBreakBefore w:val="0"/>
              <w:widowControl w:val="0"/>
              <w:numPr>
                <w:ilvl w:val="2"/>
                <w:numId w:val="0"/>
              </w:numPr>
              <w:kinsoku/>
              <w:wordWrap/>
              <w:overflowPunct/>
              <w:topLinePunct w:val="0"/>
              <w:autoSpaceDE/>
              <w:autoSpaceDN/>
              <w:bidi w:val="0"/>
              <w:adjustRightInd/>
              <w:snapToGrid/>
              <w:spacing w:before="0" w:beforeLines="0" w:after="0" w:afterLines="0" w:line="360" w:lineRule="auto"/>
              <w:ind w:leftChars="0"/>
              <w:textAlignment w:val="auto"/>
              <w:rPr>
                <w:rFonts w:hint="eastAsia" w:ascii="宋体" w:hAnsi="宋体" w:eastAsia="宋体" w:cs="宋体"/>
                <w:sz w:val="22"/>
                <w:szCs w:val="22"/>
              </w:rPr>
            </w:pPr>
            <w:bookmarkStart w:id="13" w:name="_Toc11165"/>
            <w:bookmarkStart w:id="14" w:name="_Toc16600"/>
            <w:bookmarkStart w:id="15" w:name="_Toc13534"/>
            <w:r>
              <w:rPr>
                <w:rFonts w:hint="eastAsia" w:ascii="宋体" w:hAnsi="宋体" w:eastAsia="宋体" w:cs="宋体"/>
                <w:sz w:val="22"/>
                <w:szCs w:val="22"/>
                <w:lang w:val="en-US" w:eastAsia="zh-CN"/>
              </w:rPr>
              <w:t>六、</w:t>
            </w:r>
            <w:r>
              <w:rPr>
                <w:rFonts w:hint="eastAsia" w:ascii="宋体" w:hAnsi="宋体" w:eastAsia="宋体" w:cs="宋体"/>
                <w:sz w:val="22"/>
                <w:szCs w:val="22"/>
              </w:rPr>
              <w:t>其他要求</w:t>
            </w:r>
            <w:bookmarkEnd w:id="13"/>
            <w:bookmarkEnd w:id="14"/>
            <w:bookmarkEnd w:id="15"/>
          </w:p>
          <w:p w14:paraId="5FD92060">
            <w:pPr>
              <w:pageBreakBefore w:val="0"/>
              <w:widowControl w:val="0"/>
              <w:kinsoku/>
              <w:wordWrap/>
              <w:overflowPunct/>
              <w:topLinePunct w:val="0"/>
              <w:autoSpaceDE/>
              <w:autoSpaceDN/>
              <w:bidi w:val="0"/>
              <w:spacing w:line="360" w:lineRule="auto"/>
              <w:jc w:val="both"/>
              <w:textAlignment w:val="auto"/>
              <w:rPr>
                <w:rFonts w:hint="eastAsia" w:ascii="宋体" w:hAnsi="宋体" w:eastAsia="宋体" w:cs="宋体"/>
                <w:color w:val="auto"/>
                <w:sz w:val="22"/>
                <w:szCs w:val="22"/>
              </w:rPr>
            </w:pPr>
            <w:r>
              <w:rPr>
                <w:rFonts w:hint="eastAsia" w:ascii="宋体" w:hAnsi="宋体" w:eastAsia="宋体" w:cs="宋体"/>
                <w:b/>
                <w:bCs/>
                <w:color w:val="auto"/>
                <w:sz w:val="22"/>
                <w:szCs w:val="22"/>
              </w:rPr>
              <w:t>★</w:t>
            </w:r>
            <w:r>
              <w:rPr>
                <w:rFonts w:hint="eastAsia" w:ascii="宋体" w:hAnsi="宋体" w:eastAsia="宋体" w:cs="宋体"/>
                <w:b w:val="0"/>
                <w:bCs w:val="0"/>
                <w:color w:val="auto"/>
                <w:sz w:val="22"/>
                <w:szCs w:val="22"/>
                <w:lang w:eastAsia="zh-CN"/>
              </w:rPr>
              <w:t>（</w:t>
            </w:r>
            <w:r>
              <w:rPr>
                <w:rFonts w:hint="eastAsia" w:ascii="宋体" w:hAnsi="宋体" w:eastAsia="宋体" w:cs="宋体"/>
                <w:b w:val="0"/>
                <w:bCs w:val="0"/>
                <w:color w:val="auto"/>
                <w:sz w:val="22"/>
                <w:szCs w:val="22"/>
                <w:lang w:val="en-US" w:eastAsia="zh-CN"/>
              </w:rPr>
              <w:t>一</w:t>
            </w:r>
            <w:r>
              <w:rPr>
                <w:rFonts w:hint="eastAsia" w:ascii="宋体" w:hAnsi="宋体" w:eastAsia="宋体" w:cs="宋体"/>
                <w:b w:val="0"/>
                <w:bCs w:val="0"/>
                <w:color w:val="auto"/>
                <w:sz w:val="22"/>
                <w:szCs w:val="22"/>
                <w:lang w:eastAsia="zh-CN"/>
              </w:rPr>
              <w:t>）</w:t>
            </w:r>
            <w:r>
              <w:rPr>
                <w:rFonts w:hint="eastAsia" w:ascii="宋体" w:hAnsi="宋体" w:eastAsia="宋体" w:cs="宋体"/>
                <w:b w:val="0"/>
                <w:bCs w:val="0"/>
                <w:color w:val="auto"/>
                <w:sz w:val="22"/>
                <w:szCs w:val="22"/>
              </w:rPr>
              <w:t>在租赁期内，采购人实际使用的机柜数在本项目租用机柜数的正负5%内变化，租金总价不变。超过正负5%的部分，按机柜中标租赁单价及机柜实际增减数量核定</w:t>
            </w:r>
            <w:r>
              <w:rPr>
                <w:rFonts w:hint="eastAsia" w:ascii="宋体" w:hAnsi="宋体" w:eastAsia="宋体" w:cs="宋体"/>
                <w:b w:val="0"/>
                <w:bCs w:val="0"/>
                <w:color w:val="auto"/>
                <w:sz w:val="22"/>
                <w:szCs w:val="22"/>
                <w:lang w:val="en-US" w:eastAsia="zh-CN"/>
              </w:rPr>
              <w:t>服务费</w:t>
            </w:r>
            <w:r>
              <w:rPr>
                <w:rFonts w:hint="eastAsia" w:ascii="宋体" w:hAnsi="宋体" w:eastAsia="宋体" w:cs="宋体"/>
                <w:b w:val="0"/>
                <w:bCs w:val="0"/>
                <w:color w:val="auto"/>
                <w:sz w:val="22"/>
                <w:szCs w:val="22"/>
              </w:rPr>
              <w:t>的增减。</w:t>
            </w:r>
          </w:p>
        </w:tc>
        <w:tc>
          <w:tcPr>
            <w:tcW w:w="1444" w:type="dxa"/>
          </w:tcPr>
          <w:p w14:paraId="4B925EE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44AB9DD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79B8496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73669E5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6C29D9D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1C93A0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49801532">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13</w:t>
            </w:r>
          </w:p>
        </w:tc>
        <w:tc>
          <w:tcPr>
            <w:tcW w:w="653" w:type="dxa"/>
          </w:tcPr>
          <w:p w14:paraId="4B088A1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3EC8B97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2"/>
                <w:szCs w:val="22"/>
                <w:lang w:val="en-US" w:eastAsia="zh-CN"/>
              </w:rPr>
            </w:pPr>
            <w:r>
              <w:rPr>
                <w:rFonts w:hint="eastAsia" w:ascii="宋体" w:hAnsi="宋体" w:eastAsia="宋体" w:cs="宋体"/>
                <w:b/>
                <w:bCs/>
                <w:color w:val="auto"/>
                <w:sz w:val="22"/>
                <w:szCs w:val="22"/>
              </w:rPr>
              <w:t>★</w:t>
            </w:r>
          </w:p>
        </w:tc>
        <w:tc>
          <w:tcPr>
            <w:tcW w:w="7589" w:type="dxa"/>
          </w:tcPr>
          <w:p w14:paraId="0BC83DF0">
            <w:pPr>
              <w:pStyle w:val="7"/>
              <w:keepNext/>
              <w:keepLines/>
              <w:pageBreakBefore w:val="0"/>
              <w:widowControl w:val="0"/>
              <w:numPr>
                <w:ilvl w:val="2"/>
                <w:numId w:val="0"/>
              </w:numPr>
              <w:kinsoku/>
              <w:wordWrap/>
              <w:overflowPunct/>
              <w:topLinePunct w:val="0"/>
              <w:autoSpaceDE/>
              <w:autoSpaceDN/>
              <w:bidi w:val="0"/>
              <w:adjustRightInd/>
              <w:snapToGrid/>
              <w:spacing w:before="0" w:beforeLines="0" w:after="0" w:afterLines="0" w:line="360" w:lineRule="auto"/>
              <w:ind w:leftChars="0"/>
              <w:textAlignment w:val="auto"/>
              <w:rPr>
                <w:rFonts w:hint="eastAsia" w:ascii="宋体" w:hAnsi="宋体" w:eastAsia="宋体" w:cs="宋体"/>
                <w:sz w:val="22"/>
                <w:szCs w:val="22"/>
              </w:rPr>
            </w:pPr>
            <w:r>
              <w:rPr>
                <w:rFonts w:hint="eastAsia" w:ascii="宋体" w:hAnsi="宋体" w:eastAsia="宋体" w:cs="宋体"/>
                <w:sz w:val="22"/>
                <w:szCs w:val="22"/>
                <w:lang w:val="en-US" w:eastAsia="zh-CN"/>
              </w:rPr>
              <w:t>六、</w:t>
            </w:r>
            <w:r>
              <w:rPr>
                <w:rFonts w:hint="eastAsia" w:ascii="宋体" w:hAnsi="宋体" w:eastAsia="宋体" w:cs="宋体"/>
                <w:sz w:val="22"/>
                <w:szCs w:val="22"/>
              </w:rPr>
              <w:t>其他要求</w:t>
            </w:r>
          </w:p>
          <w:p w14:paraId="4E61AAE5">
            <w:pPr>
              <w:pageBreakBefore w:val="0"/>
              <w:widowControl w:val="0"/>
              <w:kinsoku/>
              <w:wordWrap/>
              <w:overflowPunct/>
              <w:topLinePunct w:val="0"/>
              <w:autoSpaceDE/>
              <w:autoSpaceDN/>
              <w:bidi w:val="0"/>
              <w:spacing w:line="360" w:lineRule="auto"/>
              <w:jc w:val="both"/>
              <w:textAlignment w:val="auto"/>
              <w:rPr>
                <w:rFonts w:hint="eastAsia" w:ascii="宋体" w:hAnsi="宋体" w:eastAsia="宋体" w:cs="宋体"/>
                <w:color w:val="auto"/>
                <w:sz w:val="22"/>
                <w:szCs w:val="22"/>
              </w:rPr>
            </w:pPr>
            <w:r>
              <w:rPr>
                <w:rFonts w:hint="eastAsia" w:ascii="宋体" w:hAnsi="宋体" w:eastAsia="宋体" w:cs="宋体"/>
                <w:b/>
                <w:bCs/>
                <w:color w:val="auto"/>
                <w:sz w:val="22"/>
                <w:szCs w:val="22"/>
              </w:rPr>
              <w:t>★</w:t>
            </w:r>
            <w:r>
              <w:rPr>
                <w:rFonts w:hint="eastAsia" w:ascii="宋体" w:hAnsi="宋体" w:eastAsia="宋体" w:cs="宋体"/>
                <w:b w:val="0"/>
                <w:bCs w:val="0"/>
                <w:color w:val="auto"/>
                <w:sz w:val="22"/>
                <w:szCs w:val="22"/>
                <w:lang w:val="en-US" w:eastAsia="zh-CN"/>
              </w:rPr>
              <w:t>（二）</w:t>
            </w:r>
            <w:r>
              <w:rPr>
                <w:rFonts w:hint="eastAsia" w:ascii="宋体" w:hAnsi="宋体" w:eastAsia="宋体" w:cs="宋体"/>
                <w:b w:val="0"/>
                <w:bCs w:val="0"/>
                <w:color w:val="auto"/>
                <w:sz w:val="22"/>
                <w:szCs w:val="22"/>
                <w:lang w:eastAsia="zh-CN"/>
              </w:rPr>
              <w:t>中标人</w:t>
            </w:r>
            <w:r>
              <w:rPr>
                <w:rFonts w:hint="eastAsia" w:ascii="宋体" w:hAnsi="宋体" w:eastAsia="宋体" w:cs="宋体"/>
                <w:b w:val="0"/>
                <w:bCs w:val="0"/>
                <w:color w:val="auto"/>
                <w:sz w:val="22"/>
                <w:szCs w:val="22"/>
              </w:rPr>
              <w:t>提供的机房</w:t>
            </w:r>
            <w:r>
              <w:rPr>
                <w:rFonts w:hint="eastAsia" w:ascii="宋体" w:hAnsi="宋体" w:eastAsia="宋体" w:cs="宋体"/>
                <w:b w:val="0"/>
                <w:bCs w:val="0"/>
                <w:color w:val="auto"/>
                <w:sz w:val="22"/>
                <w:szCs w:val="22"/>
                <w:lang w:eastAsia="zh-CN"/>
              </w:rPr>
              <w:t>在中山市城区内（石岐区、东区、西区、南区、开发区）且</w:t>
            </w:r>
            <w:r>
              <w:rPr>
                <w:rFonts w:hint="eastAsia" w:ascii="宋体" w:hAnsi="宋体" w:eastAsia="宋体" w:cs="宋体"/>
                <w:b w:val="0"/>
                <w:bCs w:val="0"/>
                <w:color w:val="auto"/>
                <w:sz w:val="22"/>
                <w:szCs w:val="22"/>
              </w:rPr>
              <w:t>必须是自有物业，</w:t>
            </w:r>
            <w:r>
              <w:rPr>
                <w:rFonts w:hint="eastAsia" w:ascii="宋体" w:hAnsi="宋体" w:eastAsia="宋体" w:cs="宋体"/>
                <w:b w:val="0"/>
                <w:bCs w:val="0"/>
                <w:color w:val="auto"/>
                <w:sz w:val="22"/>
                <w:szCs w:val="22"/>
                <w:lang w:val="en-US" w:eastAsia="zh-CN"/>
              </w:rPr>
              <w:t>投标文件</w:t>
            </w:r>
            <w:r>
              <w:rPr>
                <w:rFonts w:hint="eastAsia" w:ascii="宋体" w:hAnsi="宋体" w:eastAsia="宋体" w:cs="宋体"/>
                <w:b w:val="0"/>
                <w:bCs w:val="0"/>
                <w:color w:val="auto"/>
                <w:sz w:val="22"/>
                <w:szCs w:val="22"/>
              </w:rPr>
              <w:t>提供产权证明</w:t>
            </w:r>
            <w:r>
              <w:rPr>
                <w:rFonts w:hint="eastAsia" w:ascii="宋体" w:hAnsi="宋体" w:eastAsia="宋体" w:cs="宋体"/>
                <w:b w:val="0"/>
                <w:bCs w:val="0"/>
                <w:color w:val="auto"/>
                <w:sz w:val="22"/>
                <w:szCs w:val="22"/>
                <w:lang w:eastAsia="zh-CN"/>
              </w:rPr>
              <w:t>复印件（或扫描件）</w:t>
            </w:r>
            <w:r>
              <w:rPr>
                <w:rFonts w:hint="eastAsia" w:ascii="宋体" w:hAnsi="宋体" w:eastAsia="宋体" w:cs="宋体"/>
                <w:b w:val="0"/>
                <w:bCs w:val="0"/>
                <w:color w:val="auto"/>
                <w:sz w:val="22"/>
                <w:szCs w:val="22"/>
              </w:rPr>
              <w:t>，</w:t>
            </w:r>
            <w:r>
              <w:rPr>
                <w:rFonts w:hint="eastAsia" w:ascii="宋体" w:hAnsi="宋体" w:eastAsia="宋体" w:cs="宋体"/>
                <w:b w:val="0"/>
                <w:bCs w:val="0"/>
                <w:color w:val="auto"/>
                <w:sz w:val="22"/>
                <w:szCs w:val="22"/>
                <w:highlight w:val="none"/>
              </w:rPr>
              <w:t>产权所有</w:t>
            </w:r>
            <w:r>
              <w:rPr>
                <w:rFonts w:hint="eastAsia" w:ascii="宋体" w:hAnsi="宋体" w:eastAsia="宋体" w:cs="宋体"/>
                <w:b w:val="0"/>
                <w:bCs w:val="0"/>
                <w:color w:val="auto"/>
                <w:sz w:val="22"/>
                <w:szCs w:val="22"/>
                <w:highlight w:val="none"/>
                <w:u w:val="none"/>
              </w:rPr>
              <w:t>人</w:t>
            </w:r>
            <w:r>
              <w:rPr>
                <w:rFonts w:hint="eastAsia" w:ascii="宋体" w:hAnsi="宋体" w:eastAsia="宋体" w:cs="宋体"/>
                <w:b w:val="0"/>
                <w:bCs w:val="0"/>
                <w:color w:val="auto"/>
                <w:sz w:val="22"/>
                <w:szCs w:val="22"/>
                <w:highlight w:val="none"/>
                <w:u w:val="none"/>
                <w:lang w:val="en-US" w:eastAsia="zh-CN"/>
              </w:rPr>
              <w:t>须</w:t>
            </w:r>
            <w:r>
              <w:rPr>
                <w:rFonts w:hint="eastAsia" w:ascii="宋体" w:hAnsi="宋体" w:eastAsia="宋体" w:cs="宋体"/>
                <w:b w:val="0"/>
                <w:bCs w:val="0"/>
                <w:color w:val="auto"/>
                <w:sz w:val="22"/>
                <w:szCs w:val="22"/>
                <w:u w:val="none"/>
                <w:lang w:val="en-US" w:eastAsia="zh-CN"/>
              </w:rPr>
              <w:t>为投</w:t>
            </w:r>
            <w:r>
              <w:rPr>
                <w:rFonts w:hint="eastAsia" w:ascii="宋体" w:hAnsi="宋体" w:eastAsia="宋体" w:cs="宋体"/>
                <w:b w:val="0"/>
                <w:bCs w:val="0"/>
                <w:color w:val="auto"/>
                <w:sz w:val="22"/>
                <w:szCs w:val="22"/>
                <w:u w:val="none"/>
                <w:lang w:eastAsia="zh-CN"/>
              </w:rPr>
              <w:t>标人</w:t>
            </w:r>
            <w:r>
              <w:rPr>
                <w:rFonts w:hint="eastAsia" w:ascii="宋体" w:hAnsi="宋体" w:eastAsia="宋体" w:cs="宋体"/>
                <w:b w:val="0"/>
                <w:bCs w:val="0"/>
                <w:color w:val="auto"/>
                <w:sz w:val="22"/>
                <w:szCs w:val="22"/>
                <w:u w:val="none"/>
                <w:lang w:val="en-US" w:eastAsia="zh-CN"/>
              </w:rPr>
              <w:t>或与投标人存在直接控股关系或管理关系的总公司或分公司。</w:t>
            </w:r>
          </w:p>
        </w:tc>
        <w:tc>
          <w:tcPr>
            <w:tcW w:w="1444" w:type="dxa"/>
          </w:tcPr>
          <w:p w14:paraId="1EED3A7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63E0D5D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5B4205D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198E386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5FE9063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6D0D11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12C17EA0">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14</w:t>
            </w:r>
          </w:p>
        </w:tc>
        <w:tc>
          <w:tcPr>
            <w:tcW w:w="653" w:type="dxa"/>
          </w:tcPr>
          <w:p w14:paraId="75201E4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288A3E4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2"/>
                <w:szCs w:val="22"/>
                <w:lang w:val="en-US" w:eastAsia="zh-CN"/>
              </w:rPr>
            </w:pPr>
            <w:r>
              <w:rPr>
                <w:rFonts w:hint="eastAsia" w:ascii="宋体" w:hAnsi="宋体" w:eastAsia="宋体" w:cs="宋体"/>
                <w:b/>
                <w:bCs/>
                <w:color w:val="auto"/>
                <w:sz w:val="22"/>
                <w:szCs w:val="22"/>
              </w:rPr>
              <w:t>★</w:t>
            </w:r>
          </w:p>
        </w:tc>
        <w:tc>
          <w:tcPr>
            <w:tcW w:w="7589" w:type="dxa"/>
          </w:tcPr>
          <w:p w14:paraId="72A275EC">
            <w:pPr>
              <w:pStyle w:val="7"/>
              <w:keepNext/>
              <w:keepLines/>
              <w:pageBreakBefore w:val="0"/>
              <w:widowControl w:val="0"/>
              <w:numPr>
                <w:ilvl w:val="2"/>
                <w:numId w:val="0"/>
              </w:numPr>
              <w:kinsoku/>
              <w:wordWrap/>
              <w:overflowPunct/>
              <w:topLinePunct w:val="0"/>
              <w:autoSpaceDE/>
              <w:autoSpaceDN/>
              <w:bidi w:val="0"/>
              <w:adjustRightInd/>
              <w:snapToGrid/>
              <w:spacing w:before="0" w:beforeLines="0" w:after="0" w:afterLines="0" w:line="360" w:lineRule="auto"/>
              <w:ind w:leftChars="0"/>
              <w:textAlignment w:val="auto"/>
              <w:rPr>
                <w:rFonts w:hint="eastAsia" w:ascii="宋体" w:hAnsi="宋体" w:eastAsia="宋体" w:cs="宋体"/>
                <w:sz w:val="22"/>
                <w:szCs w:val="22"/>
              </w:rPr>
            </w:pPr>
            <w:r>
              <w:rPr>
                <w:rFonts w:hint="eastAsia" w:ascii="宋体" w:hAnsi="宋体" w:eastAsia="宋体" w:cs="宋体"/>
                <w:sz w:val="22"/>
                <w:szCs w:val="22"/>
                <w:lang w:val="en-US" w:eastAsia="zh-CN"/>
              </w:rPr>
              <w:t>六、</w:t>
            </w:r>
            <w:r>
              <w:rPr>
                <w:rFonts w:hint="eastAsia" w:ascii="宋体" w:hAnsi="宋体" w:eastAsia="宋体" w:cs="宋体"/>
                <w:sz w:val="22"/>
                <w:szCs w:val="22"/>
              </w:rPr>
              <w:t>其他要求</w:t>
            </w:r>
          </w:p>
          <w:p w14:paraId="585B6A12">
            <w:pPr>
              <w:pageBreakBefore w:val="0"/>
              <w:widowControl w:val="0"/>
              <w:kinsoku/>
              <w:wordWrap/>
              <w:overflowPunct/>
              <w:topLinePunct w:val="0"/>
              <w:autoSpaceDE/>
              <w:autoSpaceDN/>
              <w:bidi w:val="0"/>
              <w:spacing w:line="360" w:lineRule="auto"/>
              <w:jc w:val="both"/>
              <w:textAlignment w:val="auto"/>
              <w:rPr>
                <w:rFonts w:hint="eastAsia" w:ascii="宋体" w:hAnsi="宋体" w:eastAsia="宋体" w:cs="宋体"/>
                <w:color w:val="auto"/>
                <w:sz w:val="22"/>
                <w:szCs w:val="22"/>
              </w:rPr>
            </w:pPr>
            <w:r>
              <w:rPr>
                <w:rFonts w:hint="eastAsia" w:ascii="宋体" w:hAnsi="宋体" w:eastAsia="宋体" w:cs="宋体"/>
                <w:b/>
                <w:bCs/>
                <w:color w:val="auto"/>
                <w:sz w:val="22"/>
                <w:szCs w:val="22"/>
              </w:rPr>
              <w:t>★</w:t>
            </w:r>
            <w:r>
              <w:rPr>
                <w:rFonts w:hint="eastAsia" w:ascii="宋体" w:hAnsi="宋体" w:eastAsia="宋体" w:cs="宋体"/>
                <w:b w:val="0"/>
                <w:bCs w:val="0"/>
                <w:color w:val="auto"/>
                <w:sz w:val="22"/>
                <w:szCs w:val="22"/>
                <w:lang w:val="en-US" w:eastAsia="zh-CN"/>
              </w:rPr>
              <w:t>（三）</w:t>
            </w:r>
            <w:r>
              <w:rPr>
                <w:rFonts w:hint="eastAsia" w:ascii="宋体" w:hAnsi="宋体" w:eastAsia="宋体" w:cs="宋体"/>
                <w:b w:val="0"/>
                <w:bCs w:val="0"/>
                <w:color w:val="auto"/>
                <w:sz w:val="22"/>
                <w:szCs w:val="22"/>
                <w:lang w:eastAsia="zh-CN"/>
              </w:rPr>
              <w:t>中标人</w:t>
            </w:r>
            <w:r>
              <w:rPr>
                <w:rFonts w:hint="eastAsia" w:ascii="宋体" w:hAnsi="宋体" w:eastAsia="宋体" w:cs="宋体"/>
                <w:b w:val="0"/>
                <w:bCs w:val="0"/>
                <w:color w:val="auto"/>
                <w:sz w:val="22"/>
                <w:szCs w:val="22"/>
              </w:rPr>
              <w:t>应无条件允许采购人自建或租用的光纤可接入租赁机房，并允许施工单位进场施工；如原先</w:t>
            </w:r>
            <w:r>
              <w:rPr>
                <w:rFonts w:hint="eastAsia" w:ascii="宋体" w:hAnsi="宋体" w:eastAsia="宋体" w:cs="宋体"/>
                <w:b w:val="0"/>
                <w:bCs w:val="0"/>
                <w:color w:val="auto"/>
                <w:sz w:val="22"/>
                <w:szCs w:val="22"/>
                <w:lang w:val="en-US" w:eastAsia="zh-CN"/>
              </w:rPr>
              <w:t>有</w:t>
            </w:r>
            <w:r>
              <w:rPr>
                <w:rFonts w:hint="eastAsia" w:ascii="宋体" w:hAnsi="宋体" w:eastAsia="宋体" w:cs="宋体"/>
                <w:b w:val="0"/>
                <w:bCs w:val="0"/>
                <w:color w:val="auto"/>
                <w:sz w:val="22"/>
                <w:szCs w:val="22"/>
              </w:rPr>
              <w:t>对公安局提供光纤租赁服务的，采购人要求迁移至租赁机房，</w:t>
            </w:r>
            <w:r>
              <w:rPr>
                <w:rFonts w:hint="eastAsia" w:ascii="宋体" w:hAnsi="宋体" w:eastAsia="宋体" w:cs="宋体"/>
                <w:b w:val="0"/>
                <w:bCs w:val="0"/>
                <w:color w:val="auto"/>
                <w:sz w:val="22"/>
                <w:szCs w:val="22"/>
                <w:lang w:eastAsia="zh-CN"/>
              </w:rPr>
              <w:t>中标人</w:t>
            </w:r>
            <w:r>
              <w:rPr>
                <w:rFonts w:hint="eastAsia" w:ascii="宋体" w:hAnsi="宋体" w:eastAsia="宋体" w:cs="宋体"/>
                <w:b w:val="0"/>
                <w:bCs w:val="0"/>
                <w:color w:val="auto"/>
                <w:sz w:val="22"/>
                <w:szCs w:val="22"/>
              </w:rPr>
              <w:t>须无条件迁移，迁移费用按原租赁协议或双方商议决</w:t>
            </w:r>
            <w:r>
              <w:rPr>
                <w:rFonts w:hint="eastAsia" w:ascii="宋体" w:hAnsi="宋体" w:eastAsia="宋体" w:cs="宋体"/>
                <w:b w:val="0"/>
                <w:bCs w:val="0"/>
                <w:color w:val="auto"/>
                <w:sz w:val="22"/>
                <w:szCs w:val="22"/>
                <w:highlight w:val="none"/>
              </w:rPr>
              <w:t>定。（请在投标文件格式十“承诺函”提供承诺</w:t>
            </w:r>
            <w:r>
              <w:rPr>
                <w:rFonts w:hint="eastAsia" w:ascii="宋体" w:hAnsi="宋体" w:eastAsia="宋体" w:cs="宋体"/>
                <w:b w:val="0"/>
                <w:bCs w:val="0"/>
                <w:color w:val="auto"/>
                <w:sz w:val="22"/>
                <w:szCs w:val="22"/>
                <w:highlight w:val="none"/>
                <w:lang w:eastAsia="zh-CN"/>
              </w:rPr>
              <w:t>，</w:t>
            </w:r>
            <w:r>
              <w:rPr>
                <w:rFonts w:hint="eastAsia" w:ascii="宋体" w:hAnsi="宋体" w:eastAsia="宋体" w:cs="宋体"/>
                <w:b w:val="0"/>
                <w:bCs w:val="0"/>
                <w:color w:val="000000"/>
                <w:kern w:val="0"/>
                <w:sz w:val="22"/>
                <w:szCs w:val="22"/>
                <w:lang w:val="en-US" w:eastAsia="zh-CN" w:bidi="ar"/>
              </w:rPr>
              <w:t>并在条款前注明：对中山市公安局信息数据机房租用项目承诺：</w:t>
            </w:r>
            <w:r>
              <w:rPr>
                <w:rFonts w:hint="eastAsia" w:ascii="宋体" w:hAnsi="宋体" w:eastAsia="宋体" w:cs="宋体"/>
                <w:b w:val="0"/>
                <w:bCs w:val="0"/>
                <w:color w:val="auto"/>
                <w:sz w:val="22"/>
                <w:szCs w:val="22"/>
                <w:highlight w:val="none"/>
              </w:rPr>
              <w:t>）</w:t>
            </w:r>
          </w:p>
        </w:tc>
        <w:tc>
          <w:tcPr>
            <w:tcW w:w="1444" w:type="dxa"/>
          </w:tcPr>
          <w:p w14:paraId="72FCBA2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18E5DDD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4C570FD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58F93BD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78F7B36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bl>
    <w:p w14:paraId="483517DD">
      <w:pPr>
        <w:pStyle w:val="3"/>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32"/>
          <w:lang w:val="en-US" w:eastAsia="zh-CN"/>
        </w:rPr>
      </w:pPr>
    </w:p>
    <w:p w14:paraId="389F8BD2">
      <w:pPr>
        <w:pStyle w:val="3"/>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32"/>
          <w:lang w:val="en-US" w:eastAsia="zh-CN"/>
        </w:rPr>
      </w:pPr>
      <w:r>
        <w:rPr>
          <w:rFonts w:hint="eastAsia"/>
          <w:b/>
          <w:bCs/>
          <w:sz w:val="24"/>
          <w:szCs w:val="32"/>
          <w:lang w:val="en-US" w:eastAsia="zh-CN"/>
        </w:rPr>
        <w:t>注：1.此汇总表仅汇总采购包一“</w:t>
      </w:r>
      <w:r>
        <w:rPr>
          <w:rFonts w:hint="eastAsia" w:ascii="宋体" w:hAnsi="宋体" w:eastAsia="宋体" w:cs="宋体"/>
          <w:b w:val="0"/>
          <w:bCs w:val="0"/>
          <w:color w:val="auto"/>
          <w:sz w:val="22"/>
          <w:szCs w:val="22"/>
          <w:highlight w:val="none"/>
        </w:rPr>
        <w:t>★</w:t>
      </w:r>
      <w:r>
        <w:rPr>
          <w:rFonts w:hint="eastAsia"/>
          <w:b/>
          <w:bCs/>
          <w:sz w:val="24"/>
          <w:szCs w:val="32"/>
          <w:lang w:val="en-US" w:eastAsia="zh-CN"/>
        </w:rPr>
        <w:t>”参数条款。 请投标人在制作投标文件中自行补充到响应表中，任何“★”参数负偏离则将被视为无效投标。</w:t>
      </w:r>
    </w:p>
    <w:p w14:paraId="3A57B225">
      <w:pPr>
        <w:pStyle w:val="3"/>
        <w:keepNext w:val="0"/>
        <w:keepLines w:val="0"/>
        <w:pageBreakBefore w:val="0"/>
        <w:widowControl w:val="0"/>
        <w:kinsoku/>
        <w:wordWrap/>
        <w:overflowPunct/>
        <w:topLinePunct w:val="0"/>
        <w:autoSpaceDE/>
        <w:autoSpaceDN/>
        <w:bidi w:val="0"/>
        <w:adjustRightInd/>
        <w:snapToGrid/>
        <w:spacing w:line="360" w:lineRule="auto"/>
        <w:ind w:firstLine="964" w:firstLineChars="400"/>
        <w:textAlignment w:val="auto"/>
        <w:rPr>
          <w:rFonts w:hint="default" w:ascii="宋体" w:hAnsi="宋体" w:eastAsia="宋体" w:cs="宋体"/>
          <w:b/>
          <w:bCs/>
          <w:kern w:val="2"/>
          <w:sz w:val="24"/>
          <w:szCs w:val="24"/>
          <w:highlight w:val="none"/>
          <w:lang w:val="en-US" w:eastAsia="zh-CN" w:bidi="ar-SA"/>
        </w:rPr>
      </w:pPr>
      <w:r>
        <w:rPr>
          <w:rFonts w:hint="eastAsia"/>
          <w:b/>
          <w:bCs/>
          <w:sz w:val="24"/>
          <w:szCs w:val="24"/>
          <w:lang w:val="en-US" w:eastAsia="zh-CN"/>
        </w:rPr>
        <w:t>2.</w:t>
      </w:r>
      <w:r>
        <w:rPr>
          <w:rFonts w:hint="eastAsia" w:ascii="宋体" w:hAnsi="宋体" w:eastAsia="宋体" w:cs="宋体"/>
          <w:b/>
          <w:bCs/>
          <w:kern w:val="2"/>
          <w:sz w:val="24"/>
          <w:szCs w:val="24"/>
          <w:highlight w:val="none"/>
          <w:lang w:val="en-US" w:eastAsia="zh-CN" w:bidi="ar-SA"/>
        </w:rPr>
        <w:t>本表中“采购文件规定的技术和服务要求”的填写若与招标文件第二章“采购需求”中的表述不一致，以招标文件第二章“采购需求”中的表述为准。</w:t>
      </w:r>
    </w:p>
    <w:p w14:paraId="3E6ACE3D">
      <w:pPr>
        <w:spacing w:line="480" w:lineRule="auto"/>
        <w:rPr>
          <w:rFonts w:hint="default"/>
          <w:b/>
          <w:bCs/>
          <w:sz w:val="24"/>
          <w:szCs w:val="32"/>
          <w:lang w:val="en-US" w:eastAsia="zh-CN"/>
        </w:rPr>
      </w:pPr>
    </w:p>
    <w:sectPr>
      <w:pgSz w:w="16838" w:h="11906" w:orient="landscape"/>
      <w:pgMar w:top="96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A384AF"/>
    <w:multiLevelType w:val="multilevel"/>
    <w:tmpl w:val="86A384AF"/>
    <w:lvl w:ilvl="0" w:tentative="0">
      <w:start w:val="1"/>
      <w:numFmt w:val="chineseCountingThousand"/>
      <w:suff w:val="nothing"/>
      <w:lvlText w:val="%1、"/>
      <w:lvlJc w:val="left"/>
      <w:pPr>
        <w:ind w:left="425" w:hanging="425"/>
      </w:pPr>
      <w:rPr>
        <w:rFonts w:hint="eastAsia" w:eastAsia="宋体"/>
        <w:sz w:val="30"/>
      </w:rPr>
    </w:lvl>
    <w:lvl w:ilvl="1" w:tentative="0">
      <w:start w:val="1"/>
      <w:numFmt w:val="decimal"/>
      <w:isLgl/>
      <w:suff w:val="space"/>
      <w:lvlText w:val="%2"/>
      <w:lvlJc w:val="left"/>
      <w:pPr>
        <w:ind w:left="992" w:hanging="992"/>
      </w:pPr>
      <w:rPr>
        <w:rFonts w:hint="default" w:ascii="Times New Roman" w:hAnsi="Times New Roman" w:cs="Times New Roman"/>
      </w:rPr>
    </w:lvl>
    <w:lvl w:ilvl="2" w:tentative="0">
      <w:start w:val="1"/>
      <w:numFmt w:val="decimal"/>
      <w:isLgl/>
      <w:suff w:val="space"/>
      <w:lvlText w:val="%2.%3"/>
      <w:lvlJc w:val="left"/>
      <w:pPr>
        <w:ind w:left="1418" w:hanging="1418"/>
      </w:pPr>
      <w:rPr>
        <w:rFonts w:hint="eastAsia"/>
      </w:rPr>
    </w:lvl>
    <w:lvl w:ilvl="3" w:tentative="0">
      <w:start w:val="1"/>
      <w:numFmt w:val="decimal"/>
      <w:isLgl/>
      <w:suff w:val="space"/>
      <w:lvlText w:val="%2.%3.%4"/>
      <w:lvlJc w:val="left"/>
      <w:pPr>
        <w:ind w:left="1984" w:hanging="1984"/>
      </w:pPr>
      <w:rPr>
        <w:rFonts w:hint="eastAsia"/>
      </w:rPr>
    </w:lvl>
    <w:lvl w:ilvl="4" w:tentative="0">
      <w:start w:val="1"/>
      <w:numFmt w:val="decimal"/>
      <w:isLgl/>
      <w:suff w:val="space"/>
      <w:lvlText w:val="%2.%3.%4.%5"/>
      <w:lvlJc w:val="left"/>
      <w:pPr>
        <w:ind w:left="2551" w:hanging="2551"/>
      </w:pPr>
      <w:rPr>
        <w:rFonts w:hint="eastAsia"/>
      </w:rPr>
    </w:lvl>
    <w:lvl w:ilvl="5" w:tentative="0">
      <w:start w:val="1"/>
      <w:numFmt w:val="decimal"/>
      <w:pStyle w:val="10"/>
      <w:isLgl/>
      <w:suff w:val="space"/>
      <w:lvlText w:val="%2.%3.%4.%5.%6"/>
      <w:lvlJc w:val="left"/>
      <w:pPr>
        <w:ind w:left="0" w:firstLine="0"/>
      </w:pPr>
      <w:rPr>
        <w:rFonts w:hint="eastAsia"/>
      </w:rPr>
    </w:lvl>
    <w:lvl w:ilvl="6" w:tentative="0">
      <w:start w:val="1"/>
      <w:numFmt w:val="decimal"/>
      <w:isLgl/>
      <w:lvlText w:val="%2.%3.%4.%5.%6.%7"/>
      <w:lvlJc w:val="left"/>
      <w:pPr>
        <w:ind w:left="0" w:firstLine="2551"/>
      </w:pPr>
      <w:rPr>
        <w:rFonts w:hint="eastAsia"/>
      </w:rPr>
    </w:lvl>
    <w:lvl w:ilvl="7" w:tentative="0">
      <w:start w:val="1"/>
      <w:numFmt w:val="decimal"/>
      <w:isLgl/>
      <w:lvlText w:val="%1.%2.%3.%4.%5.%6.%7.%8"/>
      <w:lvlJc w:val="left"/>
      <w:pPr>
        <w:ind w:left="4394" w:hanging="1418"/>
      </w:pPr>
      <w:rPr>
        <w:rFonts w:hint="eastAsia"/>
      </w:rPr>
    </w:lvl>
    <w:lvl w:ilvl="8" w:tentative="0">
      <w:start w:val="1"/>
      <w:numFmt w:val="decimal"/>
      <w:isLgl/>
      <w:lvlText w:val="%1.%2.%3.%4.%5.%6.%7.%8.%9"/>
      <w:lvlJc w:val="left"/>
      <w:pPr>
        <w:ind w:left="5102" w:hanging="1700"/>
      </w:pPr>
      <w:rPr>
        <w:rFonts w:hint="eastAsia"/>
      </w:rPr>
    </w:lvl>
  </w:abstractNum>
  <w:abstractNum w:abstractNumId="1">
    <w:nsid w:val="CE7BACAA"/>
    <w:multiLevelType w:val="multilevel"/>
    <w:tmpl w:val="CE7BACAA"/>
    <w:lvl w:ilvl="0" w:tentative="0">
      <w:start w:val="1"/>
      <w:numFmt w:val="decimal"/>
      <w:pStyle w:val="5"/>
      <w:suff w:val="space"/>
      <w:lvlText w:val="%1"/>
      <w:lvlJc w:val="left"/>
      <w:pPr>
        <w:ind w:left="425" w:hanging="425"/>
      </w:pPr>
      <w:rPr>
        <w:rFonts w:hint="eastAsia"/>
      </w:rPr>
    </w:lvl>
    <w:lvl w:ilvl="1" w:tentative="0">
      <w:start w:val="1"/>
      <w:numFmt w:val="decimal"/>
      <w:pStyle w:val="6"/>
      <w:suff w:val="space"/>
      <w:lvlText w:val="%1.%2"/>
      <w:lvlJc w:val="left"/>
      <w:pPr>
        <w:ind w:left="992" w:hanging="992"/>
      </w:pPr>
      <w:rPr>
        <w:rFonts w:hint="default" w:ascii="Times New Roman" w:hAnsi="Times New Roman" w:cs="Times New Roman"/>
      </w:rPr>
    </w:lvl>
    <w:lvl w:ilvl="2" w:tentative="0">
      <w:start w:val="1"/>
      <w:numFmt w:val="decimal"/>
      <w:pStyle w:val="7"/>
      <w:suff w:val="space"/>
      <w:lvlText w:val="%1.%2.%3"/>
      <w:lvlJc w:val="left"/>
      <w:pPr>
        <w:ind w:left="1418" w:hanging="1418"/>
      </w:pPr>
      <w:rPr>
        <w:rFonts w:hint="eastAsia"/>
      </w:rPr>
    </w:lvl>
    <w:lvl w:ilvl="3" w:tentative="0">
      <w:start w:val="1"/>
      <w:numFmt w:val="decimal"/>
      <w:pStyle w:val="8"/>
      <w:suff w:val="space"/>
      <w:lvlText w:val="%1.%2.%3.%4"/>
      <w:lvlJc w:val="left"/>
      <w:pPr>
        <w:ind w:left="1984" w:hanging="1984"/>
      </w:pPr>
      <w:rPr>
        <w:rFonts w:hint="eastAsia"/>
      </w:rPr>
    </w:lvl>
    <w:lvl w:ilvl="4" w:tentative="0">
      <w:start w:val="1"/>
      <w:numFmt w:val="decimal"/>
      <w:pStyle w:val="9"/>
      <w:suff w:val="space"/>
      <w:lvlText w:val="%1.%2.%3.%4.%5"/>
      <w:lvlJc w:val="left"/>
      <w:pPr>
        <w:ind w:left="2551" w:hanging="2551"/>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0NzMyZjhjN2E3YmVhODJhNzlkOThmNWY1ODE3NjYifQ=="/>
  </w:docVars>
  <w:rsids>
    <w:rsidRoot w:val="442F4999"/>
    <w:rsid w:val="0213766F"/>
    <w:rsid w:val="08806D9F"/>
    <w:rsid w:val="0E6D6359"/>
    <w:rsid w:val="0F083901"/>
    <w:rsid w:val="14C0070D"/>
    <w:rsid w:val="1C1F244F"/>
    <w:rsid w:val="1CA64694"/>
    <w:rsid w:val="20B93F8B"/>
    <w:rsid w:val="226357CA"/>
    <w:rsid w:val="23FE6456"/>
    <w:rsid w:val="27193851"/>
    <w:rsid w:val="29EC3C46"/>
    <w:rsid w:val="2E470F72"/>
    <w:rsid w:val="2F805A94"/>
    <w:rsid w:val="30F2476F"/>
    <w:rsid w:val="31C37EBA"/>
    <w:rsid w:val="34106E06"/>
    <w:rsid w:val="341C676A"/>
    <w:rsid w:val="36A14A5D"/>
    <w:rsid w:val="37F27598"/>
    <w:rsid w:val="3A6B6787"/>
    <w:rsid w:val="442F4999"/>
    <w:rsid w:val="44BA6EFA"/>
    <w:rsid w:val="4B2B3D57"/>
    <w:rsid w:val="4DA9445E"/>
    <w:rsid w:val="4F2214E2"/>
    <w:rsid w:val="51054EFA"/>
    <w:rsid w:val="57393E1A"/>
    <w:rsid w:val="58FC5762"/>
    <w:rsid w:val="59967ADE"/>
    <w:rsid w:val="5E153D9A"/>
    <w:rsid w:val="608863FF"/>
    <w:rsid w:val="643E4883"/>
    <w:rsid w:val="695D4175"/>
    <w:rsid w:val="6C4966CD"/>
    <w:rsid w:val="6ED31A4F"/>
    <w:rsid w:val="705B0CE2"/>
    <w:rsid w:val="79DD0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autoRedefine/>
    <w:qFormat/>
    <w:uiPriority w:val="0"/>
    <w:pPr>
      <w:keepNext/>
      <w:keepLines/>
      <w:numPr>
        <w:ilvl w:val="0"/>
        <w:numId w:val="1"/>
      </w:numPr>
      <w:spacing w:before="340" w:beforeLines="0" w:beforeAutospacing="0" w:after="330" w:afterLines="0" w:afterAutospacing="0" w:line="576" w:lineRule="auto"/>
      <w:ind w:left="425" w:hanging="425"/>
      <w:outlineLvl w:val="0"/>
    </w:pPr>
    <w:rPr>
      <w:b/>
      <w:kern w:val="44"/>
      <w:sz w:val="44"/>
    </w:rPr>
  </w:style>
  <w:style w:type="paragraph" w:styleId="6">
    <w:name w:val="heading 2"/>
    <w:basedOn w:val="1"/>
    <w:next w:val="1"/>
    <w:autoRedefine/>
    <w:semiHidden/>
    <w:unhideWhenUsed/>
    <w:qFormat/>
    <w:uiPriority w:val="0"/>
    <w:pPr>
      <w:keepNext/>
      <w:keepLines/>
      <w:numPr>
        <w:ilvl w:val="1"/>
        <w:numId w:val="1"/>
      </w:numPr>
      <w:spacing w:before="120"/>
      <w:ind w:left="0" w:firstLine="0" w:firstLineChars="0"/>
      <w:outlineLvl w:val="1"/>
    </w:pPr>
    <w:rPr>
      <w:rFonts w:eastAsia="宋体" w:asciiTheme="minorAscii" w:hAnsiTheme="minorAscii" w:cstheme="majorBidi"/>
      <w:bCs/>
      <w:sz w:val="22"/>
      <w:szCs w:val="32"/>
    </w:rPr>
  </w:style>
  <w:style w:type="paragraph" w:styleId="7">
    <w:name w:val="heading 3"/>
    <w:basedOn w:val="1"/>
    <w:next w:val="1"/>
    <w:link w:val="16"/>
    <w:autoRedefine/>
    <w:semiHidden/>
    <w:unhideWhenUsed/>
    <w:qFormat/>
    <w:uiPriority w:val="0"/>
    <w:pPr>
      <w:keepNext/>
      <w:keepLines/>
      <w:numPr>
        <w:ilvl w:val="2"/>
        <w:numId w:val="1"/>
      </w:numPr>
      <w:spacing w:before="260" w:beforeLines="0" w:beforeAutospacing="0" w:after="260" w:afterLines="0" w:afterAutospacing="0" w:line="413" w:lineRule="auto"/>
      <w:ind w:left="1418" w:hanging="1418"/>
      <w:outlineLvl w:val="2"/>
    </w:pPr>
    <w:rPr>
      <w:b/>
      <w:sz w:val="32"/>
    </w:rPr>
  </w:style>
  <w:style w:type="paragraph" w:styleId="8">
    <w:name w:val="heading 4"/>
    <w:basedOn w:val="1"/>
    <w:next w:val="1"/>
    <w:autoRedefine/>
    <w:semiHidden/>
    <w:unhideWhenUsed/>
    <w:qFormat/>
    <w:uiPriority w:val="0"/>
    <w:pPr>
      <w:keepNext/>
      <w:keepLines/>
      <w:numPr>
        <w:ilvl w:val="3"/>
        <w:numId w:val="1"/>
      </w:numPr>
      <w:spacing w:before="280" w:beforeLines="0" w:beforeAutospacing="0" w:after="290" w:afterLines="0" w:afterAutospacing="0" w:line="372" w:lineRule="auto"/>
      <w:ind w:left="1984" w:hanging="1984"/>
      <w:outlineLvl w:val="3"/>
    </w:pPr>
    <w:rPr>
      <w:rFonts w:ascii="Arial" w:hAnsi="Arial" w:eastAsia="黑体"/>
      <w:b/>
      <w:sz w:val="28"/>
    </w:rPr>
  </w:style>
  <w:style w:type="paragraph" w:styleId="9">
    <w:name w:val="heading 5"/>
    <w:basedOn w:val="1"/>
    <w:next w:val="1"/>
    <w:autoRedefine/>
    <w:semiHidden/>
    <w:unhideWhenUsed/>
    <w:qFormat/>
    <w:uiPriority w:val="0"/>
    <w:pPr>
      <w:keepNext/>
      <w:keepLines/>
      <w:numPr>
        <w:ilvl w:val="4"/>
        <w:numId w:val="1"/>
      </w:numPr>
      <w:spacing w:before="280" w:beforeLines="0" w:beforeAutospacing="0" w:after="290" w:afterLines="0" w:afterAutospacing="0" w:line="372" w:lineRule="auto"/>
      <w:ind w:left="2551" w:hanging="2551"/>
      <w:outlineLvl w:val="4"/>
    </w:pPr>
    <w:rPr>
      <w:b/>
      <w:sz w:val="28"/>
    </w:rPr>
  </w:style>
  <w:style w:type="paragraph" w:styleId="10">
    <w:name w:val="heading 6"/>
    <w:basedOn w:val="1"/>
    <w:next w:val="1"/>
    <w:autoRedefine/>
    <w:unhideWhenUsed/>
    <w:qFormat/>
    <w:uiPriority w:val="9"/>
    <w:pPr>
      <w:keepNext/>
      <w:keepLines/>
      <w:numPr>
        <w:ilvl w:val="5"/>
        <w:numId w:val="2"/>
      </w:numPr>
      <w:spacing w:before="120" w:line="319" w:lineRule="auto"/>
      <w:outlineLvl w:val="5"/>
    </w:pPr>
    <w:rPr>
      <w:rFonts w:eastAsia="黑体" w:cstheme="majorBidi"/>
      <w:bCs/>
      <w:szCs w:val="24"/>
    </w:rPr>
  </w:style>
  <w:style w:type="character" w:default="1" w:styleId="14">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next w:val="1"/>
    <w:unhideWhenUsed/>
    <w:qFormat/>
    <w:uiPriority w:val="99"/>
    <w:pPr>
      <w:ind w:firstLine="420" w:firstLineChars="100"/>
    </w:pPr>
  </w:style>
  <w:style w:type="paragraph" w:styleId="3">
    <w:name w:val="Body Text"/>
    <w:basedOn w:val="1"/>
    <w:next w:val="4"/>
    <w:qFormat/>
    <w:uiPriority w:val="0"/>
    <w:rPr>
      <w:sz w:val="20"/>
      <w:szCs w:val="20"/>
    </w:rPr>
  </w:style>
  <w:style w:type="paragraph" w:customStyle="1" w:styleId="4">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11">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13">
    <w:name w:val="Table Grid"/>
    <w:basedOn w:val="12"/>
    <w:autoRedefine/>
    <w:qFormat/>
    <w:uiPriority w:val="59"/>
    <w:pPr>
      <w:spacing w:before="120" w:after="120"/>
      <w:ind w:left="115" w:right="115"/>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tcPr>
      <w:vAlign w:val="center"/>
    </w:tcPr>
    <w:tblStylePr w:type="firstRow">
      <w:pPr>
        <w:wordWrap/>
        <w:jc w:val="center"/>
      </w:pPr>
      <w:rPr>
        <w:b/>
        <w:i w:val="0"/>
        <w:sz w:val="22"/>
      </w:rPr>
    </w:tblStylePr>
    <w:tblStylePr w:type="lastRow">
      <w:rPr>
        <w:b/>
        <w:i w:val="0"/>
        <w:sz w:val="22"/>
      </w:rPr>
      <w:tcPr>
        <w:tcBorders>
          <w:top w:val="double" w:color="auto" w:sz="4" w:space="0"/>
          <w:left w:val="single" w:color="auto" w:sz="4" w:space="0"/>
          <w:bottom w:val="single" w:color="auto" w:sz="18" w:space="0"/>
          <w:right w:val="single" w:color="auto" w:sz="4" w:space="0"/>
          <w:insideH w:val="nil"/>
          <w:insideV w:val="single" w:sz="4" w:space="0"/>
          <w:tl2br w:val="nil"/>
          <w:tr2bl w:val="nil"/>
        </w:tcBorders>
      </w:tcPr>
    </w:tblStylePr>
  </w:style>
  <w:style w:type="paragraph" w:styleId="15">
    <w:name w:val="List Paragraph"/>
    <w:basedOn w:val="1"/>
    <w:autoRedefine/>
    <w:qFormat/>
    <w:uiPriority w:val="34"/>
    <w:pPr>
      <w:ind w:firstLine="420"/>
    </w:pPr>
    <w:rPr>
      <w:rFonts w:ascii="Calibri" w:hAnsi="Calibri"/>
    </w:rPr>
  </w:style>
  <w:style w:type="character" w:customStyle="1" w:styleId="16">
    <w:name w:val="标题 3 Char"/>
    <w:link w:val="7"/>
    <w:autoRedefine/>
    <w:qFormat/>
    <w:uiPriority w:val="0"/>
    <w:rPr>
      <w:b/>
      <w:sz w:val="32"/>
    </w:rPr>
  </w:style>
  <w:style w:type="paragraph" w:customStyle="1" w:styleId="1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2900</Words>
  <Characters>2970</Characters>
  <Lines>0</Lines>
  <Paragraphs>0</Paragraphs>
  <TotalTime>0</TotalTime>
  <ScaleCrop>false</ScaleCrop>
  <LinksUpToDate>false</LinksUpToDate>
  <CharactersWithSpaces>2973</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2024-07-26T03:40:00Z</dcterms:created>
  <dc:creator>ZL-Sumoio</dc:creator>
  <cp:lastModifiedBy>ZL-Sumoio</cp:lastModifiedBy>
  <dcterms:modified xsi:type="dcterms:W3CDTF">2024-09-18T12:31:54Z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C6B5DE5500A94786A4776BFE768C5E9E_13</vt:lpwstr>
  </property>
</Properties>
</file>