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442000-2024-03414</w:t>
      </w:r>
    </w:p>
    <w:p>
      <w:pPr>
        <w:pStyle w:val="null3"/>
        <w:jc w:val="center"/>
        <w:outlineLvl w:val="3"/>
      </w:pPr>
      <w:r>
        <w:rPr>
          <w:sz w:val="24"/>
          <w:b/>
        </w:rPr>
        <w:t>采购项目编号：</w:t>
      </w:r>
      <w:r>
        <w:rPr>
          <w:sz w:val="24"/>
          <w:b/>
        </w:rPr>
        <w:t>442000-2024-03414</w:t>
      </w:r>
    </w:p>
    <w:p>
      <w:pPr>
        <w:pStyle w:val="null3"/>
        <w:jc w:val="center"/>
        <w:outlineLvl w:val="3"/>
      </w:pPr>
      <w:r>
        <w:rPr>
          <w:sz w:val="24"/>
          <w:b/>
        </w:rPr>
        <w:t>项目名称：</w:t>
      </w:r>
      <w:r>
        <w:rPr>
          <w:sz w:val="24"/>
          <w:b/>
        </w:rPr>
        <w:t>中山市市场监督管理局政务信息化项目2024-2027年度运维服务项目</w:t>
      </w:r>
    </w:p>
    <w:p>
      <w:pPr>
        <w:pStyle w:val="null3"/>
        <w:jc w:val="center"/>
        <w:outlineLvl w:val="3"/>
      </w:pPr>
      <w:r>
        <w:rPr>
          <w:sz w:val="24"/>
          <w:b/>
        </w:rPr>
        <w:t>采购人：</w:t>
      </w:r>
      <w:r>
        <w:rPr>
          <w:sz w:val="24"/>
          <w:b/>
        </w:rPr>
        <w:t>中山市市场监督管理局</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中山市市场监督管理局</w:t>
      </w:r>
      <w:r>
        <w:rPr/>
        <w:t>的委托，采用</w:t>
      </w:r>
      <w:r>
        <w:rPr/>
        <w:t>公开招标</w:t>
      </w:r>
      <w:r>
        <w:rPr/>
        <w:t>方式组织采购</w:t>
      </w:r>
      <w:r>
        <w:rPr/>
        <w:t>中山市市场监督管理局政务信息化项目2024-2027年度运维服务项目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中山市市场监督管理局政务信息化项目2024-2027年度运维服务项目</w:t>
      </w:r>
    </w:p>
    <w:p>
      <w:pPr>
        <w:pStyle w:val="null3"/>
        <w:ind w:firstLine="480"/>
      </w:pPr>
      <w:r>
        <w:rPr/>
        <w:t>采购计划编号：</w:t>
      </w:r>
      <w:r>
        <w:rPr/>
        <w:t>442000-2024-03414</w:t>
      </w:r>
    </w:p>
    <w:p>
      <w:pPr>
        <w:pStyle w:val="null3"/>
        <w:ind w:firstLine="480"/>
      </w:pPr>
      <w:r>
        <w:rPr/>
        <w:t>采购项目编号：</w:t>
      </w:r>
      <w:r>
        <w:rPr/>
        <w:t>442000-2024-03414</w:t>
      </w:r>
    </w:p>
    <w:p>
      <w:pPr>
        <w:pStyle w:val="null3"/>
        <w:ind w:firstLine="480"/>
      </w:pPr>
      <w:r>
        <w:rPr/>
        <w:t>采购方式：</w:t>
      </w:r>
      <w:r>
        <w:rPr/>
        <w:t>公开招标</w:t>
      </w:r>
    </w:p>
    <w:p>
      <w:pPr>
        <w:pStyle w:val="null3"/>
        <w:ind w:firstLine="480"/>
      </w:pPr>
      <w:r>
        <w:rPr/>
        <w:t>预算金额：</w:t>
      </w:r>
      <w:r>
        <w:rPr/>
        <w:t>14,510,300.00</w:t>
      </w:r>
      <w:r>
        <w:rPr/>
        <w:t>元</w:t>
      </w:r>
    </w:p>
    <w:p>
      <w:pPr>
        <w:pStyle w:val="null3"/>
        <w:outlineLvl w:val="3"/>
      </w:pPr>
      <w:r>
        <w:rPr>
          <w:sz w:val="24"/>
          <w:b/>
        </w:rPr>
        <w:t>2.项目内容及需求情况（采购项目技术规格、参数及要求）</w:t>
      </w:r>
    </w:p>
    <w:p>
      <w:pPr>
        <w:pStyle w:val="null3"/>
      </w:pPr>
      <w:r>
        <w:rPr/>
        <w:t>采购包1(中山市市场监督管理局政务信息化项目2024-2027年度运维服务项目):</w:t>
      </w:r>
    </w:p>
    <w:p>
      <w:pPr>
        <w:pStyle w:val="null3"/>
      </w:pPr>
      <w:r>
        <w:rPr/>
        <w:t>采购包预算金额：14,510,300.00元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软件运维服务</w:t>
            </w:r>
          </w:p>
        </w:tc>
        <w:tc>
          <w:tcPr>
            <w:tcW w:type="dxa" w:w="2136"/>
          </w:tcPr>
          <w:p>
            <w:pPr>
              <w:pStyle w:val="null3"/>
            </w:pPr>
            <w:r>
              <w:rPr/>
              <w:t>中山市市场监督管理局政务信息化项目2024-2027年度运维服务项目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合同履行期限：自合同约定生效之日起至2027年6月30日止。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或扫描件）。分支机构投标的，须提供隶属机构和分公司营业执照副本复印件（或扫描件），隶属机构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采购包1（中山市市场监督管理局政务信息化项目2024-2027年度运维服务项目）：</w:t>
      </w:r>
      <w:r>
        <w:rPr/>
        <w:t>本项目不专门面向中小企业采购。</w:t>
      </w:r>
    </w:p>
    <w:p>
      <w:pPr>
        <w:pStyle w:val="null3"/>
        <w:outlineLvl w:val="3"/>
      </w:pPr>
      <w:r>
        <w:rPr>
          <w:sz w:val="24"/>
          <w:b/>
        </w:rPr>
        <w:t>3.本项目特定的资格要求：</w:t>
      </w:r>
    </w:p>
    <w:p>
      <w:pPr>
        <w:pStyle w:val="null3"/>
      </w:pPr>
      <w:r>
        <w:rPr/>
        <w:t>采购包1（中山市市场监督管理局政务信息化项目2024-2027年度运维服务项目）：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中山市市场监督管理局</w:t>
      </w:r>
    </w:p>
    <w:p>
      <w:pPr>
        <w:pStyle w:val="null3"/>
        <w:ind w:firstLine="480"/>
      </w:pPr>
      <w:r>
        <w:rPr/>
        <w:t xml:space="preserve"> 地址：</w:t>
      </w:r>
      <w:r>
        <w:rPr/>
        <w:t>中山市博爱六路48号</w:t>
      </w:r>
    </w:p>
    <w:p>
      <w:pPr>
        <w:pStyle w:val="null3"/>
        <w:ind w:firstLine="480"/>
      </w:pPr>
      <w:r>
        <w:rPr/>
        <w:t xml:space="preserve"> 联系方式：</w:t>
      </w:r>
      <w:r>
        <w:rPr/>
        <w:t>0760-888169935</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吴颖红</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2"/>
        </w:rPr>
        <w:t>1.项目名称：中山市市场监督管理局政务信息化项目2024-2027年度运维服务项目</w:t>
      </w:r>
    </w:p>
    <w:p>
      <w:pPr>
        <w:pStyle w:val="null3"/>
        <w:jc w:val="both"/>
      </w:pPr>
      <w:r>
        <w:rPr>
          <w:sz w:val="22"/>
        </w:rPr>
        <w:t>2.采购计划编号：</w:t>
      </w:r>
      <w:r>
        <w:rPr>
          <w:sz w:val="22"/>
        </w:rPr>
        <w:t>442000-2024-03414</w:t>
      </w:r>
    </w:p>
    <w:p>
      <w:pPr>
        <w:pStyle w:val="null3"/>
        <w:jc w:val="both"/>
      </w:pPr>
      <w:r>
        <w:rPr>
          <w:sz w:val="22"/>
        </w:rPr>
        <w:t>3.采购项目编号：</w:t>
      </w:r>
      <w:r>
        <w:rPr>
          <w:sz w:val="22"/>
        </w:rPr>
        <w:t>442000-2024-03414</w:t>
      </w:r>
    </w:p>
    <w:p>
      <w:pPr>
        <w:pStyle w:val="null3"/>
        <w:jc w:val="both"/>
      </w:pPr>
      <w:r>
        <w:rPr>
          <w:sz w:val="22"/>
        </w:rPr>
        <w:t>4.采购方式：公开招标</w:t>
      </w:r>
    </w:p>
    <w:p>
      <w:pPr>
        <w:pStyle w:val="null3"/>
        <w:jc w:val="both"/>
      </w:pPr>
      <w:r>
        <w:rPr>
          <w:sz w:val="22"/>
        </w:rPr>
        <w:t>5.项目预算金额：</w:t>
      </w:r>
      <w:r>
        <w:rPr>
          <w:sz w:val="22"/>
        </w:rPr>
        <w:t>14510300.00</w:t>
      </w:r>
      <w:r>
        <w:rPr>
          <w:sz w:val="22"/>
        </w:rPr>
        <w:t>元</w:t>
      </w:r>
    </w:p>
    <w:p>
      <w:pPr>
        <w:pStyle w:val="null3"/>
        <w:jc w:val="both"/>
      </w:pPr>
      <w:r>
        <w:rPr>
          <w:sz w:val="22"/>
        </w:rPr>
        <w:t>6.本项目不属于专门面向中小微企业项目。</w:t>
      </w:r>
    </w:p>
    <w:p>
      <w:pPr>
        <w:pStyle w:val="null3"/>
        <w:jc w:val="both"/>
      </w:pPr>
      <w:r>
        <w:rPr>
          <w:sz w:val="22"/>
        </w:rPr>
        <w:t>7.采购标的对应的中小企业划分标准所属行业为：软件和信息技术服务业。</w:t>
      </w:r>
    </w:p>
    <w:p>
      <w:pPr>
        <w:pStyle w:val="null3"/>
        <w:jc w:val="both"/>
      </w:pPr>
      <w:r>
        <w:rPr>
          <w:sz w:val="22"/>
        </w:rPr>
        <w:t>8.本项目不接受联合体投标。</w:t>
      </w:r>
    </w:p>
    <w:p>
      <w:pPr>
        <w:pStyle w:val="null3"/>
        <w:jc w:val="both"/>
      </w:pPr>
      <w:r>
        <w:rPr>
          <w:sz w:val="22"/>
        </w:rPr>
        <w:t>9.中标人不得以任何方式转包或分包本项目。</w:t>
      </w:r>
    </w:p>
    <w:p>
      <w:pPr>
        <w:pStyle w:val="null3"/>
        <w:jc w:val="both"/>
      </w:pPr>
      <w:r>
        <w:rPr>
          <w:sz w:val="22"/>
        </w:rPr>
        <w:t>10.采购人有权在签订合同时对项目内容作适当修改调整或对服务内容作适量增加或减少，但不得对采购文件约定的条款作出实质性的变更。</w:t>
      </w:r>
    </w:p>
    <w:p>
      <w:pPr>
        <w:pStyle w:val="null3"/>
        <w:jc w:val="both"/>
      </w:pPr>
      <w:r>
        <w:rPr>
          <w:sz w:val="22"/>
          <w:b/>
        </w:rPr>
        <w:t>11.在招标文件中标注“★”标识的条款内容被视为重要的响应要求、技术指标要求和性能要求，投标人必须对此作全面响应和满足，任何负偏离则将被视为无效投标。标注“▲”标识的内容为重点评标条款，投标人必须对该标识条款按照要求进行真实应答描述。</w:t>
      </w:r>
    </w:p>
    <w:p>
      <w:pPr>
        <w:pStyle w:val="null3"/>
        <w:jc w:val="both"/>
      </w:pPr>
      <w:r>
        <w:rPr>
          <w:sz w:val="22"/>
        </w:rPr>
        <w:t>12.本项目由中标人负责招标文件对中标人要求的一切事宜及责任。投标报价中不得包含招标文件要求以外的内容，否则，在评标时不予核减；若投标报价有缺漏项的，缺漏项部分的价格视为已包含在投标报价中，中标后不作任何调整，采购人将不再支付任何额外费用。</w:t>
      </w:r>
    </w:p>
    <w:p>
      <w:pPr>
        <w:pStyle w:val="null3"/>
        <w:jc w:val="both"/>
      </w:pPr>
      <w:r>
        <w:rPr>
          <w:sz w:val="22"/>
        </w:rPr>
        <w:t>13.投标人必须对其提供的各种投标资料、说明、声明的真实性负责，保证依法依规参与招标投标活动。若中标后发现投标人提供虚假资料谋取中标或采购过程中有其他违法违规情形，经政府采购监管部门认定其违法违规事实成立的，采购人有权取消其中标资格，已签订采购合同的，采购人有权立即解除合同，并且追究其法律责任。</w:t>
      </w:r>
    </w:p>
    <w:p>
      <w:pPr>
        <w:pStyle w:val="null3"/>
        <w:jc w:val="both"/>
      </w:pPr>
      <w:r>
        <w:rPr>
          <w:sz w:val="22"/>
        </w:rPr>
        <w:t>1</w:t>
      </w:r>
      <w:r>
        <w:rPr>
          <w:sz w:val="22"/>
        </w:rPr>
        <w:t>4</w:t>
      </w:r>
      <w:r>
        <w:rPr>
          <w:sz w:val="22"/>
        </w:rPr>
        <w:t>.重要说明</w:t>
      </w:r>
    </w:p>
    <w:p>
      <w:pPr>
        <w:pStyle w:val="null3"/>
        <w:ind w:firstLine="440"/>
        <w:jc w:val="both"/>
      </w:pPr>
      <w:r>
        <w:rPr>
          <w:sz w:val="22"/>
        </w:rPr>
        <w:t>如投标人认为本招标文件中存在</w:t>
      </w:r>
      <w:r>
        <w:rPr>
          <w:sz w:val="22"/>
        </w:rPr>
        <w:t>“不合理的条件对投标人实行差别待遇或者歧视待遇”，或有其他问题的，应当在招标文件公示期间内或者自公示期满之日起七个工作日内，以书面形式（须签字盖章并提供相关证明材料）向采购代理机构反映，逾期或匿名反映的将不予受理。开标前未提出的则视同投标人已充分理解并愿意按照本招标文件的所有条款执行。</w:t>
      </w:r>
    </w:p>
    <w:p>
      <w:pPr>
        <w:pStyle w:val="null3"/>
        <w:jc w:val="left"/>
      </w:pPr>
      <w:r>
        <w:rPr>
          <w:sz w:val="22"/>
          <w:b/>
        </w:rPr>
        <w:t>1</w:t>
      </w:r>
      <w:r>
        <w:rPr>
          <w:sz w:val="22"/>
          <w:b/>
        </w:rPr>
        <w:t>5</w:t>
      </w:r>
      <w:r>
        <w:rPr>
          <w:sz w:val="22"/>
          <w:b/>
        </w:rPr>
        <w:t>.投标人需参照以下格式在投标文件中出具《无围标、串标行为承诺书》。</w:t>
      </w:r>
    </w:p>
    <w:p>
      <w:pPr>
        <w:pStyle w:val="null3"/>
        <w:jc w:val="both"/>
      </w:pPr>
      <w:r>
        <w:rPr>
          <w:sz w:val="21"/>
        </w:rPr>
        <w:t xml:space="preserve"> </w:t>
      </w:r>
    </w:p>
    <w:p>
      <w:pPr>
        <w:pStyle w:val="null3"/>
        <w:jc w:val="center"/>
      </w:pPr>
      <w:r>
        <w:rPr>
          <w:sz w:val="22"/>
          <w:b/>
        </w:rPr>
        <w:t>无围标、串标行为承诺书</w:t>
      </w:r>
    </w:p>
    <w:p>
      <w:pPr>
        <w:pStyle w:val="null3"/>
        <w:ind w:firstLine="420"/>
        <w:jc w:val="left"/>
      </w:pPr>
      <w:r>
        <w:rPr>
          <w:sz w:val="22"/>
        </w:rPr>
        <w:t>本公司郑重承诺：本公司在参加本次</w:t>
      </w:r>
      <w:r>
        <w:rPr>
          <w:sz w:val="22"/>
          <w:u w:val="single"/>
        </w:rPr>
        <w:t xml:space="preserve"> </w:t>
      </w:r>
      <w:r>
        <w:rPr>
          <w:sz w:val="22"/>
          <w:u w:val="single"/>
        </w:rPr>
        <w:t>中山市市场监督管理局政务信息化项目</w:t>
      </w:r>
      <w:r>
        <w:rPr>
          <w:sz w:val="22"/>
          <w:u w:val="single"/>
        </w:rPr>
        <w:t>2024-2027年度运维服务项目</w:t>
      </w:r>
      <w:r>
        <w:rPr>
          <w:sz w:val="22"/>
        </w:rPr>
        <w:t>[采购项目编号：</w:t>
      </w:r>
      <w:r>
        <w:rPr>
          <w:sz w:val="21"/>
          <w:u w:val="single"/>
        </w:rPr>
        <w:t xml:space="preserve"> </w:t>
      </w:r>
      <w:r>
        <w:rPr>
          <w:sz w:val="22"/>
          <w:u w:val="single"/>
        </w:rPr>
        <w:t>442000-2024-03414</w:t>
      </w:r>
      <w:r>
        <w:rPr>
          <w:sz w:val="22"/>
        </w:rPr>
        <w:t>]活动中，无以下围标、串标行为。</w:t>
      </w:r>
    </w:p>
    <w:p>
      <w:pPr>
        <w:pStyle w:val="null3"/>
        <w:jc w:val="left"/>
      </w:pPr>
      <w:r>
        <w:rPr>
          <w:sz w:val="22"/>
        </w:rPr>
        <w:t xml:space="preserve">    </w:t>
      </w:r>
      <w:r>
        <w:rPr>
          <w:sz w:val="22"/>
        </w:rPr>
        <w:t>1）不同供应商的投标文件由同一单位或者个人编制；</w:t>
      </w:r>
    </w:p>
    <w:p>
      <w:pPr>
        <w:pStyle w:val="null3"/>
        <w:jc w:val="left"/>
      </w:pPr>
      <w:r>
        <w:rPr>
          <w:sz w:val="22"/>
        </w:rPr>
        <w:t xml:space="preserve">    </w:t>
      </w:r>
      <w:r>
        <w:rPr>
          <w:sz w:val="22"/>
        </w:rPr>
        <w:t>2）不同供应商委托同一单位或者个人办理投标事宜；</w:t>
      </w:r>
    </w:p>
    <w:p>
      <w:pPr>
        <w:pStyle w:val="null3"/>
        <w:jc w:val="left"/>
      </w:pPr>
      <w:r>
        <w:rPr>
          <w:sz w:val="22"/>
        </w:rPr>
        <w:t xml:space="preserve">    </w:t>
      </w:r>
      <w:r>
        <w:rPr>
          <w:sz w:val="22"/>
        </w:rPr>
        <w:t>3）不同供应商的投标文件载明的项目管理成员或者联系人员为同一人；</w:t>
      </w:r>
    </w:p>
    <w:p>
      <w:pPr>
        <w:pStyle w:val="null3"/>
        <w:jc w:val="left"/>
      </w:pPr>
      <w:r>
        <w:rPr>
          <w:sz w:val="22"/>
        </w:rPr>
        <w:t xml:space="preserve">    </w:t>
      </w:r>
      <w:r>
        <w:rPr>
          <w:sz w:val="22"/>
        </w:rPr>
        <w:t>4）不同供应商的投标文件异常一致或者投标报价呈规律性差异；</w:t>
      </w:r>
    </w:p>
    <w:p>
      <w:pPr>
        <w:pStyle w:val="null3"/>
        <w:jc w:val="left"/>
      </w:pPr>
      <w:r>
        <w:rPr>
          <w:sz w:val="22"/>
        </w:rPr>
        <w:t xml:space="preserve">    </w:t>
      </w:r>
      <w:r>
        <w:rPr>
          <w:sz w:val="22"/>
        </w:rPr>
        <w:t>5）不同供应商的投标文件相互混装；</w:t>
      </w:r>
    </w:p>
    <w:p>
      <w:pPr>
        <w:pStyle w:val="null3"/>
        <w:jc w:val="left"/>
      </w:pPr>
      <w:r>
        <w:rPr>
          <w:sz w:val="22"/>
        </w:rPr>
        <w:t xml:space="preserve">    </w:t>
      </w:r>
      <w:r>
        <w:rPr>
          <w:sz w:val="22"/>
        </w:rPr>
        <w:t>6）不同供应商的投标保证金从同一单位或者个人的账户转出。</w:t>
      </w:r>
    </w:p>
    <w:p>
      <w:pPr>
        <w:pStyle w:val="null3"/>
        <w:jc w:val="left"/>
      </w:pPr>
      <w:r>
        <w:rPr>
          <w:sz w:val="22"/>
        </w:rPr>
        <w:t xml:space="preserve">    </w:t>
      </w:r>
      <w:r>
        <w:rPr>
          <w:sz w:val="22"/>
        </w:rPr>
        <w:t>7）不同供应商的董事、监事、高管、单位负责人为同一人或者存在控股、管理关系的不同单位参加同一招标项目投标；</w:t>
      </w:r>
    </w:p>
    <w:p>
      <w:pPr>
        <w:pStyle w:val="null3"/>
        <w:jc w:val="left"/>
      </w:pPr>
      <w:r>
        <w:rPr>
          <w:sz w:val="22"/>
        </w:rPr>
        <w:t xml:space="preserve">    </w:t>
      </w:r>
      <w:r>
        <w:rPr>
          <w:sz w:val="22"/>
        </w:rPr>
        <w:t>8）法律法规界定的其他围标串标行为。</w:t>
      </w:r>
    </w:p>
    <w:p>
      <w:pPr>
        <w:pStyle w:val="null3"/>
        <w:ind w:firstLine="420"/>
        <w:jc w:val="left"/>
      </w:pPr>
      <w:r>
        <w:rPr>
          <w:sz w:val="22"/>
        </w:rPr>
        <w:t>如有发现我公司存在围标、串标行为，我公司愿承担一切法律责任。</w:t>
      </w:r>
    </w:p>
    <w:p>
      <w:pPr>
        <w:pStyle w:val="null3"/>
        <w:ind w:firstLine="420"/>
        <w:jc w:val="left"/>
      </w:pPr>
      <w:r>
        <w:rPr>
          <w:sz w:val="22"/>
        </w:rPr>
        <w:t>特此承诺。</w:t>
      </w:r>
    </w:p>
    <w:p>
      <w:pPr>
        <w:pStyle w:val="null3"/>
        <w:jc w:val="right"/>
      </w:pPr>
      <w:r>
        <w:rPr>
          <w:sz w:val="22"/>
        </w:rPr>
        <w:t>投标人法定代表人（或法定代表人授权代表）签字或盖章：</w:t>
      </w:r>
      <w:r>
        <w:rPr>
          <w:sz w:val="22"/>
        </w:rPr>
        <w:t>__________________</w:t>
      </w:r>
    </w:p>
    <w:p>
      <w:pPr>
        <w:pStyle w:val="null3"/>
        <w:jc w:val="right"/>
      </w:pPr>
      <w:r>
        <w:rPr>
          <w:sz w:val="22"/>
        </w:rPr>
        <w:t>投标人名称（盖章）：</w:t>
      </w:r>
      <w:r>
        <w:rPr>
          <w:sz w:val="22"/>
        </w:rPr>
        <w:t>__________________</w:t>
      </w:r>
    </w:p>
    <w:p>
      <w:pPr>
        <w:pStyle w:val="null3"/>
        <w:jc w:val="right"/>
      </w:pPr>
      <w:r>
        <w:rPr>
          <w:sz w:val="22"/>
        </w:rPr>
        <w:t>日期：年</w:t>
      </w:r>
      <w:r>
        <w:rPr>
          <w:sz w:val="22"/>
        </w:rPr>
        <w:t>月</w:t>
      </w:r>
      <w:r>
        <w:rPr>
          <w:sz w:val="22"/>
        </w:rPr>
        <w:t>日</w:t>
      </w:r>
    </w:p>
    <w:p>
      <w:pPr>
        <w:pStyle w:val="null3"/>
      </w:pPr>
      <w:r>
        <w:rPr/>
        <w:t>采购包1（中山市市场监督管理局政务信息化项目2024-2027年度运维服务项目）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自合同约定生效之日起至2027年6月30日止。</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1期：支付比例100%,（1）2024年预计共支付169.17万元，具体支付金额以2024年财政实际拨付为准。 1.自合同签订之日起30天内支付100万作为预付款； 2.2024年11月减去前期已支付的预付款后继续支付2024年财政实际拨付总金额的剩余金额（预计69.17万元）。 （2）2025-2027年支付期数和时间（具体支付金额以财政实际拨付为准。）： 1.2025年5月支付2024年12月-2025年5月服务费用（预计235.93万元），如有处罚金则需扣除相应的金额； 2.2025年11月支付2025年6-11月服务费用（预计235.93万元），如有处罚金则需扣除相应的金额； 3.2026年5月支付2025年12月-2026年5月服务费用（预计276.6万元），如有处罚金则需扣除相应的金额； 4.2026年11月支付2026年6-11月服务费用（预计276.6万元），如有处罚金则需扣除相应的金额； 5.最后一期服务费在合同服务期满验收合格后支付（预计282.23万元）； 说明1.对于符合中小企业资格的中标人，自合同签订之日起30天内支付合同总额30%作为预付款；后续支付期数将按等比例调整支付金额。 2.中标金额与财政实际拨付金额存在差异的按等比例调整支付金额。 3.每次付款前中标人应向采购人提供符合采购人财务要求的等额发票。如果中标人提供的发票证实为虚假发票或与税务局数据不符的，采购人有权拒付票面金额，采购人已付款的，中标人应退回。由于发票原因造成的一切损失由中标人承担； 4.如因非采购人原因导致的当期服务费用未能准时到账，具体支付时间由双方共同协商解决。</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项目验收是核查项目计划规定范围内各项工作或活动是否已经全部完成，可查验交付成果是否达到交付质量标准，并将核查结果记录在验收文件中的一系列活动。本项目在运维服务期结束后一个月内进行验收，中标人应当采取有效措施，切实配合项目的验收工作。 1.验收范围涉及招标文件、合同等文件提及的所有工作； 2.验收涉及到的文档模板在合同签订后，由中标人按采购人和监理方要求提供，采购人和监理方审核确认项目验收材料后，具体组织验收工作； 3.验收应在中标人和采购人的共同参与下进行，依据制定的方案与国家相关规定、规范进行验收； 4.采购人组织项目验收小组按国家有关规定、规范进行验收，如有必要可邀请相关专业人员或机构参与验收； 5.对验收不合格的部分，中标人应在采购人规定时间内及时整改完善直至验收合格； 6.过渡支持期：中标人同意从项目运维期满之日起，在新中标人到位前继续提供不少于一个月免费的系统基础运维支持服务，未完成工作移交前确保各项目运维服务内容的正常稳定运行，不得撤场、撤人，同时配合新中标人完成工作及完整资料移交，提供与新中标人的免费交接工作服务，期限不少于一个月。</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1.本采购包采用按总价报价，投标报价不得超过项目预算金额，否则视为无效报价。 2.报价要求：投标报价应包含本项目运维服务范围内的包括但不限于系统运维、第三方服务采购、信息安全运维、平台对接、安装、集成、运行、测试、培训、验收、技术服务、税费、人工、设备、耗材、运费、保险费、资料费等合同实施过程中的一切可预见和不可预见的费用，采购人不再额外支付合同总价之外的任何费用。在运维期内，若经采购人和中标人确认后停止运维，相关运维费用按实际情况结算。</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软件运维服务</w:t>
            </w:r>
          </w:p>
        </w:tc>
        <w:tc>
          <w:tcPr>
            <w:tcW w:type="dxa" w:w="933"/>
          </w:tcPr>
          <w:p>
            <w:pPr>
              <w:pStyle w:val="null3"/>
              <w:jc w:val="left"/>
            </w:pPr>
            <w:r>
              <w:rPr/>
              <w:t>中山市市场监督管理局政务信息化项目2024-2027年度运维服务项目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14,510,300.00</w:t>
            </w:r>
          </w:p>
        </w:tc>
        <w:tc>
          <w:tcPr>
            <w:tcW w:type="dxa" w:w="933"/>
          </w:tcPr>
          <w:p>
            <w:pPr>
              <w:pStyle w:val="null3"/>
              <w:jc w:val="right"/>
            </w:pPr>
            <w:r>
              <w:rPr/>
              <w:t>14,510,300.00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中山市市场监督管理局政务信息化项目2024-2027年度运维服务项目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2"/>
                <w:b/>
              </w:rPr>
              <w:t>一、项目概况</w:t>
            </w:r>
          </w:p>
          <w:p>
            <w:pPr>
              <w:pStyle w:val="null3"/>
              <w:ind w:firstLine="440"/>
            </w:pPr>
            <w:r>
              <w:rPr>
                <w:sz w:val="22"/>
              </w:rPr>
              <w:t>中山市市场监督管理局依托全市</w:t>
            </w:r>
            <w:r>
              <w:rPr>
                <w:sz w:val="22"/>
              </w:rPr>
              <w:t>“一张网”的建设及政务云资源等基础底座，经过多年的信息化建设，已形成各个业务条线均有信息化系统的局面，信息系统及网络的规模也日趋复杂，运维管理工作较为分散，难以形成高效的集中管理。根据中山政务信息化的统一要求，结合中山市市场监督管理局的实际情况，现对在2024年7月1日至2027年6月30日期间结束质保期并进入运维期的共10个系统开展统一运维工作。</w:t>
            </w:r>
          </w:p>
          <w:p>
            <w:pPr>
              <w:pStyle w:val="null3"/>
            </w:pPr>
            <w:r>
              <w:rPr>
                <w:sz w:val="22"/>
                <w:b/>
              </w:rPr>
              <w:t>二、项目目标</w:t>
            </w:r>
          </w:p>
          <w:p>
            <w:pPr>
              <w:pStyle w:val="null3"/>
              <w:ind w:firstLine="440"/>
            </w:pPr>
            <w:r>
              <w:rPr>
                <w:sz w:val="22"/>
              </w:rPr>
              <w:t>由具备维护服务的诚信管理能力的中标人进行统一运维服务，确保各信息系统每周</w:t>
            </w:r>
            <w:r>
              <w:rPr>
                <w:sz w:val="22"/>
              </w:rPr>
              <w:t>7×24小时安全、可靠、稳定、连续正常运行，提高信息系统的使用效应，提升服务水平和群众满意度。通过统一运维提高运维响应速度，提升事件处理效率，改善采购人运维体验。推动运维工作的规范管理，提升统一运维的服务水平和工作效率，按照全市统一运维的战略规划思路，形成运维工作全市“一盘棋”，各部门协力合作，步调一致，通过规范统一、运作统一，实现运维效率提升战略目标。具体目标如下：</w:t>
            </w:r>
          </w:p>
          <w:p>
            <w:pPr>
              <w:pStyle w:val="null3"/>
              <w:ind w:firstLine="440"/>
            </w:pPr>
            <w:r>
              <w:rPr>
                <w:sz w:val="22"/>
              </w:rPr>
              <w:t>（一）通过统一的运维服务，平滑衔接上一周期各分散运维服务，提升运维服务质量，提高运维管理的及时性、完整性和高效性，保障中山市市场监督管理局信息系统的正常运行；</w:t>
            </w:r>
          </w:p>
          <w:p>
            <w:pPr>
              <w:pStyle w:val="null3"/>
              <w:ind w:firstLine="440"/>
            </w:pPr>
            <w:r>
              <w:rPr>
                <w:sz w:val="22"/>
              </w:rPr>
              <w:t>（二）通过统一运维服务开展信息系统网络和信息安全服务工作，降低信息系统的网络和信息安全风险；</w:t>
            </w:r>
          </w:p>
          <w:p>
            <w:pPr>
              <w:pStyle w:val="null3"/>
              <w:ind w:firstLine="440"/>
            </w:pPr>
            <w:r>
              <w:rPr>
                <w:sz w:val="22"/>
              </w:rPr>
              <w:t>（三）建立一套规范、先进、安全、稳定的运维体系，最终达到提高服务满意度并降低成本的目的。</w:t>
            </w:r>
          </w:p>
          <w:p>
            <w:pPr>
              <w:pStyle w:val="null3"/>
              <w:ind w:firstLine="440"/>
            </w:pPr>
            <w:r>
              <w:rPr>
                <w:sz w:val="21"/>
                <w:b/>
              </w:rPr>
              <w:t>三、项目内容</w:t>
            </w:r>
          </w:p>
          <w:tbl>
            <w:tblPr>
              <w:tblBorders>
                <w:top w:val="none" w:color="000000" w:sz="4"/>
                <w:left w:val="none" w:color="000000" w:sz="4"/>
                <w:bottom w:val="none" w:color="000000" w:sz="4"/>
                <w:right w:val="none" w:color="000000" w:sz="4"/>
                <w:insideH w:val="none"/>
                <w:insideV w:val="none"/>
              </w:tblBorders>
            </w:tblPr>
            <w:tblGrid>
              <w:gridCol w:w="459"/>
              <w:gridCol w:w="1047"/>
              <w:gridCol w:w="4081"/>
            </w:tblGrid>
            <w:tr>
              <w:tc>
                <w:tcPr>
                  <w:tcW w:type="dxa" w:w="4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序号</w:t>
                  </w:r>
                </w:p>
              </w:tc>
              <w:tc>
                <w:tcPr>
                  <w:tcW w:type="dxa" w:w="10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类别</w:t>
                  </w:r>
                </w:p>
              </w:tc>
              <w:tc>
                <w:tcPr>
                  <w:tcW w:type="dxa" w:w="40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具体内容</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系统运维</w:t>
                  </w:r>
                </w:p>
              </w:tc>
              <w:tc>
                <w:tcPr>
                  <w:tcW w:type="dxa" w:w="4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中标人需具备运行维护服务质量及数据治理应用达标能力，合同约定生效之日起至</w:t>
                  </w:r>
                  <w:r>
                    <w:rPr>
                      <w:sz w:val="22"/>
                    </w:rPr>
                    <w:t>2027年6月30日期间对结束质保期并进入运维期的共10个系统开展统一运维工作。</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2</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第三方服务采购</w:t>
                  </w:r>
                </w:p>
              </w:tc>
              <w:tc>
                <w:tcPr>
                  <w:tcW w:type="dxa" w:w="4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各应用系统需配套使用的第三方服务，包括短信、</w:t>
                  </w:r>
                  <w:r>
                    <w:rPr>
                      <w:sz w:val="22"/>
                      <w:color w:val="000000"/>
                    </w:rPr>
                    <w:t>CA证书续证、第三方数据采购、地址治理、地图调用</w:t>
                  </w:r>
                  <w:r>
                    <w:rPr>
                      <w:sz w:val="22"/>
                      <w:color w:val="000000"/>
                    </w:rPr>
                    <w:t>、</w:t>
                  </w:r>
                  <w:r>
                    <w:rPr>
                      <w:sz w:val="22"/>
                      <w:color w:val="000000"/>
                    </w:rPr>
                    <w:t>远程视频监管服务</w:t>
                  </w:r>
                  <w:r>
                    <w:rPr>
                      <w:sz w:val="22"/>
                      <w:color w:val="000000"/>
                    </w:rPr>
                    <w:t>以及</w:t>
                  </w:r>
                  <w:r>
                    <w:rPr>
                      <w:sz w:val="22"/>
                      <w:color w:val="000000"/>
                    </w:rPr>
                    <w:t>国家电子营业执照技术服务等。</w:t>
                  </w:r>
                </w:p>
              </w:tc>
            </w:tr>
            <w:tr>
              <w:tc>
                <w:tcPr>
                  <w:tcW w:type="dxa" w:w="4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3</w:t>
                  </w:r>
                </w:p>
              </w:tc>
              <w:tc>
                <w:tcPr>
                  <w:tcW w:type="dxa" w:w="10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信息安全运维</w:t>
                  </w:r>
                </w:p>
              </w:tc>
              <w:tc>
                <w:tcPr>
                  <w:tcW w:type="dxa" w:w="40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中标人</w:t>
                  </w:r>
                  <w:r>
                    <w:rPr>
                      <w:sz w:val="22"/>
                      <w:color w:val="000000"/>
                    </w:rPr>
                    <w:t>需具备维护服务的数据网络安全管理能力及数据存储安全管理能力，根据中山市数字政府网络安全审计工作要求，为保障采购人信息系统的整体安全、稳定进行的一系列运行安全服务，包括信息安全管理制度建设、资产安全运营、安全审计、安全培训、应急演练服务、重保服务以及移动端安全检查服务等。</w:t>
                  </w:r>
                </w:p>
              </w:tc>
            </w:tr>
          </w:tbl>
          <w:p>
            <w:pPr>
              <w:pStyle w:val="null3"/>
            </w:pPr>
            <w:r>
              <w:rPr>
                <w:sz w:val="22"/>
              </w:rPr>
              <w:t>（一）系统运维</w:t>
            </w:r>
          </w:p>
          <w:p>
            <w:pPr>
              <w:pStyle w:val="null3"/>
              <w:ind w:firstLine="440"/>
            </w:pPr>
            <w:r>
              <w:rPr>
                <w:sz w:val="22"/>
              </w:rPr>
              <w:t>本项目统一运维服务期从合同约定生效之日起至</w:t>
            </w:r>
            <w:r>
              <w:rPr>
                <w:sz w:val="22"/>
              </w:rPr>
              <w:t>2027年6月30日止。</w:t>
            </w:r>
            <w:r>
              <w:rPr>
                <w:sz w:val="22"/>
              </w:rPr>
              <w:t>其中各系统纳入统一运维具体时间如下表（具体服务期起始时间以各系统实际质保期结束为准）：</w:t>
            </w:r>
          </w:p>
          <w:tbl>
            <w:tblPr>
              <w:tblBorders>
                <w:top w:val="none" w:color="000000" w:sz="4"/>
                <w:left w:val="none" w:color="000000" w:sz="4"/>
                <w:bottom w:val="none" w:color="000000" w:sz="4"/>
                <w:right w:val="none" w:color="000000" w:sz="4"/>
                <w:insideH w:val="none"/>
                <w:insideV w:val="none"/>
              </w:tblBorders>
            </w:tblPr>
            <w:tblGrid>
              <w:gridCol w:w="449"/>
              <w:gridCol w:w="1820"/>
              <w:gridCol w:w="1596"/>
              <w:gridCol w:w="835"/>
              <w:gridCol w:w="898"/>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序号</w:t>
                  </w:r>
                </w:p>
              </w:tc>
              <w:tc>
                <w:tcPr>
                  <w:tcW w:type="dxa" w:w="1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信息系统名称</w:t>
                  </w:r>
                </w:p>
              </w:tc>
              <w:tc>
                <w:tcPr>
                  <w:tcW w:type="dxa" w:w="15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服务期起止</w:t>
                  </w:r>
                </w:p>
              </w:tc>
              <w:tc>
                <w:tcPr>
                  <w:tcW w:type="dxa" w:w="8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服务期</w:t>
                  </w:r>
                </w:p>
              </w:tc>
              <w:tc>
                <w:tcPr>
                  <w:tcW w:type="dxa" w:w="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重要性说明</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广东省市场准入信息系统（中山）</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合同约定生效之日起至</w:t>
                  </w:r>
                  <w:r>
                    <w:rPr>
                      <w:sz w:val="22"/>
                    </w:rPr>
                    <w:t>2027年6月30日</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3年（以合同约定为准）</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非常重要</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w:t>
                  </w:r>
                  <w:r>
                    <w:rPr>
                      <w:sz w:val="22"/>
                    </w:rPr>
                    <w:t>“一照通行”服务平台</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2024年10月18日至2027年6月30日</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2年9个月（以合同约定为准）</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非常重要</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中山市个体工商户转型升级服务平台</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2026年1月至2027年6月30日</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1年6个月</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重要</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4</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中山市商事登记全程电子化智能申报审批平台</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合同约定生效之日起至</w:t>
                  </w:r>
                  <w:r>
                    <w:rPr>
                      <w:sz w:val="22"/>
                    </w:rPr>
                    <w:t>2027年6月30日</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3年（以合同约定为准）</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非常重要</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5</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中山市市场监督管理局个体集群智能申报审批服务平台</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2024年11月1日至2027年6月30日</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2年8个月</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一般</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6</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中山市涉企信息统一归集公示数据管理平台（含一二期）</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合同约定生效之日起至</w:t>
                  </w:r>
                  <w:r>
                    <w:rPr>
                      <w:sz w:val="22"/>
                    </w:rPr>
                    <w:t>2027年6月30日</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3年（以合同约定为准）</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非常重要</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7</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中山市市场监督管理局智慧监管服务平台项目</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2025年07月1日至2027年6月30日止</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2年</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非常重要</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8</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中山市全国</w:t>
                  </w:r>
                  <w:r>
                    <w:rPr>
                      <w:sz w:val="22"/>
                    </w:rPr>
                    <w:t>12315平台话务平台信息录入应用系统</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合同约定生效之日起至</w:t>
                  </w:r>
                  <w:r>
                    <w:rPr>
                      <w:sz w:val="22"/>
                    </w:rPr>
                    <w:t>2027年6月30日</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3年（以合同约定为准）</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重要</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9</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中山市市场监督管理局知识产权一体化系统</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2025年07月01日至2027年6月30日</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2年</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一般</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10</w:t>
                  </w:r>
                </w:p>
              </w:tc>
              <w:tc>
                <w:tcPr>
                  <w:tcW w:type="dxa" w:w="1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w:t>
                  </w:r>
                  <w:r>
                    <w:rPr>
                      <w:sz w:val="22"/>
                    </w:rPr>
                    <w:t>“香山新街市”智慧农贸平台</w:t>
                  </w:r>
                </w:p>
              </w:tc>
              <w:tc>
                <w:tcPr>
                  <w:tcW w:type="dxa" w:w="15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2026年12月19日至2027年6月30日</w:t>
                  </w:r>
                </w:p>
              </w:tc>
              <w:tc>
                <w:tcPr>
                  <w:tcW w:type="dxa" w:w="8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6个月（以合同约定为准）</w:t>
                  </w:r>
                </w:p>
              </w:tc>
              <w:tc>
                <w:tcPr>
                  <w:tcW w:type="dxa" w:w="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一般</w:t>
                  </w:r>
                </w:p>
              </w:tc>
            </w:tr>
          </w:tbl>
          <w:p>
            <w:pPr>
              <w:pStyle w:val="null3"/>
              <w:outlineLvl w:val="2"/>
            </w:pPr>
            <w:r>
              <w:rPr>
                <w:sz w:val="22"/>
                <w:b/>
              </w:rPr>
              <w:t>1.运维服务范围</w:t>
            </w:r>
          </w:p>
          <w:p>
            <w:pPr>
              <w:pStyle w:val="null3"/>
              <w:outlineLvl w:val="3"/>
            </w:pPr>
            <w:r>
              <w:rPr>
                <w:sz w:val="22"/>
                <w:b/>
              </w:rPr>
              <w:t>（</w:t>
            </w:r>
            <w:r>
              <w:rPr>
                <w:sz w:val="22"/>
                <w:b/>
              </w:rPr>
              <w:t>1）广东省市场准入信息系统（中山）</w:t>
            </w:r>
          </w:p>
          <w:p>
            <w:pPr>
              <w:pStyle w:val="null3"/>
              <w:outlineLvl w:val="3"/>
            </w:pPr>
            <w:r>
              <w:rPr>
                <w:sz w:val="22"/>
                <w:b/>
              </w:rPr>
              <w:t>①系统介绍</w:t>
            </w:r>
          </w:p>
          <w:p>
            <w:pPr>
              <w:pStyle w:val="null3"/>
              <w:ind w:firstLine="440"/>
            </w:pPr>
            <w:r>
              <w:rPr>
                <w:sz w:val="22"/>
              </w:rPr>
              <w:t>广东省市场准入信息系统（中山）是中山市市场监督管理局核心业务系统之一，系统服务范围覆盖了中山市登记二级机关（市局、分局），主要包括名称登记、企业登记、业务支撑和业务协同等内容，承载着全市的名称登记业务、市场主体登记业务的办理，为中山市</w:t>
            </w:r>
            <w:r>
              <w:rPr>
                <w:sz w:val="22"/>
              </w:rPr>
              <w:t>64万户市场主体提供业务办理支撑，系统用户覆盖许可注册、监管、法规等科室，用户量约1000人，日均业务办理量约1000笔，且业务量还在快速增长。</w:t>
            </w:r>
          </w:p>
          <w:p>
            <w:pPr>
              <w:pStyle w:val="null3"/>
              <w:ind w:firstLine="440"/>
            </w:pPr>
            <w:r>
              <w:rPr>
                <w:sz w:val="22"/>
              </w:rPr>
              <w:t>市场准入信息系统主要业务及功能包括名称申办、名称变更申办、名称撤销、主体设立登记、主体变更登记、主体备案登记、增减补换照登记、主体注销登记、主体迁移登记、股权冻结、股权出质等。</w:t>
            </w:r>
          </w:p>
          <w:p>
            <w:pPr>
              <w:pStyle w:val="null3"/>
              <w:ind w:left="15"/>
            </w:pPr>
            <w:r>
              <w:rPr>
                <w:sz w:val="22"/>
              </w:rPr>
              <w:t>1)名称申办</w:t>
            </w:r>
          </w:p>
          <w:p>
            <w:pPr>
              <w:pStyle w:val="null3"/>
              <w:ind w:firstLine="440"/>
            </w:pPr>
            <w:r>
              <w:rPr>
                <w:sz w:val="22"/>
              </w:rPr>
              <w:t>名称申办实现对市场主体名称的审批，审批流程包括受理、审查、核准、通知书打印、通知书发放，名称申办采集信息包括名称信息、投资人信息、拟设立信息。</w:t>
            </w:r>
          </w:p>
          <w:p>
            <w:pPr>
              <w:pStyle w:val="null3"/>
              <w:ind w:left="15"/>
            </w:pPr>
            <w:r>
              <w:rPr>
                <w:sz w:val="22"/>
              </w:rPr>
              <w:t>2)名称变更申办</w:t>
            </w:r>
          </w:p>
          <w:p>
            <w:pPr>
              <w:pStyle w:val="null3"/>
              <w:ind w:firstLine="440"/>
            </w:pPr>
            <w:r>
              <w:rPr>
                <w:sz w:val="22"/>
              </w:rPr>
              <w:t>名称变更申办实现对名称变更业务的审批，主要功能包括已设立市场主体主体查询、名称变更申办信息采集、审批、通知书打印、通知书发放等功能。名称变更申办主要采集申请人信息及名称信息，审批流程包括受理、核准、打印通知书、发放通知书。</w:t>
            </w:r>
          </w:p>
          <w:p>
            <w:pPr>
              <w:pStyle w:val="null3"/>
              <w:ind w:left="15"/>
            </w:pPr>
            <w:r>
              <w:rPr>
                <w:sz w:val="22"/>
              </w:rPr>
              <w:t>3)名称撤销</w:t>
            </w:r>
          </w:p>
          <w:p>
            <w:pPr>
              <w:pStyle w:val="null3"/>
              <w:ind w:firstLine="440"/>
            </w:pPr>
            <w:r>
              <w:rPr>
                <w:sz w:val="22"/>
              </w:rPr>
              <w:t>名称撤销是申请人取得名称所有权后，如果想更换名称、名称调整或注销名称，可以向市场监管局登记机关申请名称撤销，名称撤销后名称资源释放，其他申请人可以使用。</w:t>
            </w:r>
          </w:p>
          <w:p>
            <w:pPr>
              <w:pStyle w:val="null3"/>
              <w:ind w:left="15"/>
            </w:pPr>
            <w:r>
              <w:rPr>
                <w:sz w:val="22"/>
              </w:rPr>
              <w:t>4)主体设立登记</w:t>
            </w:r>
          </w:p>
          <w:p>
            <w:pPr>
              <w:pStyle w:val="null3"/>
              <w:ind w:firstLine="440"/>
            </w:pPr>
            <w:r>
              <w:rPr>
                <w:sz w:val="22"/>
              </w:rPr>
              <w:t>主体设立登记主要功能包括设立登记业务的申请信息采集、受理、核准、打印、发放证照文书等功能。主体设立登记还包括业务查验功能，在审批过程中需要对申请填报的真实性、有效性、合法性、合规性进行查验。市场主体类型包括公司、非公司企业法人、合伙企业、个人独资企业、分公司（分支机构）、外国（地区）企业常驻代表机构、外国（地区）企业在中国境内从事生产经营活动、农民专业合作社以及个体市场监管户。</w:t>
            </w:r>
          </w:p>
          <w:p>
            <w:pPr>
              <w:pStyle w:val="null3"/>
              <w:ind w:left="15"/>
            </w:pPr>
            <w:r>
              <w:rPr>
                <w:sz w:val="22"/>
              </w:rPr>
              <w:t>5)主体变更登记</w:t>
            </w:r>
          </w:p>
          <w:p>
            <w:pPr>
              <w:pStyle w:val="null3"/>
              <w:ind w:firstLine="440"/>
            </w:pPr>
            <w:r>
              <w:rPr>
                <w:sz w:val="22"/>
              </w:rPr>
              <w:t>主体变更登记主要功能包括变更登记业务的申请信息采集、受理、核准、打印、发放证照文书等功能。主体变更登记还包括业务查验功能，在审批过程中需要对申请填报的真实性、有效性、合法性、合规性进行查验。变更事项主要包括名称变更、住所变更、注册</w:t>
            </w:r>
            <w:r>
              <w:rPr>
                <w:sz w:val="22"/>
              </w:rPr>
              <w:t>/</w:t>
            </w:r>
            <w:r>
              <w:rPr>
                <w:sz w:val="22"/>
              </w:rPr>
              <w:t>资本变更、经营范围变更、经营期限变更、法定代表人变更、投资人变更。</w:t>
            </w:r>
          </w:p>
          <w:p>
            <w:pPr>
              <w:pStyle w:val="null3"/>
              <w:ind w:left="15"/>
            </w:pPr>
            <w:r>
              <w:rPr>
                <w:sz w:val="22"/>
              </w:rPr>
              <w:t>6)主体备案登记</w:t>
            </w:r>
          </w:p>
          <w:p>
            <w:pPr>
              <w:pStyle w:val="null3"/>
              <w:ind w:firstLine="440"/>
            </w:pPr>
            <w:r>
              <w:rPr>
                <w:sz w:val="22"/>
              </w:rPr>
              <w:t>主体备案登记主要功能包括备案登记业务的申请信息采集、受理、核准、打印、发放证照文书等功能。变更事项主要包括名称变更、住所变更、注册</w:t>
            </w:r>
            <w:r>
              <w:rPr>
                <w:sz w:val="22"/>
              </w:rPr>
              <w:t>/</w:t>
            </w:r>
            <w:r>
              <w:rPr>
                <w:sz w:val="22"/>
              </w:rPr>
              <w:t>资本变更、经营范围变更、经营期限变更、法定代表人变更、投资人变更。</w:t>
            </w:r>
          </w:p>
          <w:p>
            <w:pPr>
              <w:pStyle w:val="null3"/>
              <w:ind w:left="15"/>
            </w:pPr>
            <w:r>
              <w:rPr>
                <w:sz w:val="22"/>
              </w:rPr>
              <w:t>7)主体增减补换照登记</w:t>
            </w:r>
          </w:p>
          <w:p>
            <w:pPr>
              <w:pStyle w:val="null3"/>
              <w:ind w:firstLine="440"/>
            </w:pPr>
            <w:r>
              <w:rPr>
                <w:sz w:val="22"/>
              </w:rPr>
              <w:t>增减补换照登记需要实现对营业执照的增减补换，主要功能包括增减补换营业执照原因采集、申请合法性检查、旧营业执照收缴、新营业执照打印及发放等功能。</w:t>
            </w:r>
          </w:p>
          <w:p>
            <w:pPr>
              <w:pStyle w:val="null3"/>
              <w:ind w:left="15"/>
            </w:pPr>
            <w:r>
              <w:rPr>
                <w:sz w:val="22"/>
              </w:rPr>
              <w:t>8)主体注销登记</w:t>
            </w:r>
          </w:p>
          <w:p>
            <w:pPr>
              <w:pStyle w:val="null3"/>
              <w:ind w:firstLine="440"/>
            </w:pPr>
            <w:r>
              <w:rPr>
                <w:sz w:val="22"/>
              </w:rPr>
              <w:t>主体注销登记主要实现市场主体的注销，采集注销原因、注销时间，收缴营业执照，业务办理时需要检查市场主体清税情况、是否存在涉案或违法情况。</w:t>
            </w:r>
          </w:p>
          <w:p>
            <w:pPr>
              <w:pStyle w:val="null3"/>
              <w:ind w:left="420"/>
            </w:pPr>
            <w:r>
              <w:rPr>
                <w:sz w:val="22"/>
              </w:rPr>
              <w:t>9)主体迁移登记</w:t>
            </w:r>
          </w:p>
          <w:p>
            <w:pPr>
              <w:pStyle w:val="null3"/>
            </w:pPr>
            <w:r>
              <w:rPr>
                <w:sz w:val="22"/>
              </w:rPr>
              <w:t>主体迁移登记用于办理主体迁移业务，主要功能包括迁入预审的审批、迁入登记的审批，迁出登记的审批（由迁出登记机关审批）。</w:t>
            </w:r>
          </w:p>
          <w:p>
            <w:pPr>
              <w:pStyle w:val="null3"/>
              <w:ind w:left="420"/>
            </w:pPr>
            <w:r>
              <w:rPr>
                <w:sz w:val="22"/>
              </w:rPr>
              <w:t>10)股权冻结</w:t>
            </w:r>
          </w:p>
          <w:p>
            <w:pPr>
              <w:pStyle w:val="null3"/>
            </w:pPr>
            <w:r>
              <w:rPr>
                <w:sz w:val="22"/>
              </w:rPr>
              <w:t>股权冻结业务用于协助人民法院办理股权的冻结，股权冻结主要功能应包括股权冻结、续行冻结、轮候冻结及解除冻结。</w:t>
            </w:r>
          </w:p>
          <w:p>
            <w:pPr>
              <w:pStyle w:val="null3"/>
              <w:ind w:left="420"/>
            </w:pPr>
            <w:r>
              <w:rPr>
                <w:sz w:val="22"/>
              </w:rPr>
              <w:t>11)股权出质</w:t>
            </w:r>
          </w:p>
          <w:p>
            <w:pPr>
              <w:pStyle w:val="null3"/>
            </w:pPr>
            <w:r>
              <w:rPr>
                <w:sz w:val="22"/>
              </w:rPr>
              <w:t>股权出质登记实现对股权出质业务申请的受理、核准、打印、发放，股权出质主要功能应包括设立登记、变更登记、撤销登记及注销登记。</w:t>
            </w:r>
          </w:p>
          <w:p>
            <w:pPr>
              <w:pStyle w:val="null3"/>
            </w:pPr>
            <w:r>
              <w:rPr>
                <w:sz w:val="22"/>
                <w:b/>
              </w:rPr>
              <w:t>②系统现状</w:t>
            </w:r>
          </w:p>
          <w:p>
            <w:pPr>
              <w:pStyle w:val="null3"/>
              <w:ind w:firstLine="440"/>
            </w:pPr>
            <w:r>
              <w:rPr>
                <w:sz w:val="22"/>
              </w:rPr>
              <w:t>广东省市场准入信息系统（中山）从</w:t>
            </w:r>
            <w:r>
              <w:rPr>
                <w:sz w:val="22"/>
              </w:rPr>
              <w:t>2016年11月开始建设，于2020年12月在中山市场监督管理局上线实施，2021年12月通过终验，2021年12月起进入免费运维期（系统质保期），根据合同约定，免费运维期（系统质保期）1年，至2022年11月30日结束。2022年3月签订运维合同，该合同约定的运维期至2024年6月30日结束，现纳入统一运维。</w:t>
            </w:r>
          </w:p>
          <w:p>
            <w:pPr>
              <w:pStyle w:val="null3"/>
              <w:outlineLvl w:val="3"/>
            </w:pPr>
            <w:r>
              <w:rPr>
                <w:sz w:val="22"/>
                <w:b/>
              </w:rPr>
              <w:t>（</w:t>
            </w:r>
            <w:r>
              <w:rPr>
                <w:sz w:val="22"/>
                <w:b/>
              </w:rPr>
              <w:t>2）中山市“一照通行”服务平台</w:t>
            </w:r>
          </w:p>
          <w:p>
            <w:pPr>
              <w:pStyle w:val="null3"/>
              <w:outlineLvl w:val="3"/>
            </w:pPr>
            <w:r>
              <w:rPr>
                <w:sz w:val="22"/>
                <w:b/>
              </w:rPr>
              <w:t>①系统介绍</w:t>
            </w:r>
          </w:p>
          <w:p>
            <w:pPr>
              <w:pStyle w:val="null3"/>
              <w:ind w:firstLine="440"/>
            </w:pPr>
            <w:r>
              <w:rPr>
                <w:sz w:val="22"/>
              </w:rPr>
              <w:t>以市场主体需求为导向，以政府职能转变为核心，依托数字政府建设，推动涉企经营许可从按部门职责划分改为按企业需求整合，将多业态经营涉及的多项许可事项与营业执照一次申请、并联审批、限时办结，进一步破解</w:t>
            </w:r>
            <w:r>
              <w:rPr>
                <w:sz w:val="22"/>
              </w:rPr>
              <w:t>“准入不准营”等问题。通过营业执照归集各类许可信息，减少审批发证，推进电子证照应用，实现“一照通行”。逐步将“一照通行”改革向更多审批服务事项拓展，覆盖企业从准入到退出全生命周期，强化系统集成和智慧监管，加快打造商事制度改革新模式，推动我市在深化“放管服”改革，优化营商环境方面继续走在全省乃至全国前列。</w:t>
            </w:r>
          </w:p>
          <w:p>
            <w:pPr>
              <w:pStyle w:val="null3"/>
              <w:ind w:firstLine="440"/>
            </w:pPr>
            <w:r>
              <w:rPr>
                <w:sz w:val="22"/>
              </w:rPr>
              <w:t>进一步拓展商事登记线上办理的业务类型，深化全程电子化智能申报审批的业务覆盖范围，提升全程电子化办理及智能申报审批、秒批秒办的政务服务能力。</w:t>
            </w:r>
            <w:r>
              <w:rPr>
                <w:sz w:val="22"/>
              </w:rPr>
              <w:t>建设中山市商事登记档案容</w:t>
            </w:r>
            <w:r>
              <w:rPr>
                <w:sz w:val="22"/>
              </w:rPr>
              <w:t>e查平台，</w:t>
            </w:r>
            <w:r>
              <w:rPr>
                <w:sz w:val="22"/>
              </w:rPr>
              <w:t>构建</w:t>
            </w:r>
            <w:r>
              <w:rPr>
                <w:sz w:val="22"/>
              </w:rPr>
              <w:t>“互联网+”的商事登记业务电子档案查询服务体系，拓宽商事登记业务档案查询渠道，</w:t>
            </w:r>
            <w:r>
              <w:rPr>
                <w:sz w:val="22"/>
              </w:rPr>
              <w:t>实现商事登记档案查询全程</w:t>
            </w:r>
            <w:r>
              <w:rPr>
                <w:sz w:val="22"/>
              </w:rPr>
              <w:t>“零见面、网上办”，</w:t>
            </w:r>
            <w:r>
              <w:rPr>
                <w:sz w:val="22"/>
              </w:rPr>
              <w:t>满足社会各界日益增多的商事登记业务档案查询利用需求，</w:t>
            </w:r>
            <w:r>
              <w:rPr>
                <w:sz w:val="22"/>
              </w:rPr>
              <w:t>破解以往档案查询多跑腿、排队长、打印慢的难题，</w:t>
            </w:r>
            <w:r>
              <w:rPr>
                <w:sz w:val="22"/>
              </w:rPr>
              <w:t>提升商事登记业务档案查询的便捷性和效率，为市场主体平稳增长和扶持市场主体健康发展提供更好的服务。</w:t>
            </w:r>
          </w:p>
          <w:p>
            <w:pPr>
              <w:pStyle w:val="null3"/>
              <w:ind w:firstLine="440"/>
            </w:pPr>
            <w:r>
              <w:rPr>
                <w:sz w:val="22"/>
                <w:b/>
              </w:rPr>
              <w:t>②系统现状</w:t>
            </w:r>
          </w:p>
          <w:p>
            <w:pPr>
              <w:pStyle w:val="null3"/>
              <w:ind w:firstLine="440"/>
            </w:pPr>
            <w:r>
              <w:rPr>
                <w:sz w:val="22"/>
              </w:rPr>
              <w:t>本系统从</w:t>
            </w:r>
            <w:r>
              <w:rPr>
                <w:sz w:val="22"/>
              </w:rPr>
              <w:t>2021年12月起建设，2023年10月18日通过终验，2023年10月18日起进入免费运维期（系统质保期），根据合同约定，免费运维期（系统质保期）1年，至2024年10月17日结束。2024年10月18日起纳入统一运维。</w:t>
            </w:r>
          </w:p>
          <w:p>
            <w:pPr>
              <w:pStyle w:val="null3"/>
              <w:outlineLvl w:val="3"/>
            </w:pPr>
            <w:r>
              <w:rPr>
                <w:sz w:val="22"/>
                <w:b/>
              </w:rPr>
              <w:t>（</w:t>
            </w:r>
            <w:r>
              <w:rPr>
                <w:sz w:val="22"/>
                <w:b/>
              </w:rPr>
              <w:t>3）中山市个体工商户转型升级服务平台</w:t>
            </w:r>
          </w:p>
          <w:p>
            <w:pPr>
              <w:pStyle w:val="null3"/>
              <w:outlineLvl w:val="3"/>
            </w:pPr>
            <w:r>
              <w:rPr>
                <w:sz w:val="22"/>
                <w:b/>
              </w:rPr>
              <w:t>①系统介绍</w:t>
            </w:r>
          </w:p>
          <w:p>
            <w:pPr>
              <w:pStyle w:val="null3"/>
              <w:ind w:firstLine="440"/>
            </w:pPr>
            <w:r>
              <w:rPr>
                <w:sz w:val="22"/>
              </w:rPr>
              <w:t>为准备转型升级的个体工商户提供智能化申报审批登记业务办理，实现个转企业务办理无需提交纸质材料，全程提供智能导办服务，通过在广东省一网通办服务平台实现身份认证和签名提交，使个转企业务更为便利化，营造良好的营商环境。</w:t>
            </w:r>
          </w:p>
          <w:p>
            <w:pPr>
              <w:pStyle w:val="null3"/>
              <w:ind w:firstLine="440"/>
            </w:pPr>
            <w:r>
              <w:rPr>
                <w:sz w:val="22"/>
              </w:rPr>
              <w:t>个体工商户可登录企业开办一网通办（中山专版）到个转企业务专区中办理个转企业务，按照要求填写经办人信息和个体工商户信息，用户使用摄像头实现人脸识别认证，通过认证后使用场景证书进行电子签名并提交业务，无需使用任何身份认证介质，仅需一台智能手机和一台电脑即可完成业务申报，申报完成之后，平台将信息推送给一网通办后台审批服务平台。</w:t>
            </w:r>
          </w:p>
          <w:p>
            <w:pPr>
              <w:pStyle w:val="null3"/>
              <w:ind w:firstLine="440"/>
            </w:pPr>
            <w:r>
              <w:rPr>
                <w:sz w:val="22"/>
                <w:b/>
              </w:rPr>
              <w:t>②系统现状</w:t>
            </w:r>
          </w:p>
          <w:p>
            <w:pPr>
              <w:pStyle w:val="null3"/>
              <w:ind w:firstLine="440"/>
            </w:pPr>
            <w:r>
              <w:rPr>
                <w:sz w:val="22"/>
              </w:rPr>
              <w:t>本系统从</w:t>
            </w:r>
            <w:r>
              <w:rPr>
                <w:sz w:val="22"/>
              </w:rPr>
              <w:t>2023年8月7日立项，2023年10月31日完成合同签订，项目目前建设中，预计2024年12月完成综合验收，预计2025年12月质保到期。预计2026年1月起纳入统一运维。</w:t>
            </w:r>
          </w:p>
          <w:p>
            <w:pPr>
              <w:pStyle w:val="null3"/>
              <w:outlineLvl w:val="3"/>
            </w:pPr>
            <w:r>
              <w:rPr>
                <w:sz w:val="22"/>
                <w:b/>
              </w:rPr>
              <w:t>（</w:t>
            </w:r>
            <w:r>
              <w:rPr>
                <w:sz w:val="22"/>
                <w:b/>
              </w:rPr>
              <w:t>4）中山市商事登记全程电子化智能申报审批平台</w:t>
            </w:r>
          </w:p>
          <w:p>
            <w:pPr>
              <w:pStyle w:val="null3"/>
              <w:outlineLvl w:val="3"/>
            </w:pPr>
            <w:r>
              <w:rPr>
                <w:sz w:val="22"/>
                <w:b/>
              </w:rPr>
              <w:t>①系统介绍</w:t>
            </w:r>
          </w:p>
          <w:p>
            <w:pPr>
              <w:pStyle w:val="null3"/>
              <w:ind w:firstLine="440"/>
            </w:pPr>
            <w:r>
              <w:rPr>
                <w:sz w:val="22"/>
              </w:rPr>
              <w:t>依据广东省工商行政管理局全程电子化登记系统技术体系，借鉴我省其他地市的先进</w:t>
            </w:r>
            <w:r>
              <w:rPr>
                <w:sz w:val="22"/>
              </w:rPr>
              <w:t>/</w:t>
            </w:r>
            <w:r>
              <w:rPr>
                <w:sz w:val="22"/>
              </w:rPr>
              <w:t>性经验，建设了具有中山特色的商事登记全程电子化智能申报审批平台。具体建设成效如下：</w:t>
            </w:r>
          </w:p>
          <w:p>
            <w:pPr>
              <w:pStyle w:val="null3"/>
              <w:ind w:firstLine="440"/>
            </w:pPr>
            <w:r>
              <w:rPr>
                <w:sz w:val="22"/>
              </w:rPr>
              <w:t>1)建设中山特色的多渠道、便利化的智慧申报系统。在中山市现有商事登记环境基础上，以传统互联网、移动互联网为媒介，为中山市社会群众提供智慧化智能化的登记业务办理，业务办理流程实现无纸化，全程提供智能导办服务，利用数字证书和人脸识别技术实现身份认证和签名提交，使商事登记业务更为便利化，营造良好的营商环境。</w:t>
            </w:r>
          </w:p>
          <w:p>
            <w:pPr>
              <w:pStyle w:val="null3"/>
              <w:ind w:firstLine="440"/>
            </w:pPr>
            <w:r>
              <w:rPr>
                <w:sz w:val="22"/>
              </w:rPr>
              <w:t>2)实现全程电子化业务的快捷审批、智能审批。建设与全程电子化系统配套的智能化审批系统，将业务审批中重复度高、标准性强的工作交给计算机，减少业务审批人员的重复工作量，提升审批效率。针对部分高度标准化的业务，可以数据为支撑，实现智能自动审批，实时申报、实时发照，达到营业执照即来即办的效果。</w:t>
            </w:r>
          </w:p>
          <w:p>
            <w:pPr>
              <w:pStyle w:val="null3"/>
              <w:ind w:firstLine="440"/>
            </w:pPr>
            <w:r>
              <w:rPr>
                <w:sz w:val="22"/>
              </w:rPr>
              <w:t>3)运用大数据优化政府服务，提高行政效能。建设工商内部企业数据平台，统一归集商事主体业务数据、税务登记数据等政府部门的重要数据，运用大数据优化政府服务，提高行政效能。</w:t>
            </w:r>
          </w:p>
          <w:p>
            <w:pPr>
              <w:pStyle w:val="null3"/>
              <w:ind w:firstLine="440"/>
            </w:pPr>
            <w:r>
              <w:rPr>
                <w:sz w:val="22"/>
              </w:rPr>
              <w:t>4)围绕商事登记业务实现数据共享、互通。横向贯通公积金、国地税、社保、食药监、质监、安监、烟草、卫计等政府部门实现业务数据对接，纵向与省工商业务系统、市一门一网系统、镇街一门一网系统等系统实现应用互通，接入可靠的、群体广泛的互联网机构，为商事登记业务提供数据支撑、应用支撑、技术支撑，减少群众数据填报量、跑动现场量，实现一次申报、多证联办，从而提升商事登记便利化水平。</w:t>
            </w:r>
          </w:p>
          <w:p>
            <w:pPr>
              <w:pStyle w:val="null3"/>
              <w:ind w:firstLine="440"/>
            </w:pPr>
            <w:r>
              <w:rPr>
                <w:sz w:val="22"/>
              </w:rPr>
              <w:t>5)拓展指尖应用，实现服务移动化。用户可通过APP和微信公众服务平台办理个体户业务，登录移动端后仅需填写个体户申报信息，系统自动生成表单，用户使用摄像头实现人脸识别认证，通过认证后使用机构场景证书进行电子签名并提交业务，无需使用任何身份认证介质，仅需一台智能手机即可完成业务申报。</w:t>
            </w:r>
          </w:p>
          <w:p>
            <w:pPr>
              <w:pStyle w:val="null3"/>
              <w:ind w:firstLine="440"/>
            </w:pPr>
            <w:r>
              <w:rPr>
                <w:sz w:val="22"/>
                <w:b/>
              </w:rPr>
              <w:t>②系统现状</w:t>
            </w:r>
          </w:p>
          <w:p>
            <w:pPr>
              <w:pStyle w:val="null3"/>
              <w:ind w:firstLine="440"/>
            </w:pPr>
            <w:r>
              <w:rPr>
                <w:sz w:val="22"/>
              </w:rPr>
              <w:t>本系统从</w:t>
            </w:r>
            <w:r>
              <w:rPr>
                <w:sz w:val="22"/>
              </w:rPr>
              <w:t>2018年9月起建设，2020年12月通过终验，2021年1月起进入免费运维期（系统质保期），根据合同约定，免费运维期（系统质保期）1年，至2021年12月31日结束。2022年1月签订运维合同，该合同约定的运维期至2024年6月结束，现纳入统一运维。</w:t>
            </w:r>
          </w:p>
          <w:p>
            <w:pPr>
              <w:pStyle w:val="null3"/>
              <w:outlineLvl w:val="3"/>
            </w:pPr>
            <w:r>
              <w:rPr>
                <w:sz w:val="22"/>
                <w:b/>
              </w:rPr>
              <w:t>（</w:t>
            </w:r>
            <w:r>
              <w:rPr>
                <w:sz w:val="22"/>
                <w:b/>
              </w:rPr>
              <w:t>5）中山市市场监督管理局个体集群智能申报审批服务平台</w:t>
            </w:r>
          </w:p>
          <w:p>
            <w:pPr>
              <w:pStyle w:val="null3"/>
              <w:outlineLvl w:val="3"/>
            </w:pPr>
            <w:r>
              <w:rPr>
                <w:sz w:val="22"/>
                <w:b/>
              </w:rPr>
              <w:t>①系统介绍</w:t>
            </w:r>
          </w:p>
          <w:p>
            <w:pPr>
              <w:pStyle w:val="null3"/>
              <w:ind w:firstLine="440"/>
            </w:pPr>
            <w:r>
              <w:rPr>
                <w:sz w:val="22"/>
              </w:rPr>
              <w:t>为集群注册的个体工商户提供智能化申报审批登记业务办理，商事登记业务办理无需提交纸质材料，全程提供智能导办服务，利用数字证书和人脸识别技术实现身份认证和签名提交，使商事登记业务更为便利化，营造良好的营商环境。</w:t>
            </w:r>
          </w:p>
          <w:p>
            <w:pPr>
              <w:pStyle w:val="null3"/>
              <w:ind w:firstLine="440"/>
            </w:pPr>
            <w:r>
              <w:rPr>
                <w:sz w:val="22"/>
              </w:rPr>
              <w:t>根据托管企业的信息化程度，如果托管企业可以对个体工商户自建申报端，通过服务接口中间件的方式与个体集群智能申报审批服务平台进行对接；如托管企业没有自建的申报端，可在广东政务服务网（中山）企业开办专区中的个体集群智能申报审批进行申报。</w:t>
            </w:r>
          </w:p>
          <w:p>
            <w:pPr>
              <w:pStyle w:val="null3"/>
              <w:ind w:firstLine="440"/>
            </w:pPr>
            <w:r>
              <w:rPr>
                <w:sz w:val="22"/>
              </w:rPr>
              <w:t>商事登记中个体工商户可登入托管企业的相关平台如微信公众号或广东政务服务网（中山）企业开办专区中，办理个体户集群登记业务，按照商事登记要求填写个人信息和托管信息，用户使用摄像头实现人脸识别认证，通过认证后使用场景证书进行电子签名并提交业务，无需使用任何身份认证介质，仅需一台智能手机即可完成业务申报，申报完成之后，托管企业将信息提交给个体集群智能申报审批服务平台。</w:t>
            </w:r>
          </w:p>
          <w:p>
            <w:pPr>
              <w:pStyle w:val="null3"/>
              <w:ind w:firstLine="440"/>
            </w:pPr>
            <w:r>
              <w:rPr>
                <w:sz w:val="22"/>
              </w:rPr>
              <w:t>同时个体集群智能申报审批服务平台配套的智能审批服务，将业务审批中重复度高、标准性强的工作交给智能机器人，减少业务审批人员的重复工作量，提升审批效率。针对部分高度标准化的业务信息，通过标准的数据格式规范，实现个体户集群设立登记自动审批，实时申报、实时发照，达到个体工商户营业执照即办即取的效果。</w:t>
            </w:r>
          </w:p>
          <w:p>
            <w:pPr>
              <w:pStyle w:val="null3"/>
              <w:ind w:firstLine="440"/>
            </w:pPr>
            <w:r>
              <w:rPr>
                <w:sz w:val="22"/>
                <w:b/>
              </w:rPr>
              <w:t>②系统现状</w:t>
            </w:r>
          </w:p>
          <w:p>
            <w:pPr>
              <w:pStyle w:val="null3"/>
              <w:ind w:firstLine="440"/>
            </w:pPr>
            <w:r>
              <w:rPr>
                <w:sz w:val="22"/>
              </w:rPr>
              <w:t>2021年9月10日立项，建设项目批复总金额61万。2021年10月11日完成合同签订，2023年11月15日完成综合验收，2024年10月质保期结束。2024年11月1日起纳入统一运维。</w:t>
            </w:r>
          </w:p>
          <w:p>
            <w:pPr>
              <w:pStyle w:val="null3"/>
              <w:outlineLvl w:val="3"/>
            </w:pPr>
            <w:r>
              <w:rPr>
                <w:sz w:val="22"/>
                <w:b/>
              </w:rPr>
              <w:t>（</w:t>
            </w:r>
            <w:r>
              <w:rPr>
                <w:sz w:val="22"/>
                <w:b/>
              </w:rPr>
              <w:t>6）中山市涉企信息统一归集公示数据管理平台（含一二期）</w:t>
            </w:r>
          </w:p>
          <w:p>
            <w:pPr>
              <w:pStyle w:val="null3"/>
              <w:outlineLvl w:val="3"/>
            </w:pPr>
            <w:r>
              <w:rPr>
                <w:sz w:val="22"/>
                <w:b/>
              </w:rPr>
              <w:t>①系统介绍</w:t>
            </w:r>
          </w:p>
          <w:p>
            <w:pPr>
              <w:pStyle w:val="null3"/>
              <w:ind w:firstLine="440"/>
            </w:pPr>
            <w:r>
              <w:rPr>
                <w:sz w:val="22"/>
              </w:rPr>
              <w:t>中山市涉企信息统一归集公示数据管理平台一期：</w:t>
            </w:r>
          </w:p>
          <w:p>
            <w:pPr>
              <w:pStyle w:val="null3"/>
              <w:ind w:firstLine="440"/>
            </w:pPr>
            <w:r>
              <w:rPr>
                <w:sz w:val="22"/>
              </w:rPr>
              <w:t>一期平台于</w:t>
            </w:r>
            <w:r>
              <w:rPr>
                <w:sz w:val="22"/>
              </w:rPr>
              <w:t>2018年开始建设，2019年4月30日完成综合验收，2020年5月质保到期，项目续约的服务期限在2021年12月31日截止，中山市市场监督管理局建设了涉企信息统一归集公示数据管理平台，系统部署在云平台，目前有6台服务器，该平台作为中山市市场监督管理局的数据中枢体系，统一局内的数据归集和输出数据的统一渠道和工具，目前该平台归集来源于市发改局、市工信局、市自然资源局等27家部门近3年的行政许可、行政处罚、抽查检查、联合惩戒、小微企业扶持和供电用电地址信息。</w:t>
            </w:r>
          </w:p>
          <w:p>
            <w:pPr>
              <w:pStyle w:val="null3"/>
              <w:ind w:firstLine="440"/>
            </w:pPr>
            <w:r>
              <w:rPr>
                <w:sz w:val="22"/>
              </w:rPr>
              <w:t>为促进涉企数据的共享应用，建立了省、市涉企数据的交换和分发机制，在中山市政务数据交换中心（即中山市政务信息资源共享平台）与广东省电子政务数据中心的互联互通、信息资源共享的基础上，构建起</w:t>
            </w:r>
            <w:r>
              <w:rPr>
                <w:sz w:val="22"/>
              </w:rPr>
              <w:t>“上连省厅，下连区局”的数据中枢交换体系。项目上一期的运维服务期限在2024年6月30日到期。</w:t>
            </w:r>
          </w:p>
          <w:p>
            <w:pPr>
              <w:pStyle w:val="null3"/>
              <w:ind w:firstLine="440"/>
            </w:pPr>
            <w:r>
              <w:rPr>
                <w:sz w:val="22"/>
              </w:rPr>
              <w:t>中山市涉企信息统一归集公示数据管理平台二期：</w:t>
            </w:r>
          </w:p>
          <w:p>
            <w:pPr>
              <w:pStyle w:val="null3"/>
              <w:ind w:firstLine="440"/>
            </w:pPr>
            <w:r>
              <w:rPr>
                <w:sz w:val="22"/>
              </w:rPr>
              <w:t>中山市涉企信息统一归集公示数据管理平台二期充分利用一期建设资源进行建设，本项目建设之后，通过对市场监管业务梳理整合，基于国产化基础环境，打造市场监管局统一的数据中枢体系和涉企监管系统。</w:t>
            </w:r>
          </w:p>
          <w:p>
            <w:pPr>
              <w:pStyle w:val="null3"/>
              <w:ind w:firstLine="440"/>
            </w:pPr>
            <w:r>
              <w:rPr>
                <w:sz w:val="22"/>
                <w:b/>
              </w:rPr>
              <w:t>②系统现状</w:t>
            </w:r>
          </w:p>
          <w:p>
            <w:pPr>
              <w:pStyle w:val="null3"/>
              <w:ind w:firstLine="440"/>
            </w:pPr>
            <w:r>
              <w:rPr>
                <w:sz w:val="22"/>
              </w:rPr>
              <w:t>该项目平台（一期）于</w:t>
            </w:r>
            <w:r>
              <w:rPr>
                <w:sz w:val="22"/>
              </w:rPr>
              <w:t>2018年开始建设，2019年4月30日完成综合验收，2020年5月质保到期，项目上一期的运维服务期限在2024年6月30日到期。</w:t>
            </w:r>
          </w:p>
          <w:p>
            <w:pPr>
              <w:pStyle w:val="null3"/>
              <w:ind w:firstLine="440"/>
            </w:pPr>
            <w:r>
              <w:rPr>
                <w:sz w:val="22"/>
              </w:rPr>
              <w:t>于</w:t>
            </w:r>
            <w:r>
              <w:rPr>
                <w:sz w:val="22"/>
              </w:rPr>
              <w:t>2020年5月份启动中山市涉企信息统一归集公示数据管理平台项目（二期）建设立项申请，2020年11月30日正式开工建设，2021年12月上线试运行。2021年12月建设目标已达成，2022年9月完成项目整体专家验收, 2023年9月27日免费运维服务到期，免费运维服务期延长到2024年6月30日，现纳入统一运维。</w:t>
            </w:r>
          </w:p>
          <w:p>
            <w:pPr>
              <w:pStyle w:val="null3"/>
              <w:outlineLvl w:val="3"/>
            </w:pPr>
            <w:r>
              <w:rPr>
                <w:sz w:val="22"/>
                <w:b/>
              </w:rPr>
              <w:t>（</w:t>
            </w:r>
            <w:r>
              <w:rPr>
                <w:sz w:val="22"/>
                <w:b/>
              </w:rPr>
              <w:t>7）中山市市场监督管理局智慧监管服务平台项目</w:t>
            </w:r>
          </w:p>
          <w:p>
            <w:pPr>
              <w:pStyle w:val="null3"/>
              <w:outlineLvl w:val="3"/>
            </w:pPr>
            <w:r>
              <w:rPr>
                <w:sz w:val="22"/>
                <w:b/>
              </w:rPr>
              <w:t>①系统介绍</w:t>
            </w:r>
          </w:p>
          <w:p>
            <w:pPr>
              <w:pStyle w:val="null3"/>
              <w:ind w:firstLine="440"/>
            </w:pPr>
            <w:r>
              <w:rPr>
                <w:sz w:val="22"/>
              </w:rPr>
              <w:t>依托数字政府改革，打造高效全面的智慧市场监管能力，完善跨部门、跨区域监管联动响应和协作机制，加强市场监管信息共享，加强各领域监管数据归集、治理、分析、应用，推进与各行业专业监管系统互联互通，实现规范监管、精准监管、联合监管。梳理完善中山市场监管全业务监管流程及搭建符合新时期监管需求的智能信息化系统，打通市场准入与监管、各项监管业务、监管与执法之间的数据通道，强化市场监管各项业务融合，理顺上下级信息化建设关系，全面支撑市场准入、监管、执法、公共服务、政务等事项的高效开展，有效提高监管精准化、智慧化水平。</w:t>
            </w:r>
          </w:p>
          <w:p>
            <w:pPr>
              <w:pStyle w:val="null3"/>
              <w:ind w:firstLine="440"/>
            </w:pPr>
            <w:r>
              <w:rPr>
                <w:sz w:val="22"/>
              </w:rPr>
              <w:t>目前本项目仍属于建设期，尚未到运维期。</w:t>
            </w:r>
          </w:p>
          <w:p>
            <w:pPr>
              <w:pStyle w:val="null3"/>
              <w:ind w:firstLine="440"/>
            </w:pPr>
            <w:r>
              <w:rPr>
                <w:sz w:val="22"/>
                <w:b/>
              </w:rPr>
              <w:t>②系统现状</w:t>
            </w:r>
          </w:p>
          <w:p>
            <w:pPr>
              <w:pStyle w:val="null3"/>
              <w:ind w:firstLine="440"/>
            </w:pPr>
            <w:r>
              <w:rPr>
                <w:sz w:val="22"/>
              </w:rPr>
              <w:t>本系统从</w:t>
            </w:r>
            <w:r>
              <w:rPr>
                <w:sz w:val="22"/>
              </w:rPr>
              <w:t>2023年01月起建设，2024年07月1日起进入免费运维期（系统质保期1年），根据合同约定，免费运维期（系统质保期）1年，至2025年06月30日结束，预计2025年07月起纳入统一运维。</w:t>
            </w:r>
          </w:p>
          <w:p>
            <w:pPr>
              <w:pStyle w:val="null3"/>
              <w:outlineLvl w:val="3"/>
            </w:pPr>
            <w:r>
              <w:rPr>
                <w:sz w:val="22"/>
                <w:b/>
              </w:rPr>
              <w:t>（</w:t>
            </w:r>
            <w:r>
              <w:rPr>
                <w:sz w:val="22"/>
                <w:b/>
              </w:rPr>
              <w:t>8）中山市全国12315平台话务平台信息录入应用系统</w:t>
            </w:r>
          </w:p>
          <w:p>
            <w:pPr>
              <w:pStyle w:val="null3"/>
              <w:outlineLvl w:val="3"/>
            </w:pPr>
            <w:r>
              <w:rPr>
                <w:sz w:val="22"/>
                <w:b/>
              </w:rPr>
              <w:t>①系统介绍</w:t>
            </w:r>
          </w:p>
          <w:p>
            <w:pPr>
              <w:pStyle w:val="null3"/>
              <w:ind w:firstLine="440"/>
            </w:pPr>
            <w:r>
              <w:rPr>
                <w:sz w:val="22"/>
              </w:rPr>
              <w:t>本项目部署在中山市电子政务云。</w:t>
            </w:r>
          </w:p>
          <w:p>
            <w:pPr>
              <w:pStyle w:val="null3"/>
              <w:ind w:firstLine="440"/>
            </w:pPr>
            <w:r>
              <w:rPr>
                <w:sz w:val="22"/>
              </w:rPr>
              <w:t>在总局的统一数据标准与业务规范指导下，完成全国</w:t>
            </w:r>
            <w:r>
              <w:rPr>
                <w:sz w:val="22"/>
              </w:rPr>
              <w:t>12315平台话务平台信息录入应用系统在市本地的部署，该系统的主体功能将与总局全国12315平台保持一致，数据标准和业务标准与总局全国12315平台一致，实现与总局全国12315平台的互联互通，以满足中山市市场监管业务数据可无缝地上报至总局平台。</w:t>
            </w:r>
          </w:p>
          <w:p>
            <w:pPr>
              <w:pStyle w:val="null3"/>
              <w:ind w:firstLine="440"/>
            </w:pPr>
            <w:r>
              <w:rPr>
                <w:sz w:val="22"/>
                <w:b/>
              </w:rPr>
              <w:t>②系统现状</w:t>
            </w:r>
          </w:p>
          <w:p>
            <w:pPr>
              <w:pStyle w:val="null3"/>
              <w:outlineLvl w:val="3"/>
            </w:pPr>
            <w:r>
              <w:rPr>
                <w:sz w:val="22"/>
                <w:b/>
              </w:rPr>
              <w:t xml:space="preserve">     本系统从</w:t>
            </w:r>
            <w:r>
              <w:rPr>
                <w:sz w:val="22"/>
                <w:b/>
              </w:rPr>
              <w:t>2020年</w:t>
            </w:r>
            <w:r>
              <w:rPr>
                <w:sz w:val="22"/>
                <w:b/>
              </w:rPr>
              <w:t>10</w:t>
            </w:r>
            <w:r>
              <w:rPr>
                <w:sz w:val="22"/>
                <w:b/>
              </w:rPr>
              <w:t>月起建设，</w:t>
            </w:r>
            <w:r>
              <w:rPr>
                <w:sz w:val="22"/>
                <w:b/>
              </w:rPr>
              <w:t>2021年12月通过终验，2021年12月起进入免费运维期（系统质保期），根据合同约定，免费运维期（系统质保期）2年。纳入统一运维。</w:t>
            </w:r>
          </w:p>
          <w:p>
            <w:pPr>
              <w:pStyle w:val="null3"/>
              <w:outlineLvl w:val="3"/>
            </w:pPr>
            <w:r>
              <w:rPr>
                <w:sz w:val="22"/>
                <w:b/>
              </w:rPr>
              <w:t>（</w:t>
            </w:r>
            <w:r>
              <w:rPr>
                <w:sz w:val="22"/>
                <w:b/>
              </w:rPr>
              <w:t>9）中山市市场监督管理局知识产权一体化系统</w:t>
            </w:r>
          </w:p>
          <w:p>
            <w:pPr>
              <w:pStyle w:val="null3"/>
              <w:outlineLvl w:val="3"/>
            </w:pPr>
            <w:r>
              <w:rPr>
                <w:sz w:val="22"/>
                <w:b/>
              </w:rPr>
              <w:t xml:space="preserve">      ①系统介绍</w:t>
            </w:r>
          </w:p>
          <w:p>
            <w:pPr>
              <w:pStyle w:val="null3"/>
              <w:ind w:firstLine="440"/>
            </w:pPr>
            <w:r>
              <w:rPr>
                <w:sz w:val="22"/>
              </w:rPr>
              <w:t>系统围绕现中山市知识产权业务工作现状进行信息化规划建设，为覆盖对知识产权专利、商标、地理标志、知识产权专家库管理、人才库管理的综合性系统：包含单位日常业务管理、知识产权申报、智能搜索、对外宣传、所有业务流程智能化审批管理等业务功能。</w:t>
            </w:r>
          </w:p>
          <w:p>
            <w:pPr>
              <w:pStyle w:val="null3"/>
              <w:ind w:firstLine="440"/>
            </w:pPr>
            <w:r>
              <w:rPr>
                <w:sz w:val="22"/>
              </w:rPr>
              <w:t>系统架构设计实现网络基础设施和数据综合服务、流程服务、基于统一门户的应用服务等多层次服务功能。同时为消除垂直业务系统之间彼此隔离所造成的</w:t>
            </w:r>
            <w:r>
              <w:rPr>
                <w:sz w:val="22"/>
              </w:rPr>
              <w:t>"信息孤岛”,数据中心可实现对各业务应用系统的数据以多种手段获取,并在数据中心共享库中进行整合,实现业务应用之间数据的横向连通。为实现不同业务协同及相关应用系统互联互通,需要数据中心提供应用系统流程管理和整合手段。在数据中心数据利用层提供先进的分析手段和工具，并能够以不同的方式进行统计报表的输出、数据展示、分析、挖掘，使数据成为可用的信息,最大限度的发挥这些数据的作用,提高数据的综合利用程度。</w:t>
            </w:r>
          </w:p>
          <w:p>
            <w:pPr>
              <w:pStyle w:val="null3"/>
              <w:ind w:firstLine="440"/>
            </w:pPr>
            <w:r>
              <w:rPr>
                <w:sz w:val="22"/>
                <w:b/>
              </w:rPr>
              <w:t>②系统现状</w:t>
            </w:r>
          </w:p>
          <w:p>
            <w:pPr>
              <w:pStyle w:val="null3"/>
              <w:ind w:firstLine="440"/>
            </w:pPr>
            <w:r>
              <w:rPr>
                <w:sz w:val="22"/>
              </w:rPr>
              <w:t>本系统从</w:t>
            </w:r>
            <w:r>
              <w:rPr>
                <w:sz w:val="22"/>
              </w:rPr>
              <w:t>2021年10月起建设，计划2024年6月起进入免费运维期（系统质保期），根据合同约定，免费运维期（系统质保期1年）至2025年7月15日结束，纳入统一运维时间以实际系统质保期结束为准。</w:t>
            </w:r>
          </w:p>
          <w:p>
            <w:pPr>
              <w:pStyle w:val="null3"/>
              <w:outlineLvl w:val="3"/>
            </w:pPr>
            <w:r>
              <w:rPr>
                <w:sz w:val="22"/>
                <w:b/>
              </w:rPr>
              <w:t>（</w:t>
            </w:r>
            <w:r>
              <w:rPr>
                <w:sz w:val="22"/>
                <w:b/>
              </w:rPr>
              <w:t>10）中山市“香山新街市”智慧农贸平台</w:t>
            </w:r>
          </w:p>
          <w:p>
            <w:pPr>
              <w:pStyle w:val="null3"/>
              <w:outlineLvl w:val="3"/>
            </w:pPr>
            <w:r>
              <w:rPr>
                <w:sz w:val="22"/>
                <w:b/>
              </w:rPr>
              <w:t xml:space="preserve">      ①系统介绍</w:t>
            </w:r>
          </w:p>
          <w:p>
            <w:pPr>
              <w:pStyle w:val="null3"/>
              <w:ind w:firstLine="440"/>
            </w:pPr>
            <w:r>
              <w:rPr>
                <w:sz w:val="22"/>
              </w:rPr>
              <w:t>监管系统主要使用对象为政务监管人员，通过平台对农贸市场的基础数据、食安溯源数据、长效管理数据等进行监督管理。通过平台实时了解各个农贸市场情况，数字化展示农贸市场各项信息。</w:t>
            </w:r>
          </w:p>
          <w:p>
            <w:pPr>
              <w:pStyle w:val="null3"/>
              <w:ind w:firstLine="440"/>
            </w:pPr>
            <w:r>
              <w:rPr>
                <w:sz w:val="22"/>
              </w:rPr>
              <w:t>农贸系统管理主要使用群体为市场管理人员，市场管理人员可通过平台对市场内各项数据进行数字化、智慧化管理。平台功能覆盖农贸市场整个生命周期的方方面面，是一个专门为农贸市场服务的成熟、先进管理平台。具有食安检测溯源、商户信用等级制度、农贸市场员工考勤数字化管理等功能。平台内部独创的商品交易信息采集系统，可以为市场管理员更好的分析展现市场中的各类菜品交易数据。</w:t>
            </w:r>
          </w:p>
          <w:p>
            <w:pPr>
              <w:pStyle w:val="null3"/>
              <w:ind w:firstLine="440"/>
            </w:pPr>
            <w:r>
              <w:rPr>
                <w:sz w:val="22"/>
              </w:rPr>
              <w:t>市场</w:t>
            </w:r>
            <w:r>
              <w:rPr>
                <w:sz w:val="22"/>
              </w:rPr>
              <w:t>020 电子商户管理平台支持入驻、自营双模式，有前端商城小程序、骑手配送端小程序、市场配货端手持移动系统、后端管理平台组成，在后端管理平台开设店铺后对商品进行上下架编辑，可设置新人红包、拉新折扣红包、满减红包、预售活动、秒杀活动、团购活动折扣商品等系列运营推广优惠活动，消费者可在前端购物商城上选择商品下单支付完成后，订单在后台自动接单后，将订单拆分到配货系统上，配货人员按照订单内容进行配货，配货完成并打包后打印出订单票据，骑手会在小程序上自动接单，系统告知取货与送货地址，距离路线等，骑手按照订单编号到指定取货地点取货后按照路线配送至指定地址处，消费者取货完成配送流程。</w:t>
            </w:r>
          </w:p>
          <w:p>
            <w:pPr>
              <w:pStyle w:val="null3"/>
              <w:ind w:firstLine="440"/>
            </w:pPr>
            <w:r>
              <w:rPr>
                <w:sz w:val="22"/>
                <w:b/>
              </w:rPr>
              <w:t>②系统现状</w:t>
            </w:r>
          </w:p>
          <w:p>
            <w:pPr>
              <w:pStyle w:val="null3"/>
              <w:ind w:firstLine="440"/>
            </w:pPr>
            <w:r>
              <w:rPr>
                <w:sz w:val="22"/>
              </w:rPr>
              <w:t>本系统从</w:t>
            </w:r>
            <w:r>
              <w:rPr>
                <w:sz w:val="22"/>
              </w:rPr>
              <w:t>2022年12月起建设，2023年12月通过终验，2023年12月起进入免费运维期（系统质保期），根据合同约定，免费运维期（系统质保期）3年，至2026年12月18日结束。2026年12月19日起纳入统一运维。</w:t>
            </w:r>
          </w:p>
          <w:p>
            <w:pPr>
              <w:pStyle w:val="null3"/>
              <w:outlineLvl w:val="2"/>
            </w:pPr>
            <w:r>
              <w:rPr>
                <w:sz w:val="22"/>
                <w:b/>
              </w:rPr>
              <w:t>2.运维服务内容</w:t>
            </w:r>
          </w:p>
          <w:p>
            <w:pPr>
              <w:pStyle w:val="null3"/>
              <w:outlineLvl w:val="3"/>
            </w:pPr>
            <w:r>
              <w:rPr>
                <w:sz w:val="22"/>
                <w:b/>
              </w:rPr>
              <w:t>（</w:t>
            </w:r>
            <w:r>
              <w:rPr>
                <w:sz w:val="22"/>
                <w:b/>
              </w:rPr>
              <w:t>1）日常维护</w:t>
            </w:r>
          </w:p>
          <w:p>
            <w:pPr>
              <w:pStyle w:val="null3"/>
              <w:outlineLvl w:val="3"/>
            </w:pPr>
            <w:r>
              <w:rPr>
                <w:sz w:val="22"/>
                <w:b/>
              </w:rPr>
              <w:t xml:space="preserve">      ①系统日常维护</w:t>
            </w:r>
          </w:p>
          <w:p>
            <w:pPr>
              <w:pStyle w:val="null3"/>
              <w:ind w:firstLine="440"/>
            </w:pPr>
            <w:r>
              <w:rPr>
                <w:sz w:val="22"/>
              </w:rPr>
              <w:t>提供维护服务和技术支持服务，包括系统维护、用户培训、数据初始化、技术咨询、功能完善、性能提升、故障检测、平台所有外接系统接口及外接申办接口维护及管理员新增等相关工作，保证系统软件的正常运行。</w:t>
            </w:r>
          </w:p>
          <w:p>
            <w:pPr>
              <w:pStyle w:val="null3"/>
              <w:ind w:firstLine="440"/>
            </w:pPr>
            <w:r>
              <w:rPr>
                <w:sz w:val="22"/>
                <w:b/>
              </w:rPr>
              <w:t>②系统日常巡检</w:t>
            </w:r>
          </w:p>
          <w:p>
            <w:pPr>
              <w:pStyle w:val="null3"/>
              <w:ind w:firstLine="440"/>
            </w:pPr>
            <w:r>
              <w:rPr>
                <w:sz w:val="22"/>
              </w:rPr>
              <w:t>每天定时巡检，对系统的基础环境进行检查（包含操作系统、主机资源、中间件、数据库以及网络等），检查各功能模块能否正常访问，预防性维护检查。</w:t>
            </w:r>
          </w:p>
          <w:p>
            <w:pPr>
              <w:pStyle w:val="null3"/>
              <w:ind w:firstLine="440"/>
            </w:pPr>
            <w:r>
              <w:rPr>
                <w:sz w:val="22"/>
                <w:b/>
              </w:rPr>
              <w:t>③系统运行状态监控及预警</w:t>
            </w:r>
          </w:p>
          <w:p>
            <w:pPr>
              <w:pStyle w:val="null3"/>
              <w:ind w:firstLine="440"/>
            </w:pPr>
            <w:r>
              <w:rPr>
                <w:sz w:val="22"/>
              </w:rPr>
              <w:t>每天定时监控系统运行情况（包含软硬件情况），配合政务云资源提供单位等，对发现的问题及时报告并尽快解决。</w:t>
            </w:r>
          </w:p>
          <w:p>
            <w:pPr>
              <w:pStyle w:val="null3"/>
              <w:ind w:firstLine="440"/>
            </w:pPr>
            <w:r>
              <w:rPr>
                <w:sz w:val="22"/>
                <w:b/>
              </w:rPr>
              <w:t>④系统故障检测及排除</w:t>
            </w:r>
          </w:p>
          <w:p>
            <w:pPr>
              <w:pStyle w:val="null3"/>
              <w:ind w:firstLine="440"/>
            </w:pPr>
            <w:r>
              <w:rPr>
                <w:sz w:val="22"/>
              </w:rPr>
              <w:t>包括系统紧急救援服务。如出现故障导致系统不能正常工作，中标人须尽快解决问题并保证系统完全恢复正常运行。如果不能解决问题，中标人需自行请专家或其他高级技术人员对系统情况进行分析直至解决问题。中标人在接到采购人的现场系统维护请求后需迅速响应，对宕机或紧急恢复等严重问题，按照时间要求快速处理。</w:t>
            </w:r>
            <w:r>
              <w:rPr>
                <w:sz w:val="22"/>
              </w:rPr>
              <w:t xml:space="preserve">  </w:t>
            </w:r>
          </w:p>
          <w:p>
            <w:pPr>
              <w:pStyle w:val="null3"/>
              <w:ind w:firstLine="440"/>
            </w:pPr>
            <w:r>
              <w:rPr>
                <w:sz w:val="22"/>
                <w:b/>
              </w:rPr>
              <w:t>⑤配置维护</w:t>
            </w:r>
          </w:p>
          <w:p>
            <w:pPr>
              <w:pStyle w:val="null3"/>
              <w:ind w:firstLine="440"/>
            </w:pPr>
            <w:r>
              <w:rPr>
                <w:sz w:val="22"/>
              </w:rPr>
              <w:t>升级维护、配置变更等。</w:t>
            </w:r>
          </w:p>
          <w:p>
            <w:pPr>
              <w:pStyle w:val="null3"/>
              <w:ind w:firstLine="440"/>
            </w:pPr>
            <w:r>
              <w:rPr>
                <w:sz w:val="22"/>
                <w:b/>
              </w:rPr>
              <w:t>⑥咨询服务</w:t>
            </w:r>
          </w:p>
          <w:p>
            <w:pPr>
              <w:pStyle w:val="null3"/>
              <w:ind w:firstLine="440"/>
            </w:pPr>
            <w:r>
              <w:rPr>
                <w:sz w:val="22"/>
              </w:rPr>
              <w:t>提供电话、线上和现场技术咨询和技术支持服务。</w:t>
            </w:r>
          </w:p>
          <w:p>
            <w:pPr>
              <w:pStyle w:val="null3"/>
              <w:ind w:firstLine="440"/>
            </w:pPr>
            <w:r>
              <w:rPr>
                <w:sz w:val="22"/>
                <w:b/>
              </w:rPr>
              <w:t>⑦权限管理</w:t>
            </w:r>
          </w:p>
          <w:p>
            <w:pPr>
              <w:pStyle w:val="null3"/>
              <w:ind w:firstLine="440"/>
            </w:pPr>
            <w:r>
              <w:rPr>
                <w:sz w:val="22"/>
              </w:rPr>
              <w:t>负责对系统后台管理的维护，包括系统用户组织、功能组合、权限配置等。</w:t>
            </w:r>
          </w:p>
          <w:p>
            <w:pPr>
              <w:pStyle w:val="null3"/>
              <w:ind w:firstLine="440"/>
            </w:pPr>
            <w:r>
              <w:rPr>
                <w:sz w:val="22"/>
                <w:b/>
              </w:rPr>
              <w:t>⑧日常运维报障工单处理</w:t>
            </w:r>
          </w:p>
          <w:p>
            <w:pPr>
              <w:pStyle w:val="null3"/>
              <w:ind w:firstLine="440"/>
            </w:pPr>
            <w:r>
              <w:rPr>
                <w:sz w:val="22"/>
              </w:rPr>
              <w:t>按采购人内部运维制度要求完成运维报障工单的处理，包括信息系统日常运行过程中各类业务咨询、操作指导、故障处理、配置变更、权限调整、数据修改、需求变更等，并及时反馈工单的处理完成情况。</w:t>
            </w:r>
          </w:p>
          <w:p>
            <w:pPr>
              <w:pStyle w:val="null3"/>
              <w:ind w:firstLine="440"/>
            </w:pPr>
            <w:r>
              <w:rPr>
                <w:sz w:val="22"/>
                <w:b/>
              </w:rPr>
              <w:t>⑨资产管理</w:t>
            </w:r>
          </w:p>
          <w:p>
            <w:pPr>
              <w:pStyle w:val="null3"/>
              <w:ind w:firstLine="440"/>
            </w:pPr>
            <w:r>
              <w:rPr>
                <w:sz w:val="22"/>
              </w:rPr>
              <w:t>按采购人的要求，定期梳理信息系统的各类</w:t>
            </w:r>
            <w:r>
              <w:rPr>
                <w:sz w:val="22"/>
              </w:rPr>
              <w:t>信息化</w:t>
            </w:r>
            <w:r>
              <w:rPr>
                <w:sz w:val="22"/>
              </w:rPr>
              <w:t>资产，形成资产管理台账并在采购人的相关系统更新资产数据。</w:t>
            </w:r>
          </w:p>
          <w:p>
            <w:pPr>
              <w:pStyle w:val="null3"/>
              <w:outlineLvl w:val="3"/>
            </w:pPr>
            <w:r>
              <w:rPr>
                <w:sz w:val="22"/>
                <w:b/>
              </w:rPr>
              <w:t>（</w:t>
            </w:r>
            <w:r>
              <w:rPr>
                <w:sz w:val="22"/>
                <w:b/>
              </w:rPr>
              <w:t>2）系统优化</w:t>
            </w:r>
          </w:p>
          <w:p>
            <w:pPr>
              <w:pStyle w:val="null3"/>
              <w:outlineLvl w:val="3"/>
            </w:pPr>
            <w:r>
              <w:rPr>
                <w:sz w:val="22"/>
                <w:b/>
              </w:rPr>
              <w:t xml:space="preserve">      ①系统补丁及接口升级服务</w:t>
            </w:r>
          </w:p>
          <w:p>
            <w:pPr>
              <w:pStyle w:val="null3"/>
              <w:ind w:firstLine="440"/>
            </w:pPr>
            <w:r>
              <w:rPr>
                <w:sz w:val="22"/>
              </w:rPr>
              <w:t>提供系统的完善性功能补丁包，根据数据结构的变化提供接口优化和调试的服务。</w:t>
            </w:r>
          </w:p>
          <w:p>
            <w:pPr>
              <w:pStyle w:val="null3"/>
              <w:ind w:firstLine="440"/>
            </w:pPr>
            <w:r>
              <w:rPr>
                <w:sz w:val="22"/>
                <w:b/>
              </w:rPr>
              <w:t>②系统安全相关优化工作</w:t>
            </w:r>
          </w:p>
          <w:p>
            <w:pPr>
              <w:pStyle w:val="null3"/>
              <w:ind w:firstLine="440"/>
            </w:pPr>
            <w:r>
              <w:rPr>
                <w:sz w:val="22"/>
              </w:rPr>
              <w:t>配合采购人及相关安全部门开展各类安全相关工作，对系统进行必要的安全优化处理，包括安全自查、代码检测、操作系统、数据库和应用等存在的各类漏洞修复并形成闭环管理。</w:t>
            </w:r>
          </w:p>
          <w:p>
            <w:pPr>
              <w:pStyle w:val="null3"/>
              <w:ind w:firstLine="440"/>
            </w:pPr>
            <w:r>
              <w:rPr>
                <w:sz w:val="22"/>
                <w:b/>
              </w:rPr>
              <w:t>③应用软件适应性优化服务</w:t>
            </w:r>
          </w:p>
          <w:p>
            <w:pPr>
              <w:pStyle w:val="null3"/>
              <w:ind w:firstLine="440"/>
            </w:pPr>
            <w:r>
              <w:rPr>
                <w:sz w:val="22"/>
              </w:rPr>
              <w:t>在采购人要求的时限内完成系统已有模块或功能的适应性修改优化。</w:t>
            </w:r>
          </w:p>
          <w:p>
            <w:pPr>
              <w:pStyle w:val="null3"/>
              <w:ind w:firstLine="440"/>
            </w:pPr>
            <w:r>
              <w:rPr>
                <w:sz w:val="22"/>
                <w:b/>
              </w:rPr>
              <w:t>④数据库优化</w:t>
            </w:r>
          </w:p>
          <w:p>
            <w:pPr>
              <w:pStyle w:val="null3"/>
              <w:ind w:firstLine="440"/>
            </w:pPr>
            <w:r>
              <w:rPr>
                <w:sz w:val="22"/>
              </w:rPr>
              <w:t>定期对数据库进行分析，优化数据存储算法，提高读写性能。</w:t>
            </w:r>
          </w:p>
          <w:p>
            <w:pPr>
              <w:pStyle w:val="null3"/>
              <w:ind w:firstLine="440"/>
            </w:pPr>
            <w:r>
              <w:rPr>
                <w:sz w:val="22"/>
                <w:b/>
              </w:rPr>
              <w:t>⑤Bug修复服务</w:t>
            </w:r>
          </w:p>
          <w:p>
            <w:pPr>
              <w:pStyle w:val="null3"/>
              <w:ind w:firstLine="440"/>
            </w:pPr>
            <w:r>
              <w:rPr>
                <w:sz w:val="22"/>
              </w:rPr>
              <w:t>提供</w:t>
            </w:r>
            <w:r>
              <w:rPr>
                <w:sz w:val="22"/>
              </w:rPr>
              <w:t>Bug修复服务，中标人应能主动、及时的发现、分析系统BUG，对于采购人可提供程序源码的系统进行纠错性修复。</w:t>
            </w:r>
          </w:p>
          <w:p>
            <w:pPr>
              <w:pStyle w:val="null3"/>
              <w:ind w:firstLine="440"/>
            </w:pPr>
            <w:r>
              <w:rPr>
                <w:sz w:val="22"/>
                <w:b/>
              </w:rPr>
              <w:t>⑥系统重部署及调试服务</w:t>
            </w:r>
          </w:p>
          <w:p>
            <w:pPr>
              <w:pStyle w:val="null3"/>
              <w:ind w:firstLine="440"/>
            </w:pPr>
            <w:r>
              <w:rPr>
                <w:sz w:val="22"/>
              </w:rPr>
              <w:t>提供系统的数据库、中间件等系统软件的部署服务。</w:t>
            </w:r>
          </w:p>
          <w:p>
            <w:pPr>
              <w:pStyle w:val="null3"/>
              <w:outlineLvl w:val="3"/>
            </w:pPr>
            <w:r>
              <w:rPr>
                <w:sz w:val="22"/>
                <w:b/>
              </w:rPr>
              <w:t>（</w:t>
            </w:r>
            <w:r>
              <w:rPr>
                <w:sz w:val="22"/>
                <w:b/>
              </w:rPr>
              <w:t>3）数据服务</w:t>
            </w:r>
          </w:p>
          <w:p>
            <w:pPr>
              <w:pStyle w:val="null3"/>
              <w:outlineLvl w:val="3"/>
            </w:pPr>
            <w:r>
              <w:rPr>
                <w:sz w:val="22"/>
                <w:b/>
              </w:rPr>
              <w:t xml:space="preserve">      ①数据定制化查询统计服务</w:t>
            </w:r>
          </w:p>
          <w:p>
            <w:pPr>
              <w:pStyle w:val="null3"/>
              <w:ind w:firstLine="440"/>
            </w:pPr>
            <w:r>
              <w:rPr>
                <w:sz w:val="22"/>
              </w:rPr>
              <w:t>提供数据查询统计服务，根据采购人的定制化需求，协助查询、统计、导出系统各类数据。</w:t>
            </w:r>
          </w:p>
          <w:p>
            <w:pPr>
              <w:pStyle w:val="null3"/>
              <w:ind w:firstLine="440"/>
            </w:pPr>
            <w:r>
              <w:rPr>
                <w:sz w:val="22"/>
                <w:b/>
              </w:rPr>
              <w:t>②数据维护服务</w:t>
            </w:r>
          </w:p>
          <w:p>
            <w:pPr>
              <w:pStyle w:val="null3"/>
              <w:ind w:firstLine="440"/>
            </w:pPr>
            <w:r>
              <w:rPr>
                <w:sz w:val="22"/>
              </w:rPr>
              <w:t>定期对系统历史数据进行修正，解决因数据不完整、逻辑错误等原因造成无法通过系统的问题。定期对系统数据库进行备份，保障系统数据完整，防止数据因系统故障而丢失，并提供数据的恢复服务。</w:t>
            </w:r>
          </w:p>
          <w:p>
            <w:pPr>
              <w:pStyle w:val="null3"/>
              <w:ind w:firstLine="440"/>
            </w:pPr>
            <w:r>
              <w:rPr>
                <w:sz w:val="22"/>
                <w:b/>
              </w:rPr>
              <w:t>③数据资源管理服务</w:t>
            </w:r>
          </w:p>
          <w:p>
            <w:pPr>
              <w:pStyle w:val="null3"/>
              <w:ind w:firstLine="440"/>
            </w:pPr>
            <w:r>
              <w:rPr>
                <w:sz w:val="22"/>
              </w:rPr>
              <w:t>提供数据资源管理服务，包括归集梳理系统的业务数据；对数据资源进行编目、挂接；针对未能按照数据更新频率更新的数据资源目录整理并报送采购人；对共享交换的数据资源目录数据，要每天与采购人内部数据中心的数据量进行校对，确保对外共享数据的完整性；针对数据资源目录包括但不限于交换、统计等的数据进行审查核对工作。</w:t>
            </w:r>
          </w:p>
          <w:p>
            <w:pPr>
              <w:pStyle w:val="null3"/>
              <w:outlineLvl w:val="3"/>
            </w:pPr>
            <w:r>
              <w:rPr>
                <w:sz w:val="22"/>
                <w:b/>
              </w:rPr>
              <w:t>（</w:t>
            </w:r>
            <w:r>
              <w:rPr>
                <w:sz w:val="22"/>
                <w:b/>
              </w:rPr>
              <w:t>4）文档服务</w:t>
            </w:r>
          </w:p>
          <w:p>
            <w:pPr>
              <w:pStyle w:val="null3"/>
              <w:outlineLvl w:val="3"/>
            </w:pPr>
            <w:r>
              <w:rPr>
                <w:sz w:val="22"/>
                <w:b/>
              </w:rPr>
              <w:t xml:space="preserve">      ①运维成果文档</w:t>
            </w:r>
          </w:p>
          <w:p>
            <w:pPr>
              <w:pStyle w:val="null3"/>
              <w:ind w:firstLine="440"/>
            </w:pPr>
            <w:r>
              <w:rPr>
                <w:sz w:val="22"/>
              </w:rPr>
              <w:t>每个月按时提交信息系统的当前月度运维报告，每半年提交信息系统的当前半年度运维报告。上述报告内容包括但不限于业务咨询、操作指导、系统巡检记录、数据备份记录、系统漏洞修复、故障排除、培训记录、工单完成情况统计等。</w:t>
            </w:r>
          </w:p>
          <w:p>
            <w:pPr>
              <w:pStyle w:val="null3"/>
              <w:ind w:firstLine="440"/>
            </w:pPr>
            <w:r>
              <w:rPr>
                <w:sz w:val="22"/>
                <w:b/>
              </w:rPr>
              <w:t>②运维专题报告</w:t>
            </w:r>
          </w:p>
          <w:p>
            <w:pPr>
              <w:pStyle w:val="null3"/>
              <w:ind w:firstLine="440"/>
            </w:pPr>
            <w:r>
              <w:rPr>
                <w:sz w:val="22"/>
              </w:rPr>
              <w:t>在日常的运维过程中，针对发现问题的处理情况，形成专题运维报告报送采购人，内容包括但不限于存在问题描述、解决方案、处理结果等。</w:t>
            </w:r>
          </w:p>
          <w:p>
            <w:pPr>
              <w:pStyle w:val="null3"/>
              <w:ind w:firstLine="440"/>
            </w:pPr>
            <w:r>
              <w:rPr>
                <w:sz w:val="22"/>
                <w:b/>
              </w:rPr>
              <w:t>③系统自查报告（表）</w:t>
            </w:r>
          </w:p>
          <w:p>
            <w:pPr>
              <w:pStyle w:val="null3"/>
              <w:ind w:firstLine="440"/>
            </w:pPr>
            <w:r>
              <w:rPr>
                <w:sz w:val="22"/>
              </w:rPr>
              <w:t>根据采购人的要求，开展系统自查并形成报告（表）文档。</w:t>
            </w:r>
          </w:p>
          <w:p>
            <w:pPr>
              <w:pStyle w:val="null3"/>
              <w:ind w:firstLine="440"/>
            </w:pPr>
            <w:r>
              <w:rPr>
                <w:sz w:val="22"/>
                <w:b/>
              </w:rPr>
              <w:t>④需求文档整理</w:t>
            </w:r>
          </w:p>
          <w:p>
            <w:pPr>
              <w:pStyle w:val="null3"/>
              <w:ind w:firstLine="440"/>
            </w:pPr>
            <w:r>
              <w:rPr>
                <w:sz w:val="22"/>
              </w:rPr>
              <w:t>根据业务变化情况，配合采购人整理新业务需求</w:t>
            </w:r>
            <w:r>
              <w:rPr>
                <w:sz w:val="22"/>
              </w:rPr>
              <w:t>,并形成文档报送采购人。</w:t>
            </w:r>
          </w:p>
          <w:p>
            <w:pPr>
              <w:pStyle w:val="null3"/>
              <w:ind w:firstLine="440"/>
            </w:pPr>
            <w:r>
              <w:rPr>
                <w:sz w:val="22"/>
                <w:b/>
              </w:rPr>
              <w:t>⑤运维考核</w:t>
            </w:r>
          </w:p>
          <w:p>
            <w:pPr>
              <w:pStyle w:val="null3"/>
              <w:ind w:firstLine="440"/>
            </w:pPr>
            <w:r>
              <w:rPr>
                <w:sz w:val="22"/>
              </w:rPr>
              <w:t>采购人制定考核计划定期（每半年）</w:t>
            </w:r>
            <w:r>
              <w:rPr>
                <w:sz w:val="22"/>
              </w:rPr>
              <w:t>对中标人</w:t>
            </w:r>
            <w:r>
              <w:rPr>
                <w:sz w:val="22"/>
              </w:rPr>
              <w:t>开展系统运维成效考核服务，包括但不限于量化考核指标（能反映运维成效的指标），最终形成考核报告。</w:t>
            </w:r>
          </w:p>
          <w:p>
            <w:pPr>
              <w:pStyle w:val="null3"/>
              <w:ind w:firstLine="440"/>
            </w:pPr>
            <w:r>
              <w:rPr>
                <w:sz w:val="22"/>
                <w:b/>
              </w:rPr>
              <w:t>⑥满意度调查</w:t>
            </w:r>
          </w:p>
          <w:p>
            <w:pPr>
              <w:pStyle w:val="null3"/>
              <w:ind w:firstLine="440"/>
            </w:pPr>
            <w:r>
              <w:rPr>
                <w:sz w:val="22"/>
              </w:rPr>
              <w:t>配合采购人开展用户满意度调查，并形成文档。</w:t>
            </w:r>
          </w:p>
          <w:p>
            <w:pPr>
              <w:pStyle w:val="null3"/>
              <w:outlineLvl w:val="3"/>
            </w:pPr>
            <w:r>
              <w:rPr>
                <w:sz w:val="22"/>
                <w:b/>
              </w:rPr>
              <w:t>（</w:t>
            </w:r>
            <w:r>
              <w:rPr>
                <w:sz w:val="22"/>
                <w:b/>
              </w:rPr>
              <w:t>5）培训服务</w:t>
            </w:r>
          </w:p>
          <w:p>
            <w:pPr>
              <w:pStyle w:val="null3"/>
              <w:ind w:firstLine="440"/>
            </w:pPr>
            <w:r>
              <w:rPr>
                <w:sz w:val="22"/>
              </w:rPr>
              <w:t>在运维期间，若采购人提出培训需求，中标人需及时作出响应，并安排讲师进行培训。</w:t>
            </w:r>
          </w:p>
          <w:p>
            <w:pPr>
              <w:pStyle w:val="null3"/>
              <w:ind w:firstLine="440"/>
            </w:pPr>
            <w:r>
              <w:rPr>
                <w:sz w:val="22"/>
              </w:rPr>
              <w:t>根据采购人实际需要，在采购人指定范围内提供针对本项目信息系统系统架构设计、业务数据流、模块与模块之间关系，系统数据库结构关系和对数据库、应用服务器监控、系统调优专业课程及业务系统操作等的相关培训。中标人需提供相关培训教材及培训用具。</w:t>
            </w:r>
          </w:p>
          <w:p>
            <w:pPr>
              <w:pStyle w:val="null3"/>
              <w:outlineLvl w:val="3"/>
            </w:pPr>
            <w:r>
              <w:rPr>
                <w:sz w:val="22"/>
                <w:b/>
              </w:rPr>
              <w:t>（</w:t>
            </w:r>
            <w:r>
              <w:rPr>
                <w:sz w:val="22"/>
                <w:b/>
              </w:rPr>
              <w:t>6）应急响应服务</w:t>
            </w:r>
          </w:p>
          <w:p>
            <w:pPr>
              <w:pStyle w:val="null3"/>
              <w:ind w:firstLine="440"/>
            </w:pPr>
            <w:r>
              <w:rPr>
                <w:sz w:val="22"/>
              </w:rPr>
              <w:t>中标人需要根据本项目突发事件的影响程度，将服务响应的事件分为</w:t>
            </w:r>
            <w:r>
              <w:rPr>
                <w:sz w:val="22"/>
              </w:rPr>
              <w:t>4个等级，并对不同等级的事件作出恢复、解决时间的要求，其中1级事件需在故障出现后30分钟内恢复系统正常，2级事件系统恢复时间为1小时内，3、4级事件需在2小时内恢复系统正常或给出应急处理办法；1级事件在8小时内分析故障原因，并提出问题分析报告和整改方案，2、3级事件在24小时内分析故障原因，并提出问题分析报告和整改方案，4级事件在48小时内分析故障原因，并提出问题分析报告和整改方案，各突发事件响应要求详见下表。</w:t>
            </w:r>
          </w:p>
          <w:tbl>
            <w:tblPr>
              <w:tblBorders>
                <w:top w:val="none" w:color="000000" w:sz="4"/>
                <w:left w:val="none" w:color="000000" w:sz="4"/>
                <w:bottom w:val="none" w:color="000000" w:sz="4"/>
                <w:right w:val="none" w:color="000000" w:sz="4"/>
                <w:insideH w:val="none"/>
                <w:insideV w:val="none"/>
              </w:tblBorders>
            </w:tblPr>
            <w:tblGrid>
              <w:gridCol w:w="860"/>
              <w:gridCol w:w="1459"/>
              <w:gridCol w:w="1309"/>
              <w:gridCol w:w="1970"/>
            </w:tblGrid>
            <w:tr>
              <w:tc>
                <w:tcPr>
                  <w:tcW w:type="dxa" w:w="8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事件等级</w:t>
                  </w:r>
                </w:p>
              </w:tc>
              <w:tc>
                <w:tcPr>
                  <w:tcW w:type="dxa" w:w="1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事件定义</w:t>
                  </w:r>
                </w:p>
              </w:tc>
              <w:tc>
                <w:tcPr>
                  <w:tcW w:type="dxa" w:w="13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恢复时间</w:t>
                  </w:r>
                </w:p>
              </w:tc>
              <w:tc>
                <w:tcPr>
                  <w:tcW w:type="dxa" w:w="1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解决时间</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1级事件</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发生安全事故或系统数据泄露，造成严重影响</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30分钟内恢复系统正常</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8小时内分析故障原因，提出问题分析报告和整改方案</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2级事件</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信息系统崩溃，系统所有业务无法进行，造成较大影响</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1小时内恢复系统正常</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24小时内分析故障原因，提出问题分析报告和整改方案</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3级事件</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发生故障，部分业务无法开展，影响外单位业务开展</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2小时内恢复系统正常或提供应急处理办法</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24小时内分析故障原因，提出问题分析报告和整改方案</w:t>
                  </w:r>
                </w:p>
              </w:tc>
            </w:tr>
            <w:tr>
              <w:tc>
                <w:tcPr>
                  <w:tcW w:type="dxa" w:w="8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4级事件</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性能下降或故障影响本局业务开展</w:t>
                  </w:r>
                </w:p>
              </w:tc>
              <w:tc>
                <w:tcPr>
                  <w:tcW w:type="dxa" w:w="13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2小时内恢复系统正常或提供应急处理办法</w:t>
                  </w:r>
                </w:p>
              </w:tc>
              <w:tc>
                <w:tcPr>
                  <w:tcW w:type="dxa" w:w="1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rPr>
                    <w:t>48小时内分析故障原因，提出问题分析报告和整改方案</w:t>
                  </w:r>
                </w:p>
              </w:tc>
            </w:tr>
          </w:tbl>
          <w:p>
            <w:pPr>
              <w:pStyle w:val="null3"/>
              <w:outlineLvl w:val="3"/>
            </w:pPr>
            <w:r>
              <w:rPr>
                <w:sz w:val="22"/>
                <w:b/>
              </w:rPr>
              <w:t>（</w:t>
            </w:r>
            <w:r>
              <w:rPr>
                <w:sz w:val="22"/>
                <w:b/>
              </w:rPr>
              <w:t>7）运维文档要求</w:t>
            </w:r>
          </w:p>
          <w:p>
            <w:pPr>
              <w:pStyle w:val="null3"/>
              <w:ind w:firstLine="440"/>
            </w:pPr>
            <w:r>
              <w:rPr>
                <w:sz w:val="22"/>
              </w:rPr>
              <w:t>中标人负责对运维项目相关文档进行集中管理、整理、规范和维护，包括收集、存储、更新和检索与运维项目各个方面相关的文档，包括但不限于项目计划、操作手册、技术规格、故障记录、维护日志、变更记录等。通过该服务，确保所有运维项目文档的格式统一、内容准确、完整且易于查找和理解。其目的是为了提高运维工作的效率和质量，使运维团队成员能够快速获取所需信息，更好地协同工作，同时也便于对项目进行跟踪、评估和审计，为项目的顺利推进和持续改进提供有力的支持，并且有助于在项目交接或知识传承时保持信息的连贯性和一致性。</w:t>
            </w:r>
          </w:p>
          <w:p>
            <w:pPr>
              <w:pStyle w:val="null3"/>
              <w:ind w:firstLine="440"/>
            </w:pPr>
            <w:r>
              <w:rPr>
                <w:sz w:val="22"/>
              </w:rPr>
              <w:t>中标人必须按要求提交运维工作文档，运维工作文档将作为项目验收的交付材料。</w:t>
            </w:r>
          </w:p>
          <w:p>
            <w:pPr>
              <w:pStyle w:val="null3"/>
              <w:outlineLvl w:val="3"/>
            </w:pPr>
            <w:r>
              <w:rPr>
                <w:sz w:val="22"/>
                <w:b/>
              </w:rPr>
              <w:t>（</w:t>
            </w:r>
            <w:r>
              <w:rPr>
                <w:sz w:val="22"/>
                <w:b/>
              </w:rPr>
              <w:t>8）个性化服务</w:t>
            </w:r>
          </w:p>
          <w:p>
            <w:pPr>
              <w:pStyle w:val="null3"/>
              <w:outlineLvl w:val="3"/>
            </w:pPr>
            <w:r>
              <w:rPr>
                <w:sz w:val="22"/>
                <w:b/>
              </w:rPr>
              <w:t xml:space="preserve">     ①广东省市场准入信息系统（中山）</w:t>
            </w:r>
          </w:p>
          <w:p>
            <w:pPr>
              <w:pStyle w:val="null3"/>
              <w:ind w:left="15"/>
            </w:pPr>
            <w:r>
              <w:rPr>
                <w:sz w:val="22"/>
                <w:b/>
              </w:rPr>
              <w:t>1)系统接口运维服务</w:t>
            </w:r>
          </w:p>
          <w:p>
            <w:pPr>
              <w:pStyle w:val="null3"/>
              <w:ind w:firstLine="440"/>
            </w:pPr>
            <w:r>
              <w:rPr>
                <w:sz w:val="22"/>
              </w:rPr>
              <w:t>需根据实际业务需求调整广东省市场准入信息系统（中山）外接系统接口，包括测试、联调、部署实施、维护等工作。</w:t>
            </w:r>
          </w:p>
          <w:p>
            <w:pPr>
              <w:pStyle w:val="null3"/>
              <w:ind w:left="15"/>
            </w:pPr>
            <w:r>
              <w:rPr>
                <w:sz w:val="22"/>
                <w:b/>
              </w:rPr>
              <w:t>2)申办接口运维服务</w:t>
            </w:r>
          </w:p>
          <w:p>
            <w:pPr>
              <w:pStyle w:val="null3"/>
              <w:ind w:firstLine="440"/>
            </w:pPr>
            <w:r>
              <w:rPr>
                <w:sz w:val="22"/>
              </w:rPr>
              <w:t>需根据实际业务需求更新广东省市场准入信息系统（中山）外接申办接口的优化、测试、联调、部署实施、维护等工作。</w:t>
            </w:r>
          </w:p>
          <w:p>
            <w:pPr>
              <w:pStyle w:val="null3"/>
              <w:ind w:firstLine="440"/>
            </w:pPr>
            <w:r>
              <w:rPr>
                <w:sz w:val="22"/>
                <w:b/>
              </w:rPr>
              <w:t>②中山市“一照通行”服务平台</w:t>
            </w:r>
          </w:p>
          <w:p>
            <w:pPr>
              <w:pStyle w:val="null3"/>
              <w:ind w:left="15"/>
            </w:pPr>
            <w:r>
              <w:rPr>
                <w:sz w:val="22"/>
                <w:b/>
              </w:rPr>
              <w:t>1)</w:t>
            </w:r>
            <w:r>
              <w:rPr>
                <w:sz w:val="22"/>
                <w:b/>
              </w:rPr>
              <w:t>接口运维服务</w:t>
            </w:r>
          </w:p>
          <w:p>
            <w:pPr>
              <w:pStyle w:val="null3"/>
              <w:ind w:firstLine="440"/>
            </w:pPr>
            <w:r>
              <w:rPr>
                <w:sz w:val="22"/>
              </w:rPr>
              <w:t>负责平台与</w:t>
            </w:r>
            <w:r>
              <w:rPr>
                <w:sz w:val="22"/>
              </w:rPr>
              <w:t>26个第三方生态系统对接互联互通的工作，确保各个接口的正常、高效运行。本项工作涉及省统一身份认证平台、省政务大数据中心等26个系统，涵盖了身份认证、政务服务、市场监管等多个方面。</w:t>
            </w:r>
          </w:p>
          <w:p>
            <w:pPr>
              <w:pStyle w:val="null3"/>
              <w:ind w:left="15"/>
            </w:pPr>
            <w:r>
              <w:rPr>
                <w:sz w:val="22"/>
                <w:b/>
              </w:rPr>
              <w:t>2)</w:t>
            </w:r>
            <w:r>
              <w:rPr>
                <w:sz w:val="22"/>
                <w:b/>
              </w:rPr>
              <w:t>数据治理服务</w:t>
            </w:r>
          </w:p>
          <w:p>
            <w:pPr>
              <w:pStyle w:val="null3"/>
              <w:ind w:firstLine="440"/>
            </w:pPr>
            <w:r>
              <w:rPr>
                <w:sz w:val="22"/>
              </w:rPr>
              <w:t>提供系统数据服务，包括但不限于运营数据采集、质量管理、安全管理、标准化管理、分析与挖掘、总结报告等内容。数据服务输出成果包括但不限于运营指标综合分析月报、数据服务工作周报、数据服务巡检记录等。</w:t>
            </w:r>
          </w:p>
          <w:p>
            <w:pPr>
              <w:pStyle w:val="null3"/>
              <w:ind w:left="15"/>
            </w:pPr>
            <w:r>
              <w:rPr>
                <w:sz w:val="22"/>
                <w:b/>
              </w:rPr>
              <w:t>3)</w:t>
            </w:r>
            <w:r>
              <w:rPr>
                <w:sz w:val="22"/>
                <w:b/>
              </w:rPr>
              <w:t>营商环境指标调整服务</w:t>
            </w:r>
          </w:p>
          <w:p>
            <w:pPr>
              <w:pStyle w:val="null3"/>
              <w:ind w:firstLine="440"/>
            </w:pPr>
            <w:r>
              <w:rPr>
                <w:sz w:val="22"/>
              </w:rPr>
              <w:t>根据《国务院办公厅关于规范营商环境评价工作的通知》（国办函〔</w:t>
            </w:r>
            <w:r>
              <w:rPr>
                <w:sz w:val="22"/>
              </w:rPr>
              <w:t>2021〕59 号）和《广东省优化营商环境条例》关于开展营商环境评价工作要求，广东省发展改革委会同广东省省情调查研究中心每年都会对全省21个地级以上市营商环境建设作出评价。营商环境评价共设置12个一级指标，37个二级指标。</w:t>
            </w:r>
          </w:p>
          <w:p>
            <w:pPr>
              <w:pStyle w:val="null3"/>
              <w:ind w:left="15"/>
            </w:pPr>
            <w:r>
              <w:rPr>
                <w:sz w:val="22"/>
                <w:b/>
              </w:rPr>
              <w:t>4</w:t>
            </w:r>
            <w:r>
              <w:rPr>
                <w:sz w:val="22"/>
                <w:b/>
              </w:rPr>
              <w:t>)</w:t>
            </w:r>
            <w:r>
              <w:rPr>
                <w:sz w:val="22"/>
                <w:b/>
              </w:rPr>
              <w:t>省市政策配套调整服务</w:t>
            </w:r>
          </w:p>
          <w:p>
            <w:pPr>
              <w:pStyle w:val="null3"/>
              <w:ind w:firstLine="440"/>
            </w:pPr>
            <w:r>
              <w:rPr>
                <w:sz w:val="22"/>
              </w:rPr>
              <w:t>事项政策调整。国家市监总局和广东省市监局发布新的政策文件，需及时对</w:t>
            </w:r>
            <w:r>
              <w:rPr>
                <w:sz w:val="22"/>
              </w:rPr>
              <w:t>“一照通行”服务平台上的事项政策进行更新和调整，包括但不限于对办理事项的适用范围、办理条件、办理流程等进行重新梳理和定义，以确保平台上的政策信息与最新政策文件保持一致。</w:t>
            </w:r>
          </w:p>
          <w:p>
            <w:pPr>
              <w:pStyle w:val="null3"/>
              <w:ind w:firstLine="440"/>
            </w:pPr>
            <w:r>
              <w:rPr>
                <w:sz w:val="22"/>
              </w:rPr>
              <w:t>文书调整。在省市政策调整后，中山市市场监督管理局会对</w:t>
            </w:r>
            <w:r>
              <w:rPr>
                <w:sz w:val="22"/>
              </w:rPr>
              <w:t>“一照通行”服务平台上的相关文书进行修订和完善。可能涉及申请表格、审批流程表、业务办理指南等文书的更新，以确保市场主体在办理业务时能够准确理解和操作。</w:t>
            </w:r>
          </w:p>
          <w:p>
            <w:pPr>
              <w:pStyle w:val="null3"/>
              <w:ind w:firstLine="440"/>
            </w:pPr>
            <w:r>
              <w:rPr>
                <w:sz w:val="22"/>
              </w:rPr>
              <w:t>培训与指导服务。为了确保市场主体能够及时了解并适应政策调整，需要配合采购人定期组织培训和指导活动，向市场主体解释新政策的具体内容和影响，指导其如何在</w:t>
            </w:r>
            <w:r>
              <w:rPr>
                <w:sz w:val="22"/>
              </w:rPr>
              <w:t>“一照通行”服务平台上正确办理业务。</w:t>
            </w:r>
          </w:p>
          <w:p>
            <w:pPr>
              <w:pStyle w:val="null3"/>
              <w:ind w:firstLine="440"/>
            </w:pPr>
            <w:r>
              <w:rPr>
                <w:sz w:val="22"/>
                <w:b/>
              </w:rPr>
              <w:t>③中山市涉企信息统一归集公示数据管理平台（含一二期）</w:t>
            </w:r>
          </w:p>
          <w:p>
            <w:pPr>
              <w:pStyle w:val="null3"/>
              <w:ind w:firstLine="440"/>
            </w:pPr>
            <w:r>
              <w:rPr>
                <w:sz w:val="22"/>
              </w:rPr>
              <w:t>提供针对中山市涉企信息统一归集公示数据管理平台二期项目新建的涉企市场主体全息库和涉监管业务主题库内容进行运营。保障涉企三大库</w:t>
            </w:r>
            <w:r>
              <w:rPr>
                <w:sz w:val="22"/>
              </w:rPr>
              <w:t>“涉企电子清单库”、“涉企市场主体全息库”、“涉企监管业务主题库”日常数据归集、治理、质检、分析，上架到省市两级平台、报告等工作。</w:t>
            </w:r>
          </w:p>
          <w:p>
            <w:pPr>
              <w:pStyle w:val="null3"/>
              <w:ind w:firstLine="440"/>
            </w:pPr>
            <w:r>
              <w:rPr>
                <w:sz w:val="22"/>
                <w:b/>
              </w:rPr>
              <w:t>（二）第三方服务采购</w:t>
            </w:r>
          </w:p>
          <w:tbl>
            <w:tblPr>
              <w:tblBorders>
                <w:top w:val="none" w:color="000000" w:sz="4"/>
                <w:left w:val="none" w:color="000000" w:sz="4"/>
                <w:bottom w:val="none" w:color="000000" w:sz="4"/>
                <w:right w:val="none" w:color="000000" w:sz="4"/>
                <w:insideH w:val="none"/>
                <w:insideV w:val="none"/>
              </w:tblBorders>
            </w:tblPr>
            <w:tblGrid>
              <w:gridCol w:w="511"/>
              <w:gridCol w:w="1920"/>
              <w:gridCol w:w="1521"/>
              <w:gridCol w:w="985"/>
              <w:gridCol w:w="661"/>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序号</w:t>
                  </w:r>
                </w:p>
              </w:tc>
              <w:tc>
                <w:tcPr>
                  <w:tcW w:type="dxa" w:w="19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系统名称</w:t>
                  </w:r>
                </w:p>
              </w:tc>
              <w:tc>
                <w:tcPr>
                  <w:tcW w:type="dxa" w:w="15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所需采购的服务名称</w:t>
                  </w:r>
                </w:p>
              </w:tc>
              <w:tc>
                <w:tcPr>
                  <w:tcW w:type="dxa" w:w="9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预估数量</w:t>
                  </w:r>
                </w:p>
              </w:tc>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单位</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w:t>
                  </w:r>
                  <w:r>
                    <w:rPr>
                      <w:sz w:val="22"/>
                    </w:rPr>
                    <w:t>“一照通行”服务平台</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短信</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4700000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条</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中山市涉企信息统一归集公示数据管理平台（含一二期）</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三云</w:t>
                  </w:r>
                  <w:r>
                    <w:rPr>
                      <w:sz w:val="22"/>
                    </w:rPr>
                    <w:t>CA证书</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w:t>
                  </w:r>
                  <w:r>
                    <w:rPr>
                      <w:sz w:val="22"/>
                    </w:rPr>
                    <w:t>“香山新街市”智慧农贸平台</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三云</w:t>
                  </w:r>
                  <w:r>
                    <w:rPr>
                      <w:sz w:val="22"/>
                    </w:rPr>
                    <w:t>CA证书</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4</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中山市市场监督管理局智慧监管服务平台项目</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三云</w:t>
                  </w:r>
                  <w:r>
                    <w:rPr>
                      <w:sz w:val="22"/>
                    </w:rPr>
                    <w:t>CA证书</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个</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5</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中山市市场监督管理局智慧监管服务平台项目</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统一日常监管系统</w:t>
                  </w:r>
                  <w:r>
                    <w:rPr>
                      <w:sz w:val="22"/>
                    </w:rPr>
                    <w:t>-专利商标数据服务</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1.5</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年</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6</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中山市市场监督管理局智慧监管服务平台项目</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统一日常监管系统</w:t>
                  </w:r>
                  <w:r>
                    <w:rPr>
                      <w:sz w:val="22"/>
                    </w:rPr>
                    <w:t>-国标行标数据服务</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1.5</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年</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7</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中山市市场监督管理局智慧监管服务平台项目</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检验检测数据分析系统</w:t>
                  </w:r>
                  <w:r>
                    <w:rPr>
                      <w:sz w:val="22"/>
                    </w:rPr>
                    <w:t>-质量分析数据-自动数据挖掘算法服务/产品分类挖掘算法服务</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1.5</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年</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8</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中山市市场监督管理局智慧监管服务平台项目</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检验检测数据分析系统</w:t>
                  </w:r>
                  <w:r>
                    <w:rPr>
                      <w:sz w:val="22"/>
                    </w:rPr>
                    <w:t>-质量分析数据-自动数据挖掘算法服务/行政区划挖掘算法服务</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1.5</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年</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9</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中山市市场监督管理局智慧监管服务平台项目</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检验检测数据分析系统</w:t>
                  </w:r>
                  <w:r>
                    <w:rPr>
                      <w:sz w:val="22"/>
                    </w:rPr>
                    <w:t>-质量分析数据</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1.5</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年</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10</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中山市市场监督管理局智慧监管服务平台项目</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网络交易监管系统</w:t>
                  </w:r>
                  <w:r>
                    <w:rPr>
                      <w:sz w:val="22"/>
                    </w:rPr>
                    <w:t>-网络交易主体数据</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1.5</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年</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11</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中山市市场监督管理局智慧监管服务平台项目</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数据分析决策中心</w:t>
                  </w:r>
                  <w:r>
                    <w:rPr>
                      <w:sz w:val="22"/>
                    </w:rPr>
                    <w:t>-经营主体地址标准化治理服务</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1.5</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年</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12</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中山市市场监督管理局智慧监管服务平台项目</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短信服务</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3000000</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条</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13</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中山市市场监督管理局智慧监管服务平台项目</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地图实时调用服务</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年</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14</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中山市市场监督管理局智慧监管服务平台项目</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远程视频监管服务</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年</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15</w:t>
                  </w:r>
                </w:p>
              </w:tc>
              <w:tc>
                <w:tcPr>
                  <w:tcW w:type="dxa" w:w="19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中山市</w:t>
                  </w:r>
                  <w:r>
                    <w:rPr>
                      <w:sz w:val="22"/>
                    </w:rPr>
                    <w:t>“一照通行”服务平台</w:t>
                  </w:r>
                </w:p>
              </w:tc>
              <w:tc>
                <w:tcPr>
                  <w:tcW w:type="dxa" w:w="15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国家电子营业执照技术服务</w:t>
                  </w:r>
                </w:p>
              </w:tc>
              <w:tc>
                <w:tcPr>
                  <w:tcW w:type="dxa" w:w="9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2.75</w:t>
                  </w:r>
                </w:p>
              </w:tc>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年</w:t>
                  </w:r>
                </w:p>
              </w:tc>
            </w:tr>
          </w:tbl>
          <w:p>
            <w:pPr>
              <w:pStyle w:val="null3"/>
            </w:pPr>
            <w:r>
              <w:rPr>
                <w:sz w:val="22"/>
              </w:rPr>
              <w:t>特别说明：</w:t>
            </w:r>
          </w:p>
          <w:p>
            <w:pPr>
              <w:pStyle w:val="null3"/>
              <w:ind w:firstLine="440"/>
            </w:pPr>
            <w:r>
              <w:rPr>
                <w:sz w:val="22"/>
              </w:rPr>
              <w:t>中山市市场监督管理局智慧监管服务平台项目第三方数据服务从</w:t>
            </w:r>
            <w:r>
              <w:rPr>
                <w:sz w:val="22"/>
              </w:rPr>
              <w:t>2023年12月1日开始计算，建设期购买了2年服务，数据有效期至2025年11月30日止，</w:t>
            </w:r>
            <w:r>
              <w:rPr>
                <w:sz w:val="22"/>
              </w:rPr>
              <w:t>本次</w:t>
            </w:r>
            <w:r>
              <w:rPr>
                <w:sz w:val="22"/>
              </w:rPr>
              <w:t>数据采购从</w:t>
            </w:r>
            <w:r>
              <w:rPr>
                <w:sz w:val="22"/>
              </w:rPr>
              <w:t>2025年12月1日起算，迟于系统运维开始时间（2025年7月1日）</w:t>
            </w:r>
          </w:p>
          <w:p>
            <w:pPr>
              <w:pStyle w:val="null3"/>
              <w:ind w:firstLine="440"/>
            </w:pPr>
            <w:r>
              <w:rPr>
                <w:sz w:val="22"/>
                <w:b/>
              </w:rPr>
              <w:t>（三）信息安全运维</w:t>
            </w:r>
          </w:p>
          <w:p>
            <w:pPr>
              <w:pStyle w:val="null3"/>
              <w:ind w:firstLine="440"/>
            </w:pPr>
            <w:r>
              <w:rPr>
                <w:sz w:val="22"/>
                <w:b/>
              </w:rPr>
              <w:t>1.信息安全运维内容</w:t>
            </w:r>
          </w:p>
          <w:tbl>
            <w:tblPr>
              <w:tblBorders>
                <w:top w:val="none" w:color="000000" w:sz="4"/>
                <w:left w:val="none" w:color="000000" w:sz="4"/>
                <w:bottom w:val="none" w:color="000000" w:sz="4"/>
                <w:right w:val="none" w:color="000000" w:sz="4"/>
                <w:insideH w:val="none"/>
                <w:insideV w:val="none"/>
              </w:tblBorders>
            </w:tblPr>
            <w:tblGrid>
              <w:gridCol w:w="495"/>
              <w:gridCol w:w="1424"/>
              <w:gridCol w:w="1414"/>
              <w:gridCol w:w="909"/>
              <w:gridCol w:w="1343"/>
            </w:tblGrid>
            <w:tr>
              <w:tc>
                <w:tcPr>
                  <w:tcW w:type="dxa" w:w="4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序号</w:t>
                  </w:r>
                </w:p>
              </w:tc>
              <w:tc>
                <w:tcPr>
                  <w:tcW w:type="dxa" w:w="1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服务类型</w:t>
                  </w:r>
                </w:p>
              </w:tc>
              <w:tc>
                <w:tcPr>
                  <w:tcW w:type="dxa" w:w="14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服务名称</w:t>
                  </w:r>
                </w:p>
              </w:tc>
              <w:tc>
                <w:tcPr>
                  <w:tcW w:type="dxa" w:w="9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服务形式</w:t>
                  </w:r>
                </w:p>
              </w:tc>
              <w:tc>
                <w:tcPr>
                  <w:tcW w:type="dxa" w:w="1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频次</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网络安全咨询服务</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信息安全管理制度梳理</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专家服务</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每年开展</w:t>
                  </w:r>
                  <w:r>
                    <w:rPr>
                      <w:sz w:val="22"/>
                    </w:rPr>
                    <w:t>1次，运维期间共3次</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2</w:t>
                  </w:r>
                </w:p>
              </w:tc>
              <w:tc>
                <w:tcPr>
                  <w:tcW w:type="dxa" w:w="1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资产安全运营服务</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网络安全风险评估服务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驻点人员</w:t>
                  </w:r>
                  <w:r>
                    <w:rPr>
                      <w:sz w:val="22"/>
                      <w:color w:val="000000"/>
                    </w:rPr>
                    <w:t>+二线安全服务团队</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每年开展</w:t>
                  </w:r>
                  <w:r>
                    <w:rPr>
                      <w:sz w:val="22"/>
                    </w:rPr>
                    <w:t>1次，运维期间共3次</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3</w:t>
                  </w:r>
                </w:p>
              </w:tc>
              <w:tc>
                <w:tcPr>
                  <w:tcW w:type="dxa" w:w="1424"/>
                  <w:vMerge/>
                  <w:tcBorders>
                    <w:top w:val="none" w:color="000000" w:sz="4"/>
                    <w:left w:val="single" w:color="000000" w:sz="4"/>
                    <w:bottom w:val="single" w:color="000000" w:sz="4"/>
                    <w:right w:val="single" w:color="000000" w:sz="4"/>
                  </w:tcBorders>
                </w:tcP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信息资产梳理服务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驻点人员</w:t>
                  </w:r>
                  <w:r>
                    <w:rPr>
                      <w:sz w:val="22"/>
                      <w:color w:val="000000"/>
                    </w:rPr>
                    <w:t>+二线安全服务团队</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每年开展</w:t>
                  </w:r>
                  <w:r>
                    <w:rPr>
                      <w:sz w:val="22"/>
                    </w:rPr>
                    <w:t>2次，运维期间共6次</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4</w:t>
                  </w:r>
                </w:p>
              </w:tc>
              <w:tc>
                <w:tcPr>
                  <w:tcW w:type="dxa" w:w="1424"/>
                  <w:vMerge/>
                  <w:tcBorders>
                    <w:top w:val="none" w:color="000000" w:sz="4"/>
                    <w:left w:val="single" w:color="000000" w:sz="4"/>
                    <w:bottom w:val="single" w:color="000000" w:sz="4"/>
                    <w:right w:val="single" w:color="000000" w:sz="4"/>
                  </w:tcBorders>
                </w:tcP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安全配置核查服务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安全工具服务次数采购</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每年开展</w:t>
                  </w:r>
                  <w:r>
                    <w:rPr>
                      <w:sz w:val="22"/>
                    </w:rPr>
                    <w:t>2次，运维期间共6次</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24"/>
                  <w:vMerge/>
                  <w:tcBorders>
                    <w:top w:val="none" w:color="000000" w:sz="4"/>
                    <w:left w:val="single" w:color="000000" w:sz="4"/>
                    <w:bottom w:val="single" w:color="000000" w:sz="4"/>
                    <w:right w:val="single" w:color="000000" w:sz="4"/>
                  </w:tcBorders>
                </w:tcP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漏洞扫描服务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利用政务云工具开展</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视中山市政务服务和数据管理局资源分配</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1424"/>
                  <w:vMerge/>
                  <w:tcBorders>
                    <w:top w:val="none" w:color="000000" w:sz="4"/>
                    <w:left w:val="single" w:color="000000" w:sz="4"/>
                    <w:bottom w:val="single" w:color="000000" w:sz="4"/>
                    <w:right w:val="single" w:color="000000" w:sz="4"/>
                  </w:tcBorders>
                </w:tcP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代码安全检测</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利用政务云工具开展</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视中山市政务服务和数据管理局资源分配</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7</w:t>
                  </w:r>
                </w:p>
              </w:tc>
              <w:tc>
                <w:tcPr>
                  <w:tcW w:type="dxa" w:w="1424"/>
                  <w:vMerge/>
                  <w:tcBorders>
                    <w:top w:val="none" w:color="000000" w:sz="4"/>
                    <w:left w:val="single" w:color="000000" w:sz="4"/>
                    <w:bottom w:val="single" w:color="000000" w:sz="4"/>
                    <w:right w:val="single" w:color="000000" w:sz="4"/>
                  </w:tcBorders>
                </w:tcP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渗透测试服务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驻点人员</w:t>
                  </w:r>
                  <w:r>
                    <w:rPr>
                      <w:sz w:val="22"/>
                      <w:color w:val="000000"/>
                    </w:rPr>
                    <w:t>+二线安全服务团队</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每年开展</w:t>
                  </w:r>
                  <w:r>
                    <w:rPr>
                      <w:sz w:val="22"/>
                    </w:rPr>
                    <w:t>2次，运维期间共6次</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8</w:t>
                  </w:r>
                </w:p>
              </w:tc>
              <w:tc>
                <w:tcPr>
                  <w:tcW w:type="dxa" w:w="142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安全审计服务</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云平台安全日志审计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驻点人员</w:t>
                  </w:r>
                  <w:r>
                    <w:rPr>
                      <w:sz w:val="22"/>
                      <w:color w:val="000000"/>
                    </w:rPr>
                    <w:t>+二线安全服务团队</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每年开展</w:t>
                  </w:r>
                  <w:r>
                    <w:rPr>
                      <w:sz w:val="22"/>
                    </w:rPr>
                    <w:t>2次，运维期间共6次</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9</w:t>
                  </w:r>
                </w:p>
              </w:tc>
              <w:tc>
                <w:tcPr>
                  <w:tcW w:type="dxa" w:w="1424"/>
                  <w:vMerge/>
                  <w:tcBorders>
                    <w:top w:val="none" w:color="000000" w:sz="4"/>
                    <w:left w:val="single" w:color="000000" w:sz="4"/>
                    <w:bottom w:val="single" w:color="000000" w:sz="4"/>
                    <w:right w:val="single" w:color="000000" w:sz="4"/>
                  </w:tcBorders>
                </w:tcP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供应链人员管理审计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驻点人员</w:t>
                  </w:r>
                  <w:r>
                    <w:rPr>
                      <w:sz w:val="22"/>
                      <w:color w:val="000000"/>
                    </w:rPr>
                    <w:t>+二线安全服务团队</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每年开展</w:t>
                  </w:r>
                  <w:r>
                    <w:rPr>
                      <w:sz w:val="22"/>
                    </w:rPr>
                    <w:t>2次，运维期间共6次</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10</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安全培训服务</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信息安全培训</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驻点人员</w:t>
                  </w:r>
                  <w:r>
                    <w:rPr>
                      <w:sz w:val="22"/>
                      <w:color w:val="000000"/>
                    </w:rPr>
                    <w:t>+二线安全服务团队</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每年开展</w:t>
                  </w:r>
                  <w:r>
                    <w:rPr>
                      <w:sz w:val="22"/>
                    </w:rPr>
                    <w:t>1次，运维期间共3次</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11</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安全应急演练服务</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应急演练服务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驻点人员</w:t>
                  </w:r>
                  <w:r>
                    <w:rPr>
                      <w:sz w:val="22"/>
                      <w:color w:val="000000"/>
                    </w:rPr>
                    <w:t>+二线安全服务团队</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每年开展</w:t>
                  </w:r>
                  <w:r>
                    <w:rPr>
                      <w:sz w:val="22"/>
                    </w:rPr>
                    <w:t>2次</w:t>
                  </w:r>
                </w:p>
                <w:p>
                  <w:pPr>
                    <w:pStyle w:val="null3"/>
                  </w:pPr>
                  <w:r>
                    <w:rPr>
                      <w:sz w:val="22"/>
                    </w:rPr>
                    <w:t>运维期间共</w:t>
                  </w:r>
                  <w:r>
                    <w:rPr>
                      <w:sz w:val="22"/>
                    </w:rPr>
                    <w:t>6次</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12</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重要时期安全保障服务</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攻防演练期间的技术支撑服务</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专家服务</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每年开展</w:t>
                  </w:r>
                  <w:r>
                    <w:rPr>
                      <w:sz w:val="22"/>
                    </w:rPr>
                    <w:t>3次，运维期间共9次</w:t>
                  </w:r>
                </w:p>
              </w:tc>
            </w:tr>
            <w:tr>
              <w:tc>
                <w:tcPr>
                  <w:tcW w:type="dxa" w:w="4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13</w:t>
                  </w:r>
                </w:p>
              </w:tc>
              <w:tc>
                <w:tcPr>
                  <w:tcW w:type="dxa" w:w="1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移动端安全检查服务</w:t>
                  </w:r>
                </w:p>
              </w:tc>
              <w:tc>
                <w:tcPr>
                  <w:tcW w:type="dxa" w:w="14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App安全检查（含Android、I0S客户端、小程序）</w:t>
                  </w:r>
                </w:p>
              </w:tc>
              <w:tc>
                <w:tcPr>
                  <w:tcW w:type="dxa" w:w="9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安全工具服务次数采购</w:t>
                  </w:r>
                </w:p>
              </w:tc>
              <w:tc>
                <w:tcPr>
                  <w:tcW w:type="dxa" w:w="1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每年开展</w:t>
                  </w:r>
                  <w:r>
                    <w:rPr>
                      <w:sz w:val="22"/>
                    </w:rPr>
                    <w:t>1次，运维期间共3次</w:t>
                  </w:r>
                </w:p>
              </w:tc>
            </w:tr>
          </w:tbl>
          <w:p>
            <w:pPr>
              <w:pStyle w:val="null3"/>
              <w:outlineLvl w:val="2"/>
            </w:pPr>
            <w:r>
              <w:rPr>
                <w:sz w:val="22"/>
                <w:b/>
                <w:color w:val="000000"/>
              </w:rPr>
              <w:t>2.安全工具服务要求</w:t>
            </w:r>
          </w:p>
          <w:p>
            <w:pPr>
              <w:pStyle w:val="null3"/>
              <w:outlineLvl w:val="3"/>
            </w:pPr>
            <w:r>
              <w:rPr>
                <w:sz w:val="22"/>
                <w:b/>
                <w:color w:val="000000"/>
              </w:rPr>
              <w:t>（</w:t>
            </w:r>
            <w:r>
              <w:rPr>
                <w:sz w:val="22"/>
                <w:b/>
                <w:color w:val="000000"/>
              </w:rPr>
              <w:t>1）安全配置核查服务工具要求</w:t>
            </w:r>
          </w:p>
          <w:p>
            <w:pPr>
              <w:pStyle w:val="null3"/>
              <w:ind w:firstLine="440"/>
            </w:pPr>
            <w:r>
              <w:rPr>
                <w:sz w:val="22"/>
              </w:rPr>
              <w:t>安全配置核查服务需使用安全工具辅助提供实现核查，中标人需选择符合操作标准、质量保证的合格安全产品，以保障采购人的全面信息安全。相关标准如下：</w:t>
            </w:r>
          </w:p>
          <w:tbl>
            <w:tblPr>
              <w:tblBorders>
                <w:top w:val="none" w:color="000000" w:sz="4"/>
                <w:left w:val="none" w:color="000000" w:sz="4"/>
                <w:bottom w:val="none" w:color="000000" w:sz="4"/>
                <w:right w:val="none" w:color="000000" w:sz="4"/>
                <w:insideH w:val="none"/>
                <w:insideV w:val="none"/>
              </w:tblBorders>
            </w:tblPr>
            <w:tblGrid>
              <w:gridCol w:w="858"/>
              <w:gridCol w:w="4740"/>
            </w:tblGrid>
            <w:tr>
              <w:tc>
                <w:tcPr>
                  <w:tcW w:type="dxa" w:w="8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指标项</w:t>
                  </w:r>
                </w:p>
              </w:tc>
              <w:tc>
                <w:tcPr>
                  <w:tcW w:type="dxa" w:w="47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规格要求</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扫描能力</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pPr>
                  <w:r>
                    <w:rPr>
                      <w:sz w:val="22"/>
                    </w:rPr>
                    <w:t>①支持的配置项检查点不少于4000个。</w:t>
                  </w:r>
                </w:p>
                <w:p>
                  <w:pPr>
                    <w:pStyle w:val="null3"/>
                    <w:ind w:firstLine="440"/>
                  </w:pPr>
                  <w:r>
                    <w:rPr>
                      <w:sz w:val="22"/>
                    </w:rPr>
                    <w:t>②支持IPv4和IPv6环境的部署和扫描，可扫描的IP地址总数量无限制。</w:t>
                  </w:r>
                </w:p>
                <w:p>
                  <w:pPr>
                    <w:pStyle w:val="null3"/>
                    <w:ind w:firstLine="440"/>
                  </w:pPr>
                  <w:r>
                    <w:rPr>
                      <w:sz w:val="22"/>
                    </w:rPr>
                    <w:t>③▲支持配置变更监测，可以根据实际情况设置任意检查结果作为变更基线，支持与自身或者其他设备的同类型变更项进行对比,周期性监测系统的文件、目录、注册表、启动项、进程等配置信息及变更状态</w:t>
                  </w:r>
                  <w:r>
                    <w:rPr>
                      <w:sz w:val="22"/>
                      <w:b/>
                    </w:rPr>
                    <w:t>（</w:t>
                  </w:r>
                  <w:r>
                    <w:rPr>
                      <w:sz w:val="22"/>
                      <w:b/>
                    </w:rPr>
                    <w:t>需</w:t>
                  </w:r>
                  <w:r>
                    <w:rPr>
                      <w:sz w:val="22"/>
                      <w:b/>
                    </w:rPr>
                    <w:t>提供截图证明）。</w:t>
                  </w:r>
                  <w:r>
                    <w:rPr>
                      <w:sz w:val="22"/>
                    </w:rPr>
                    <w:t>同时产品具备一种检测方法和装置的技术</w:t>
                  </w:r>
                  <w:r>
                    <w:rPr>
                      <w:sz w:val="22"/>
                      <w:b/>
                    </w:rPr>
                    <w:t>。</w:t>
                  </w:r>
                </w:p>
                <w:p>
                  <w:pPr>
                    <w:pStyle w:val="null3"/>
                    <w:ind w:firstLine="440"/>
                  </w:pPr>
                  <w:r>
                    <w:rPr>
                      <w:sz w:val="22"/>
                    </w:rPr>
                    <w:t>④▲</w:t>
                  </w:r>
                  <w:r>
                    <w:rPr>
                      <w:sz w:val="22"/>
                    </w:rPr>
                    <w:t>产品具备弱口令扫描方法、装置及计算机存储介质的技术，可</w:t>
                  </w:r>
                  <w:r>
                    <w:rPr>
                      <w:sz w:val="22"/>
                    </w:rPr>
                    <w:t>提供针对</w:t>
                  </w:r>
                  <w:r>
                    <w:rPr>
                      <w:sz w:val="22"/>
                    </w:rPr>
                    <w:t>windows和linux系统类型不合规检查项的在线加固能力，可针对单一检查项加固，也可以批量加固不合规项</w:t>
                  </w:r>
                  <w:r>
                    <w:rPr>
                      <w:sz w:val="22"/>
                    </w:rPr>
                    <w:t>。</w:t>
                  </w:r>
                  <w:r>
                    <w:rPr>
                      <w:sz w:val="22"/>
                      <w:b/>
                    </w:rPr>
                    <w:t>（</w:t>
                  </w:r>
                  <w:r>
                    <w:rPr>
                      <w:sz w:val="22"/>
                      <w:b/>
                    </w:rPr>
                    <w:t>需</w:t>
                  </w:r>
                  <w:r>
                    <w:rPr>
                      <w:sz w:val="22"/>
                      <w:b/>
                    </w:rPr>
                    <w:t>提供截图证明）</w:t>
                  </w:r>
                </w:p>
                <w:p>
                  <w:pPr>
                    <w:pStyle w:val="null3"/>
                    <w:ind w:firstLine="440"/>
                  </w:pPr>
                  <w:r>
                    <w:rPr>
                      <w:sz w:val="22"/>
                    </w:rPr>
                    <w:t>⑤支持检查的内容包括但不限于账号、口令、授权、日志审计、不必要的服务、启动项、注册表、会话设置等配置。</w:t>
                  </w:r>
                </w:p>
                <w:p>
                  <w:pPr>
                    <w:pStyle w:val="null3"/>
                    <w:ind w:firstLine="440"/>
                  </w:pPr>
                  <w:r>
                    <w:rPr>
                      <w:sz w:val="22"/>
                    </w:rPr>
                    <w:t>⑥支持主流操作系统的安全配置核查，包括：Windows、Linux、HP-UX、AIX、Solaris、Fedora、FreeBSD、Deepin、Knoppix、Debian、Gentoo、Turbo等。</w:t>
                  </w:r>
                </w:p>
                <w:p>
                  <w:pPr>
                    <w:pStyle w:val="null3"/>
                    <w:ind w:firstLine="440"/>
                  </w:pPr>
                  <w:r>
                    <w:rPr>
                      <w:sz w:val="22"/>
                    </w:rPr>
                    <w:t>⑦支持对国产化操作系统的安全配置核查，包括：中标麒麟、银河麒麟、凝思磐石、华为欧拉、中兴新支点、统信、优麒麟、红旗、中科方德等。</w:t>
                  </w:r>
                </w:p>
                <w:p>
                  <w:pPr>
                    <w:pStyle w:val="null3"/>
                    <w:ind w:firstLine="440"/>
                  </w:pPr>
                  <w:r>
                    <w:rPr>
                      <w:sz w:val="22"/>
                    </w:rPr>
                    <w:t>⑧支持对主流数据库的安全配置检查，包括：Oracle、Mysql、SQL Server、sybase、DB2、informix、Memcached、opengauss、PostgreSQL、Redis、Hana等。</w:t>
                  </w:r>
                </w:p>
                <w:p>
                  <w:pPr>
                    <w:pStyle w:val="null3"/>
                    <w:ind w:firstLine="440"/>
                  </w:pPr>
                  <w:r>
                    <w:rPr>
                      <w:sz w:val="22"/>
                    </w:rPr>
                    <w:t>⑨支持对国产化数据库的安全配置核查，包括：达梦、人大金仓、神州通用、南大通用等。</w:t>
                  </w:r>
                </w:p>
                <w:p>
                  <w:pPr>
                    <w:pStyle w:val="null3"/>
                    <w:ind w:firstLine="440"/>
                  </w:pPr>
                  <w:r>
                    <w:rPr>
                      <w:sz w:val="22"/>
                    </w:rPr>
                    <w:t>⑩支持对主流网络设备的安全配置核查，包括：cisco交换机、华为交换机、H3C交换机、中兴交换机、力腾交换机 、锐捷交换机、赫思曼交换机、MOXA交换机、cisco路由器、华为路由器、中兴路由器、H3C路由器、juniper路由器、迈普路由器等。</w:t>
                  </w:r>
                </w:p>
                <w:p>
                  <w:pPr>
                    <w:pStyle w:val="null3"/>
                    <w:ind w:firstLine="440"/>
                  </w:pPr>
                  <w:r>
                    <w:rPr>
                      <w:sz w:val="22"/>
                    </w:rPr>
                    <w:t>⑪支持对主流防火墙的安全配置核查，包括：cisco防火墙 、华为防火墙、H3C防火墙、Fortigate防火墙、Netscreen防火墙、Juniper防火墙、启明星辰、网御powerV系列防火墙、山石防火墙、天融信防火墙、网神防火墙、迈普防火墙等。</w:t>
                  </w:r>
                </w:p>
                <w:p>
                  <w:pPr>
                    <w:pStyle w:val="null3"/>
                    <w:ind w:firstLine="440"/>
                  </w:pPr>
                  <w:r>
                    <w:rPr>
                      <w:sz w:val="22"/>
                    </w:rPr>
                    <w:t>⑫支持对主流中间件的安全配置核查，包括：Apache、Bind、Domino、IIS、Jboss、Nginx、Resin、Tomcat、TongWeb、Weblogic、Websphere、Tonglink、Jetty、MQ、IHS、Tuxedo、金蝶、中创中间件等。</w:t>
                  </w:r>
                </w:p>
                <w:p>
                  <w:pPr>
                    <w:pStyle w:val="null3"/>
                    <w:ind w:firstLine="440"/>
                  </w:pPr>
                  <w:r>
                    <w:rPr>
                      <w:sz w:val="22"/>
                    </w:rPr>
                    <w:t>⑬支持虚拟化系统安全配置核查，包括：VMware、ESXI、Vcenter、Xen、XenServer、Hyper-v、FusionCompute、FusionManager等。</w:t>
                  </w:r>
                </w:p>
                <w:p>
                  <w:pPr>
                    <w:pStyle w:val="null3"/>
                    <w:ind w:firstLine="440"/>
                  </w:pPr>
                  <w:r>
                    <w:rPr>
                      <w:sz w:val="22"/>
                    </w:rPr>
                    <w:t>⑭支持云计算、容器的配置核查，包括：OpenStack（cinder、nova、keystone、neutron、dashboard）、Docekr、K8S等。</w:t>
                  </w:r>
                </w:p>
                <w:p>
                  <w:pPr>
                    <w:pStyle w:val="null3"/>
                    <w:ind w:firstLine="440"/>
                  </w:pPr>
                  <w:r>
                    <w:rPr>
                      <w:sz w:val="22"/>
                    </w:rPr>
                    <w:t>⑮</w:t>
                  </w:r>
                  <w:r>
                    <w:rPr>
                      <w:sz w:val="22"/>
                    </w:rPr>
                    <w:t>支持大数据组件安全配置核查，包括：</w:t>
                  </w:r>
                  <w:r>
                    <w:rPr>
                      <w:sz w:val="22"/>
                    </w:rPr>
                    <w:t>Spark、Yarn、Hdfs、Hbase、Elasticsearch、Hive、Zookeeper、Storm、Flume、Impala、MPP、Kafka、Sqoop等。</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任务参数</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sz w:val="22"/>
                    </w:rPr>
                    <w:t>①支持在线和离线两种任务扫描方式。</w:t>
                  </w:r>
                </w:p>
                <w:p>
                  <w:pPr>
                    <w:pStyle w:val="null3"/>
                    <w:ind w:firstLine="400"/>
                  </w:pPr>
                  <w:r>
                    <w:rPr>
                      <w:sz w:val="22"/>
                    </w:rPr>
                    <w:t>②▲扫描任务参数设置多样化，包括但不限于执行方式、执行时间段、任务模板、策略模板、扫描方法、任务优先级等</w:t>
                  </w:r>
                  <w:r>
                    <w:rPr>
                      <w:sz w:val="22"/>
                      <w:b/>
                    </w:rPr>
                    <w:t>（提供截图证明）</w:t>
                  </w:r>
                  <w:r>
                    <w:rPr>
                      <w:sz w:val="22"/>
                    </w:rPr>
                    <w:t>，同时产品具备一种信息的获取方法、装置及电子设备的技术</w:t>
                  </w:r>
                  <w:r>
                    <w:rPr>
                      <w:sz w:val="22"/>
                    </w:rPr>
                    <w:t>。</w:t>
                  </w:r>
                </w:p>
                <w:p>
                  <w:pPr>
                    <w:pStyle w:val="null3"/>
                    <w:ind w:firstLine="400"/>
                  </w:pPr>
                  <w:r>
                    <w:rPr>
                      <w:sz w:val="22"/>
                    </w:rPr>
                    <w:t>③支持设置任务优先级，可按照高、较高、中、较低、低进行不同的优先级设置。</w:t>
                  </w:r>
                </w:p>
                <w:p>
                  <w:pPr>
                    <w:pStyle w:val="null3"/>
                    <w:ind w:firstLine="400"/>
                  </w:pPr>
                  <w:r>
                    <w:rPr>
                      <w:sz w:val="22"/>
                    </w:rPr>
                    <w:t>④▲支持AGENT、TELNET、SSH、SMB、RDP、WinRM的在线核查方式和串口核查方式进行安全基线配置检查</w:t>
                  </w:r>
                  <w:r>
                    <w:rPr>
                      <w:sz w:val="22"/>
                      <w:b/>
                    </w:rPr>
                    <w:t>（</w:t>
                  </w:r>
                  <w:r>
                    <w:rPr>
                      <w:sz w:val="22"/>
                      <w:b/>
                    </w:rPr>
                    <w:t>需</w:t>
                  </w:r>
                  <w:r>
                    <w:rPr>
                      <w:sz w:val="22"/>
                      <w:b/>
                    </w:rPr>
                    <w:t>提供截图证明）</w:t>
                  </w:r>
                  <w:r>
                    <w:rPr>
                      <w:sz w:val="22"/>
                    </w:rPr>
                    <w:t>，同时</w:t>
                  </w:r>
                  <w:r>
                    <w:rPr>
                      <w:sz w:val="22"/>
                    </w:rPr>
                    <w:t>产品具备自动化测试方法及装置的技术</w:t>
                  </w:r>
                  <w:r>
                    <w:rPr>
                      <w:sz w:val="22"/>
                    </w:rPr>
                    <w:t>。</w:t>
                  </w:r>
                </w:p>
                <w:p>
                  <w:pPr>
                    <w:pStyle w:val="null3"/>
                    <w:ind w:firstLine="400"/>
                  </w:pPr>
                  <w:r>
                    <w:rPr>
                      <w:sz w:val="22"/>
                    </w:rPr>
                    <w:t>⑤支持离线脚本核查，提供所有设备默认策略及自定义策略的离线脚本下载功能，在目标设备上执行完离线脚本后，可以将结果导入基线系统。</w:t>
                  </w:r>
                </w:p>
                <w:p>
                  <w:pPr>
                    <w:pStyle w:val="null3"/>
                    <w:ind w:firstLine="400"/>
                  </w:pPr>
                  <w:r>
                    <w:rPr>
                      <w:sz w:val="22"/>
                    </w:rPr>
                    <w:t>⑥支持扫描任务信息显示，包括任务名称、扫描目标、扫描类型、执行方式、优先级、创建人、创建时间、任务状态等。</w:t>
                  </w:r>
                </w:p>
                <w:p>
                  <w:pPr>
                    <w:pStyle w:val="null3"/>
                    <w:ind w:firstLine="400"/>
                  </w:pPr>
                  <w:r>
                    <w:rPr>
                      <w:sz w:val="22"/>
                    </w:rPr>
                    <w:t>⑦支持对意外网络中断的扫描任务恢复后继续进行扫描，断网续扫支持通过开关选择是否开启</w:t>
                  </w:r>
                  <w:r>
                    <w:rPr>
                      <w:sz w:val="22"/>
                    </w:rPr>
                    <w:t>。</w:t>
                  </w:r>
                </w:p>
                <w:p>
                  <w:pPr>
                    <w:pStyle w:val="null3"/>
                    <w:ind w:firstLine="400"/>
                  </w:pPr>
                  <w:r>
                    <w:rPr>
                      <w:sz w:val="22"/>
                    </w:rPr>
                    <w:t>⑧支持对无法立即得出是否合规的标准的检查项，提供人工参与判定的机制，并把判断结果作为下次检查的标准。</w:t>
                  </w:r>
                </w:p>
                <w:p>
                  <w:pPr>
                    <w:pStyle w:val="null3"/>
                    <w:ind w:firstLine="400"/>
                  </w:pPr>
                  <w:r>
                    <w:rPr>
                      <w:sz w:val="22"/>
                    </w:rPr>
                    <w:t>⑨支持对扫描失败的设备和检查项提供准确的失败反馈信息。</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资产管理</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sz w:val="22"/>
                    </w:rPr>
                    <w:t>①支持资产管理功能，资产信息包含资产名称、编号、IP、MAC、保护等级、资产价值、负责人等，并可根据需要添加自定义属性。</w:t>
                  </w:r>
                </w:p>
                <w:p>
                  <w:pPr>
                    <w:pStyle w:val="null3"/>
                    <w:ind w:firstLine="400"/>
                  </w:pPr>
                  <w:r>
                    <w:rPr>
                      <w:sz w:val="22"/>
                    </w:rPr>
                    <w:t>②支持按照部门、资产类型、IP分组等多种方式对所有资产进行展示。</w:t>
                  </w:r>
                </w:p>
                <w:p>
                  <w:pPr>
                    <w:pStyle w:val="null3"/>
                    <w:ind w:firstLine="400"/>
                  </w:pPr>
                  <w:r>
                    <w:rPr>
                      <w:sz w:val="22"/>
                    </w:rPr>
                    <w:t>③</w:t>
                  </w:r>
                  <w:r>
                    <w:rPr>
                      <w:sz w:val="22"/>
                    </w:rPr>
                    <w:t>支持资产拓扑功能，可自动生成资产拓扑图。</w:t>
                  </w:r>
                </w:p>
                <w:p>
                  <w:pPr>
                    <w:pStyle w:val="null3"/>
                    <w:ind w:firstLine="400"/>
                  </w:pPr>
                  <w:r>
                    <w:rPr>
                      <w:sz w:val="22"/>
                    </w:rPr>
                    <w:t>④支持核查对象集中管理，可手工添加、Excel文档导入及导出资产。</w:t>
                  </w:r>
                </w:p>
                <w:p>
                  <w:pPr>
                    <w:pStyle w:val="null3"/>
                    <w:ind w:firstLine="400"/>
                  </w:pPr>
                  <w:r>
                    <w:rPr>
                      <w:sz w:val="22"/>
                    </w:rPr>
                    <w:t>⑤支持对资产的连通性测试，对测试不通过的资产提供参考信息。</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策略管理</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sz w:val="22"/>
                    </w:rPr>
                    <w:t>①支持windows和linux系统类型的加固知识库管理，可查看每项检查项的配置风险，加固步骤。</w:t>
                  </w:r>
                </w:p>
                <w:p>
                  <w:pPr>
                    <w:pStyle w:val="null3"/>
                    <w:ind w:firstLine="400"/>
                  </w:pPr>
                  <w:r>
                    <w:rPr>
                      <w:sz w:val="22"/>
                    </w:rPr>
                    <w:t>②支持检查项设置权重、规范来源及告警配置。③支持核查脚本的自定义功能，并能按顺序清晰展示脚本使用的命令集合，例如：[netstat, echo] 。</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报表管理</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sz w:val="22"/>
                    </w:rPr>
                    <w:t>①▲</w:t>
                  </w:r>
                  <w:r>
                    <w:rPr>
                      <w:sz w:val="22"/>
                    </w:rPr>
                    <w:t>支持扫描任务完成后自动生成指定格式和内容的报表</w:t>
                  </w:r>
                  <w:r>
                    <w:rPr>
                      <w:sz w:val="22"/>
                    </w:rPr>
                    <w:t>,格式包含html、pdf、word、excel、wps、xml等，内容包含封面摘要、章节目录、任务信息、统计信息、参考信息等</w:t>
                  </w:r>
                  <w:r>
                    <w:rPr>
                      <w:sz w:val="22"/>
                      <w:b/>
                    </w:rPr>
                    <w:t>（需提供截图证明）</w:t>
                  </w:r>
                  <w:r>
                    <w:rPr>
                      <w:sz w:val="22"/>
                    </w:rPr>
                    <w:t>，同时产品具备一种生成漏洞传播图谱的方法、计算机存储介质及终端的技术</w:t>
                  </w:r>
                  <w:r>
                    <w:rPr>
                      <w:sz w:val="22"/>
                      <w:b/>
                    </w:rPr>
                    <w:t>。</w:t>
                  </w:r>
                </w:p>
                <w:p>
                  <w:pPr>
                    <w:pStyle w:val="null3"/>
                    <w:ind w:firstLine="400"/>
                  </w:pPr>
                  <w:r>
                    <w:rPr>
                      <w:sz w:val="22"/>
                    </w:rPr>
                    <w:t>②支持检查结果报告中至少包含如下检查信息：判定依据、检查点、标准值、实际值、原始结果、加固方案等。</w:t>
                  </w:r>
                </w:p>
                <w:p>
                  <w:pPr>
                    <w:pStyle w:val="null3"/>
                    <w:ind w:firstLine="400"/>
                  </w:pPr>
                  <w:r>
                    <w:rPr>
                      <w:sz w:val="22"/>
                    </w:rPr>
                    <w:t>③支持提供专用的配置变更监测报表。</w:t>
                  </w:r>
                </w:p>
                <w:p>
                  <w:pPr>
                    <w:pStyle w:val="null3"/>
                    <w:ind w:firstLine="400"/>
                  </w:pPr>
                  <w:r>
                    <w:rPr>
                      <w:sz w:val="22"/>
                    </w:rPr>
                    <w:t>④支持自定义离线报表的名称、单位、安全结论、封面、页眉页脚等。</w:t>
                  </w:r>
                </w:p>
                <w:p>
                  <w:pPr>
                    <w:pStyle w:val="null3"/>
                    <w:ind w:firstLine="400"/>
                  </w:pPr>
                  <w:r>
                    <w:rPr>
                      <w:sz w:val="22"/>
                    </w:rPr>
                    <w:t>⑤支持任务的对比分析和趋势分析报表。</w:t>
                  </w:r>
                </w:p>
                <w:p>
                  <w:pPr>
                    <w:pStyle w:val="null3"/>
                    <w:ind w:firstLine="400"/>
                  </w:pPr>
                  <w:r>
                    <w:rPr>
                      <w:sz w:val="22"/>
                    </w:rPr>
                    <w:t>⑥支持任务扫描完成后，可以自动将扫描结果上传至ftp服务器。</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登录安全</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sz w:val="22"/>
                    </w:rPr>
                    <w:t>①支持登录验证码，并可以设置是否启用。</w:t>
                  </w:r>
                </w:p>
                <w:p>
                  <w:pPr>
                    <w:pStyle w:val="null3"/>
                    <w:ind w:firstLine="400"/>
                  </w:pPr>
                  <w:r>
                    <w:rPr>
                      <w:sz w:val="22"/>
                    </w:rPr>
                    <w:t>②支持对登录密码复杂度进行设置，可对密码中是否包含数字、是否包含大小写字母、是否包含特殊字符以及特殊字符内容等进行自定义。</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产品维护</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sz w:val="22"/>
                    </w:rPr>
                    <w:t>①支持友好的图形管理界面，图形界面支持切换中英文显示。</w:t>
                  </w:r>
                </w:p>
                <w:p>
                  <w:pPr>
                    <w:pStyle w:val="null3"/>
                    <w:ind w:firstLine="400"/>
                  </w:pPr>
                  <w:r>
                    <w:rPr>
                      <w:sz w:val="22"/>
                    </w:rPr>
                    <w:t>②支持日志审计，能够对登录日志、系统日志和业务日志进行记录、备份和删除，可通过日志级别、账号、开始日期、结束日期进行查询 。</w:t>
                  </w:r>
                </w:p>
                <w:p>
                  <w:pPr>
                    <w:pStyle w:val="null3"/>
                    <w:ind w:firstLine="400"/>
                  </w:pPr>
                  <w:r>
                    <w:rPr>
                      <w:sz w:val="22"/>
                    </w:rPr>
                    <w:t>③支持控制台功能，可以通过控制台对系统进行操作和设置，例如备份生成快照、通过快照恢复系统、系统服务状态查看和重启、切换控制台中英文显示、提供网络诊断工具等。</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性能</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pPr>
                  <w:r>
                    <w:rPr>
                      <w:sz w:val="22"/>
                    </w:rPr>
                    <w:t>①单机优化配置情下，每小时可检查≥1200个资产。</w:t>
                  </w:r>
                </w:p>
                <w:p>
                  <w:pPr>
                    <w:pStyle w:val="null3"/>
                    <w:ind w:firstLine="400"/>
                  </w:pPr>
                  <w:r>
                    <w:rPr>
                      <w:sz w:val="22"/>
                    </w:rPr>
                    <w:t>②被扫描主机资源占用情况:CPU波动区间3%~5%，内存无明显变化。</w:t>
                  </w:r>
                </w:p>
              </w:tc>
            </w:tr>
            <w:tr>
              <w:tc>
                <w:tcPr>
                  <w:tcW w:type="dxa" w:w="8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产品资质</w:t>
                  </w:r>
                </w:p>
              </w:tc>
              <w:tc>
                <w:tcPr>
                  <w:tcW w:type="dxa" w:w="47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产品具有《网络安全专用产品安全检测证书》，提供有效证书复印件并加盖公章。</w:t>
                  </w:r>
                </w:p>
              </w:tc>
            </w:tr>
          </w:tbl>
          <w:p>
            <w:pPr>
              <w:pStyle w:val="null3"/>
              <w:outlineLvl w:val="3"/>
            </w:pPr>
            <w:r>
              <w:rPr>
                <w:sz w:val="22"/>
                <w:b/>
              </w:rPr>
              <w:t>（</w:t>
            </w:r>
            <w:r>
              <w:rPr>
                <w:sz w:val="22"/>
                <w:b/>
              </w:rPr>
              <w:t>2）移动端安全核查服务工具要求</w:t>
            </w:r>
          </w:p>
          <w:p>
            <w:pPr>
              <w:pStyle w:val="null3"/>
              <w:ind w:firstLine="440"/>
            </w:pPr>
            <w:r>
              <w:rPr>
                <w:sz w:val="22"/>
              </w:rPr>
              <w:t>移动端安全核查服务需使用安全工具辅助提供实现核查，中标服务商需选择符合行业标准、质量保证，具有市场口碑的合格安全产品，以保障采购人的全面信息安全。相关标准如下：</w:t>
            </w:r>
          </w:p>
          <w:tbl>
            <w:tblPr>
              <w:tblBorders>
                <w:top w:val="none" w:color="000000" w:sz="4"/>
                <w:left w:val="none" w:color="000000" w:sz="4"/>
                <w:bottom w:val="none" w:color="000000" w:sz="4"/>
                <w:right w:val="none" w:color="000000" w:sz="4"/>
                <w:insideH w:val="none"/>
                <w:insideV w:val="none"/>
              </w:tblBorders>
            </w:tblPr>
            <w:tblGrid>
              <w:gridCol w:w="1226"/>
              <w:gridCol w:w="4361"/>
            </w:tblGrid>
            <w:tr>
              <w:tc>
                <w:tcPr>
                  <w:tcW w:type="dxa" w:w="1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技术指标</w:t>
                  </w:r>
                </w:p>
              </w:tc>
              <w:tc>
                <w:tcPr>
                  <w:tcW w:type="dxa" w:w="43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指标要求</w:t>
                  </w:r>
                </w:p>
              </w:tc>
            </w:tr>
            <w:tr>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静态检测分析</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全面扫描应用的静态代码特征，准确识别和定位风险漏洞，提供问题代码位置信息。</w:t>
                  </w:r>
                </w:p>
              </w:tc>
            </w:tr>
            <w:tr>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动态检测分析</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提供安全问题检出的动态信息，需包括动态组件、动态源代码安全、性能检测等至少</w:t>
                  </w:r>
                  <w:r>
                    <w:rPr>
                      <w:sz w:val="22"/>
                      <w:color w:val="000000"/>
                    </w:rPr>
                    <w:t>10个动态检测内容。</w:t>
                  </w:r>
                </w:p>
              </w:tc>
            </w:tr>
            <w:tr>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支持多测评项</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支持热更新框架、权限信息、敏感内容、源代码安全、应用自身安全、算法使用安全、网络通讯安全、数据交互安全、数据存储安全、组件安全、恶意攻击防范能力、动态组件安全、动态源代码安全等多个检测项。</w:t>
                  </w:r>
                </w:p>
              </w:tc>
            </w:tr>
            <w:tr>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APP信息分析</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通过对</w:t>
                  </w:r>
                  <w:r>
                    <w:rPr>
                      <w:sz w:val="22"/>
                      <w:color w:val="000000"/>
                    </w:rPr>
                    <w:t>APK包的分析，能够完整提取APP的基本信息，包括但不限于APK软件名、包名、文件大小、版本信息、文件MD5、第三方SDK数量、检测分数、是否存在热更新、签名信息、所有者、发布者、序列号、起始日期、截止日期、签名算法名称等。</w:t>
                  </w:r>
                </w:p>
              </w:tc>
            </w:tr>
            <w:tr>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加固检测</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检测移动应用是否使用加固，加固识别覆盖市场中至少</w:t>
                  </w:r>
                  <w:r>
                    <w:rPr>
                      <w:sz w:val="22"/>
                      <w:color w:val="000000"/>
                    </w:rPr>
                    <w:t>10家以上的主流加固厂商。</w:t>
                  </w:r>
                </w:p>
              </w:tc>
            </w:tr>
            <w:tr>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第三方</w:t>
                  </w:r>
                  <w:r>
                    <w:rPr>
                      <w:sz w:val="22"/>
                      <w:color w:val="000000"/>
                    </w:rPr>
                    <w:t>SDK检测</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第三方</w:t>
                  </w:r>
                  <w:r>
                    <w:rPr>
                      <w:sz w:val="22"/>
                      <w:color w:val="000000"/>
                    </w:rPr>
                    <w:t>SDK检测需包含SDK名称、SDK分类、下载地址、功能描述、权限、描述、权限类型、调用位置、调用API。</w:t>
                  </w:r>
                </w:p>
              </w:tc>
            </w:tr>
            <w:tr>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自身安全</w:t>
                  </w:r>
                </w:p>
                <w:p>
                  <w:pPr>
                    <w:pStyle w:val="null3"/>
                  </w:pPr>
                  <w:r>
                    <w:rPr>
                      <w:sz w:val="22"/>
                      <w:color w:val="000000"/>
                    </w:rPr>
                    <w:t>（隐私合规）</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检测应用本身行为是否符合安全规范，是否包含信息泄露，权限混乱，带有敏感内容，带有病毒或者广告等安全问题。</w:t>
                  </w:r>
                </w:p>
              </w:tc>
            </w:tr>
            <w:tr>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程序源文件安全</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检测移动应用程序的源文件可能面临的安全风险。</w:t>
                  </w:r>
                </w:p>
              </w:tc>
            </w:tr>
            <w:tr>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权限检测</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应用安全测评平台的</w:t>
                  </w:r>
                  <w:r>
                    <w:rPr>
                      <w:sz w:val="22"/>
                      <w:color w:val="000000"/>
                    </w:rPr>
                    <w:t>Android检测中，更新了权限库信息以及权限检测逻辑，不但可以检测App申请了哪些权限，还能够识别哪些权限是App使用的。</w:t>
                  </w:r>
                </w:p>
              </w:tc>
            </w:tr>
            <w:tr>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行为检测</w:t>
                  </w:r>
                </w:p>
              </w:tc>
              <w:tc>
                <w:tcPr>
                  <w:tcW w:type="dxa" w:w="43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对应用程序进行指令码的行为分析，检测移动应用的行为信息，并提供每个行为的代码函数位置信息。</w:t>
                  </w:r>
                </w:p>
              </w:tc>
            </w:tr>
          </w:tbl>
          <w:p>
            <w:pPr>
              <w:pStyle w:val="null3"/>
              <w:outlineLvl w:val="0"/>
            </w:pPr>
            <w:r>
              <w:rPr>
                <w:sz w:val="22"/>
                <w:b/>
              </w:rPr>
              <w:t>四、人员要求</w:t>
            </w:r>
          </w:p>
          <w:p>
            <w:pPr>
              <w:pStyle w:val="null3"/>
              <w:outlineLvl w:val="0"/>
            </w:pPr>
            <w:r>
              <w:rPr>
                <w:sz w:val="22"/>
                <w:b/>
              </w:rPr>
              <w:t xml:space="preserve">      （一）综合管理人员</w:t>
            </w:r>
          </w:p>
          <w:p>
            <w:pPr>
              <w:pStyle w:val="null3"/>
              <w:ind w:firstLine="440"/>
            </w:pPr>
            <w:r>
              <w:rPr>
                <w:sz w:val="22"/>
              </w:rPr>
              <w:t>综合管理人员由</w:t>
            </w:r>
            <w:r>
              <w:rPr>
                <w:sz w:val="22"/>
              </w:rPr>
              <w:t>1名项目经理与2名综合服务人员共3人组成，作为运维团队和采购人友好沟通的桥梁，要求综合管理人员熟悉信息化项目建设管理和系统运维相关工作，具备丰富的网站管理技术、信息安全等综合管理能力和经验，为采购人提供日常运维服务支撑。</w:t>
            </w:r>
          </w:p>
          <w:p>
            <w:pPr>
              <w:pStyle w:val="null3"/>
              <w:ind w:firstLine="440"/>
            </w:pPr>
            <w:r>
              <w:rPr>
                <w:sz w:val="22"/>
                <w:b/>
              </w:rPr>
              <w:t>（二）技术维护人员</w:t>
            </w:r>
          </w:p>
          <w:p>
            <w:pPr>
              <w:pStyle w:val="null3"/>
              <w:ind w:firstLine="440"/>
            </w:pPr>
            <w:r>
              <w:rPr>
                <w:sz w:val="22"/>
              </w:rPr>
              <w:t>由于项目的特殊性，部分系统需提供驻点维护服务。服务驻点人员需为项目核心建设的人员，同时提供二线远程支撑，对现场驻点人员进行补充和工作配合。为满足运维要求在合同运维服务期内，中标人需提供不少于</w:t>
            </w:r>
            <w:r>
              <w:rPr>
                <w:sz w:val="22"/>
              </w:rPr>
              <w:t>13名驻点人员</w:t>
            </w:r>
            <w:r>
              <w:rPr>
                <w:sz w:val="22"/>
              </w:rPr>
              <w:t>（</w:t>
            </w:r>
            <w:r>
              <w:rPr>
                <w:sz w:val="22"/>
              </w:rPr>
              <w:t>包括</w:t>
            </w:r>
            <w:r>
              <w:rPr>
                <w:sz w:val="22"/>
              </w:rPr>
              <w:t>3名管理人员）</w:t>
            </w:r>
            <w:r>
              <w:rPr>
                <w:sz w:val="22"/>
              </w:rPr>
              <w:t>,为运维项目提供日常巡检、应急预演、系统故障处置、功能优化及修改、建议咨询、系统安全保障、系统监控等技术支持服务，中标人可根据运维项目的实际需求安排远程运维工程师（38名远程（二线）支撑人员），由项目经理进行统一管理。</w:t>
            </w:r>
          </w:p>
          <w:p>
            <w:pPr>
              <w:pStyle w:val="null3"/>
              <w:ind w:firstLine="440"/>
            </w:pPr>
            <w:r>
              <w:rPr>
                <w:sz w:val="22"/>
              </w:rPr>
              <w:t>根据各系统的运维工作要求，各系统维护人员的驻点人数和远程服务人数拟作以下安排，相关工作分工如下表：</w:t>
            </w:r>
          </w:p>
          <w:tbl>
            <w:tblPr>
              <w:tblBorders>
                <w:top w:val="none" w:color="000000" w:sz="4"/>
                <w:left w:val="none" w:color="000000" w:sz="4"/>
                <w:bottom w:val="none" w:color="000000" w:sz="4"/>
                <w:right w:val="none" w:color="000000" w:sz="4"/>
                <w:insideH w:val="none"/>
                <w:insideV w:val="none"/>
              </w:tblBorders>
            </w:tblPr>
            <w:tblGrid>
              <w:gridCol w:w="474"/>
              <w:gridCol w:w="1235"/>
              <w:gridCol w:w="514"/>
              <w:gridCol w:w="978"/>
              <w:gridCol w:w="514"/>
              <w:gridCol w:w="1857"/>
            </w:tblGrid>
            <w:tr>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序号</w:t>
                  </w:r>
                </w:p>
              </w:tc>
              <w:tc>
                <w:tcPr>
                  <w:tcW w:type="dxa" w:w="1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系统名称</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驻点人员</w:t>
                  </w:r>
                </w:p>
              </w:tc>
              <w:tc>
                <w:tcPr>
                  <w:tcW w:type="dxa" w:w="9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工作内容</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二线人员</w:t>
                  </w:r>
                </w:p>
              </w:tc>
              <w:tc>
                <w:tcPr>
                  <w:tcW w:type="dxa" w:w="1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b/>
                      <w:color w:val="000000"/>
                    </w:rPr>
                    <w:t>工作内容</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广东省市场准入信息系统（中山）</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5</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日常维护、系统优化、数据服务、文档服务、个性化服务</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2</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中山市</w:t>
                  </w:r>
                  <w:r>
                    <w:rPr>
                      <w:sz w:val="22"/>
                      <w:color w:val="000000"/>
                    </w:rPr>
                    <w:t>“一照通行”服务平台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3</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日常维护、文档服务</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12</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系统优化、数据服务、接口运维、个性化服务</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3</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中山市个体工商户转型升级服务平台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日常维护、系统优化、数据服务、文档服务</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4</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中山市商事登记全程电子化智能申报审批平台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日常维护、系统优化、数据服务、文档服务</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5</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中山市市场监督管理局个体集群智能申报审批服务平台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日常维护、系统优化、数据服务、文档服务</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6</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中山市涉企信息统一归集公示数据管理平台（含一二期）</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3</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日常维护、系统优化、数据服务、文档服务等工作</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2</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远程支撑驻点服务人员，提供技术支持，定位问题，排除故障等工作</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7</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中山市市场监督管理局智慧监管服务平台项目</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7</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1.按专题系统分组，驻点服务人员负责本专题组的所有工作，包括日常维护、系统优化、数据服务、文档服务等</w:t>
                  </w:r>
                </w:p>
                <w:p>
                  <w:pPr>
                    <w:pStyle w:val="null3"/>
                  </w:pPr>
                  <w:r>
                    <w:rPr>
                      <w:sz w:val="22"/>
                      <w:color w:val="000000"/>
                    </w:rPr>
                    <w:t>2.根据采购人要求开展相关系统个性化服务</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13</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远程运维支撑人员对维护工作进行紧密跟踪和管理，协调与采购人之间的重大问题。</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8</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中山市全国</w:t>
                  </w:r>
                  <w:r>
                    <w:rPr>
                      <w:sz w:val="22"/>
                      <w:color w:val="000000"/>
                    </w:rPr>
                    <w:t>12315平台话务平台信息录入应用系统</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日常维护、系统优化、数据服务、文档服务</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9</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中山市市场监督管理局知识产权一体化系统</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日常维护、系统优化、数据服务、文档服务</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10</w:t>
                  </w:r>
                </w:p>
              </w:tc>
              <w:tc>
                <w:tcPr>
                  <w:tcW w:type="dxa" w:w="1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中山市</w:t>
                  </w:r>
                  <w:r>
                    <w:rPr>
                      <w:sz w:val="22"/>
                      <w:color w:val="000000"/>
                    </w:rPr>
                    <w:t>“香山新街市”智慧农贸平台</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日常维护、系统优化、数据服务、文档服务</w:t>
                  </w:r>
                </w:p>
              </w:tc>
            </w:tr>
            <w:tr>
              <w:tc>
                <w:tcPr>
                  <w:tcW w:type="dxa" w:w="170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合计</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13</w:t>
                  </w:r>
                </w:p>
              </w:tc>
              <w:tc>
                <w:tcPr>
                  <w:tcW w:type="dxa" w:w="9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38</w:t>
                  </w:r>
                </w:p>
              </w:tc>
              <w:tc>
                <w:tcPr>
                  <w:tcW w:type="dxa" w:w="1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tc>
            </w:tr>
          </w:tbl>
          <w:p>
            <w:pPr>
              <w:pStyle w:val="null3"/>
              <w:outlineLvl w:val="1"/>
            </w:pPr>
            <w:r>
              <w:rPr>
                <w:sz w:val="22"/>
                <w:b/>
              </w:rPr>
              <w:t xml:space="preserve">     （三）安全服务人员</w:t>
            </w:r>
          </w:p>
          <w:p>
            <w:pPr>
              <w:pStyle w:val="null3"/>
              <w:ind w:firstLine="440"/>
            </w:pPr>
            <w:r>
              <w:rPr>
                <w:sz w:val="22"/>
              </w:rPr>
              <w:t>安全专业人员现场驻点</w:t>
            </w:r>
            <w:r>
              <w:rPr>
                <w:sz w:val="22"/>
              </w:rPr>
              <w:t>1名，负责协调相关资源支撑工作，同时中标人安排一个二线安全服务团队（不少于3名安全专业人员组成）；另在重大活动网络安保期间，增加1名支撑专家在现场值守。</w:t>
            </w:r>
          </w:p>
          <w:p>
            <w:pPr>
              <w:pStyle w:val="null3"/>
              <w:ind w:firstLine="440"/>
            </w:pPr>
            <w:r>
              <w:rPr>
                <w:sz w:val="22"/>
                <w:b/>
              </w:rPr>
              <w:t>（四）运维人员服务要求</w:t>
            </w:r>
          </w:p>
          <w:p>
            <w:pPr>
              <w:pStyle w:val="null3"/>
              <w:ind w:firstLine="440"/>
            </w:pPr>
            <w:r>
              <w:rPr>
                <w:sz w:val="22"/>
              </w:rPr>
              <w:t>现场运维服务人员须接受采购人的工作统筹安排，同时需遵从和配合全市统一运维管理工作，接受统一运维管理平台人员考勤、服务评价等管理，无条件响应重大节假日、重要活动等重保工作期间的值班值守工作。运维服务人员需具备包括但不限于以下专业素质：</w:t>
            </w:r>
          </w:p>
          <w:p>
            <w:pPr>
              <w:pStyle w:val="null3"/>
              <w:ind w:firstLine="440"/>
            </w:pPr>
            <w:r>
              <w:rPr>
                <w:sz w:val="22"/>
              </w:rPr>
              <w:t>1.具备良好的沟通协调能力；</w:t>
            </w:r>
          </w:p>
          <w:p>
            <w:pPr>
              <w:pStyle w:val="null3"/>
              <w:ind w:firstLine="440"/>
            </w:pPr>
            <w:r>
              <w:rPr>
                <w:sz w:val="22"/>
              </w:rPr>
              <w:t>2.熟悉掌握常用办公软件的使用；</w:t>
            </w:r>
          </w:p>
          <w:p>
            <w:pPr>
              <w:pStyle w:val="null3"/>
              <w:ind w:firstLine="440"/>
            </w:pPr>
            <w:r>
              <w:rPr>
                <w:sz w:val="22"/>
              </w:rPr>
              <w:t>3.熟悉操作系统及软硬件的安装、诊断和维护；</w:t>
            </w:r>
          </w:p>
          <w:p>
            <w:pPr>
              <w:pStyle w:val="null3"/>
              <w:ind w:firstLine="440"/>
            </w:pPr>
            <w:r>
              <w:rPr>
                <w:sz w:val="22"/>
              </w:rPr>
              <w:t>4.熟悉服务器及主流数据库的安装及配置维护；</w:t>
            </w:r>
          </w:p>
          <w:p>
            <w:pPr>
              <w:pStyle w:val="null3"/>
              <w:ind w:firstLine="440"/>
            </w:pPr>
            <w:r>
              <w:rPr>
                <w:sz w:val="22"/>
              </w:rPr>
              <w:t>5.熟悉常用编程语言，能够对数据库进行操作；</w:t>
            </w:r>
          </w:p>
          <w:p>
            <w:pPr>
              <w:pStyle w:val="null3"/>
              <w:ind w:firstLine="440"/>
            </w:pPr>
            <w:r>
              <w:rPr>
                <w:sz w:val="22"/>
              </w:rPr>
              <w:t>6.遵守采购人的工作纪律，服从采购人的工作安排；</w:t>
            </w:r>
          </w:p>
          <w:p>
            <w:pPr>
              <w:pStyle w:val="null3"/>
              <w:ind w:firstLine="440"/>
            </w:pPr>
            <w:r>
              <w:rPr>
                <w:sz w:val="22"/>
              </w:rPr>
              <w:t>7.运维人员资质须经采购人审核合格后（提供复印件备查），才可上岗工作；</w:t>
            </w:r>
          </w:p>
          <w:p>
            <w:pPr>
              <w:pStyle w:val="null3"/>
              <w:ind w:firstLine="440"/>
            </w:pPr>
            <w:r>
              <w:rPr>
                <w:sz w:val="22"/>
              </w:rPr>
              <w:t>8.若实际运维人员不符合工作要求，采购人有权要求更换；若运维人员有变更，需提前1个月书面通知采购人，经采购人审核同意后才可更换；</w:t>
            </w:r>
          </w:p>
          <w:p>
            <w:pPr>
              <w:pStyle w:val="null3"/>
              <w:ind w:firstLine="440"/>
            </w:pPr>
            <w:r>
              <w:rPr>
                <w:sz w:val="22"/>
              </w:rPr>
              <w:t>9.运维人员须签订保密协议，不得泄露系统数据、操作用户密码、系统设计思路、软件工作模式、系统设计、操作资料等内容；</w:t>
            </w:r>
          </w:p>
          <w:p>
            <w:pPr>
              <w:pStyle w:val="null3"/>
              <w:ind w:firstLine="440"/>
            </w:pPr>
            <w:r>
              <w:rPr>
                <w:sz w:val="22"/>
              </w:rPr>
              <w:t>10.驻场运维人员的办公环境、场地、桌椅由采购人提供，其余办公所用设备及资料，如办公电脑、交通工具等由中标人自行承担；</w:t>
            </w:r>
          </w:p>
          <w:p>
            <w:pPr>
              <w:pStyle w:val="null3"/>
              <w:ind w:firstLine="440"/>
            </w:pPr>
            <w:r>
              <w:rPr>
                <w:sz w:val="22"/>
              </w:rPr>
              <w:t>11.驻场运维人员需自备电脑（本条所称的电脑主要指：主机、显示器、打印机、以及所有的电脑网络产品和附属设备，各类应用软件等），并按采购人网络信息安全和业务设备管理的要求进行管理，当驻场运维人员调岗或离职时需移交个人电脑中与本项目相关的全部运维资料，未经允许不得对任何人和机构透露因运维过程知悉的包括但不限于代码、业务等。</w:t>
            </w:r>
          </w:p>
          <w:p>
            <w:pPr>
              <w:pStyle w:val="null3"/>
              <w:ind w:firstLine="440"/>
            </w:pPr>
            <w:r>
              <w:rPr>
                <w:sz w:val="22"/>
                <w:b/>
              </w:rPr>
              <w:t>（五）服务形式</w:t>
            </w:r>
          </w:p>
          <w:p>
            <w:pPr>
              <w:pStyle w:val="null3"/>
              <w:ind w:firstLine="442"/>
            </w:pPr>
            <w:r>
              <w:rPr>
                <w:sz w:val="22"/>
                <w:b/>
              </w:rPr>
              <w:t>1.驻场服务</w:t>
            </w:r>
          </w:p>
          <w:p>
            <w:pPr>
              <w:pStyle w:val="null3"/>
              <w:ind w:firstLine="440"/>
            </w:pPr>
            <w:r>
              <w:rPr>
                <w:sz w:val="22"/>
              </w:rPr>
              <w:t>按照采购人需求提供驻场服务，按质按量按时提供日常巡检、疑难解答、故障定位、故障排除、功能调整等服务。为完成采购人布置的任务，中标人应视情况安排项目成员提供相应的保障服务和服务时长。</w:t>
            </w:r>
          </w:p>
          <w:p>
            <w:pPr>
              <w:pStyle w:val="null3"/>
              <w:ind w:firstLine="442"/>
            </w:pPr>
            <w:r>
              <w:rPr>
                <w:sz w:val="22"/>
                <w:b/>
              </w:rPr>
              <w:t>2.远程支持</w:t>
            </w:r>
          </w:p>
          <w:p>
            <w:pPr>
              <w:pStyle w:val="null3"/>
              <w:ind w:firstLine="440"/>
            </w:pPr>
            <w:r>
              <w:rPr>
                <w:sz w:val="22"/>
              </w:rPr>
              <w:t>中标人通过电话、微信、远程协助等方式为采购人提供每周</w:t>
            </w:r>
            <w:r>
              <w:rPr>
                <w:sz w:val="22"/>
              </w:rPr>
              <w:t>7*24小时电话技术支持服务，7*24小时微信技术咨询服务，协助采购人进行故障定位和故障排除。采购人的电话享有高度优先级，得到优先处理直到得到满意的结果。</w:t>
            </w:r>
          </w:p>
          <w:p>
            <w:pPr>
              <w:pStyle w:val="null3"/>
              <w:ind w:firstLine="442"/>
            </w:pPr>
            <w:r>
              <w:rPr>
                <w:sz w:val="22"/>
                <w:b/>
              </w:rPr>
              <w:t>3.紧急现场服务</w:t>
            </w:r>
          </w:p>
          <w:p>
            <w:pPr>
              <w:pStyle w:val="null3"/>
              <w:ind w:firstLine="440"/>
            </w:pPr>
            <w:r>
              <w:rPr>
                <w:sz w:val="22"/>
              </w:rPr>
              <w:t>每天</w:t>
            </w:r>
            <w:r>
              <w:rPr>
                <w:sz w:val="22"/>
              </w:rPr>
              <w:t>(含重要节假日)24小时，中标人接到采购人单位的维护需求后，属于维护服务范围的，指派具备相应能力的技术工程师在约定时间内到达故障现场，处理在运维服务期内出现的重大故障或重大事件。</w:t>
            </w:r>
          </w:p>
          <w:p>
            <w:pPr>
              <w:pStyle w:val="null3"/>
              <w:ind w:firstLine="442"/>
            </w:pPr>
            <w:r>
              <w:rPr>
                <w:sz w:val="22"/>
                <w:b/>
              </w:rPr>
              <w:t>4.故障处理服务</w:t>
            </w:r>
          </w:p>
          <w:p>
            <w:pPr>
              <w:pStyle w:val="null3"/>
              <w:ind w:firstLine="440"/>
            </w:pPr>
            <w:r>
              <w:rPr>
                <w:sz w:val="22"/>
              </w:rPr>
              <w:t>采购人在使用软件系统中遇到疑难问题或系统出现不稳定情况，中标人提供每周</w:t>
            </w:r>
            <w:r>
              <w:rPr>
                <w:sz w:val="22"/>
              </w:rPr>
              <w:t>7*24小时故障处理服务，并在规定时间内进行故障排除，及时定位故障并进行故障处理，避免或减少由于系统故障导致的损失。</w:t>
            </w:r>
          </w:p>
          <w:p>
            <w:pPr>
              <w:pStyle w:val="null3"/>
              <w:ind w:firstLine="442"/>
            </w:pPr>
            <w:r>
              <w:rPr>
                <w:sz w:val="22"/>
                <w:b/>
              </w:rPr>
              <w:t>5.值守服务</w:t>
            </w:r>
          </w:p>
          <w:p>
            <w:pPr>
              <w:pStyle w:val="null3"/>
              <w:ind w:firstLine="440"/>
            </w:pPr>
            <w:r>
              <w:rPr>
                <w:sz w:val="22"/>
              </w:rPr>
              <w:t>重要节假日、活动</w:t>
            </w:r>
            <w:r>
              <w:rPr>
                <w:sz w:val="22"/>
              </w:rPr>
              <w:t>(重大会议、重大活动、敏感时间段)、攻防演练期间，若采购人单位提出项目24小时值守需求，中标人需按采购人需求作出响应。</w:t>
            </w:r>
          </w:p>
          <w:p>
            <w:pPr>
              <w:pStyle w:val="null3"/>
              <w:ind w:firstLine="440"/>
            </w:pPr>
            <w:r>
              <w:rPr>
                <w:sz w:val="22"/>
                <w:b/>
              </w:rPr>
              <w:t>★五、其他要求</w:t>
            </w:r>
          </w:p>
          <w:p>
            <w:pPr>
              <w:pStyle w:val="null3"/>
              <w:ind w:firstLine="420"/>
            </w:pPr>
            <w:r>
              <w:rPr>
                <w:sz w:val="22"/>
                <w:b/>
              </w:rPr>
              <w:t>（一）若本项目运维的某个系统在运维期间开展国产化改造，在新的系统成功上线后，原来的系统将会下线，采购人有权终止该系统的运维服务，从下线之日起，次月将对应停止支付该系统到</w:t>
            </w:r>
            <w:r>
              <w:rPr>
                <w:sz w:val="22"/>
                <w:b/>
              </w:rPr>
              <w:t>2027年6月30日对应的运维费用，同时CA证书也同步停止，不再续费。</w:t>
            </w:r>
          </w:p>
          <w:p>
            <w:pPr>
              <w:pStyle w:val="null3"/>
              <w:ind w:firstLine="420"/>
            </w:pPr>
            <w:r>
              <w:rPr>
                <w:sz w:val="22"/>
                <w:b/>
              </w:rPr>
              <w:t>（二）中标人需使用中山市政务服务和数据管理局提供的全市统一运维平台开展日常的运维服务工作。本项目的智慧监管服务平台中的运维工作模块需与全市统一运维平台对接，实现应用系统用户使用量、访问量等使用效益指标及时推送，实现系统部署资源运行情况的监测、告警。</w:t>
            </w:r>
          </w:p>
          <w:p>
            <w:pPr>
              <w:pStyle w:val="null3"/>
              <w:ind w:firstLine="442"/>
            </w:pPr>
            <w:r>
              <w:rPr>
                <w:sz w:val="22"/>
                <w:b/>
              </w:rPr>
              <w:t>如采购人上级部门的运维统管平台需与全市统一运维平台对接，如报障工单提交、结单处置数据对接等工作要求，中标人需无条件负责实现对接。</w:t>
            </w:r>
          </w:p>
          <w:p>
            <w:pPr>
              <w:pStyle w:val="null3"/>
              <w:ind w:firstLine="420"/>
            </w:pPr>
            <w:r>
              <w:rPr>
                <w:sz w:val="22"/>
                <w:b/>
              </w:rPr>
              <w:t>（三）中标人需负责将采购人机房视频监控需汇聚接入到全市统一运维平台，实现应用统一监控、统一管理、统一调度。</w:t>
            </w:r>
          </w:p>
          <w:p>
            <w:pPr>
              <w:pStyle w:val="null3"/>
              <w:ind w:firstLine="420"/>
            </w:pPr>
            <w:r>
              <w:rPr>
                <w:sz w:val="22"/>
                <w:b/>
              </w:rPr>
              <w:t>（四）根据《中山市政务信息化系统安全认证登录工作方案》的要求，升级优化系统登录方式，优先选择对接广东省统一身份认证平台（公众侧或政务侧）完成安全认证登录改造，其次选择</w:t>
            </w:r>
            <w:r>
              <w:rPr>
                <w:sz w:val="22"/>
                <w:b/>
              </w:rPr>
              <w:t>“用户名+口令+短信校验码”等多因子认证方式完成安全认证登录改造。</w:t>
            </w:r>
          </w:p>
          <w:p>
            <w:pPr>
              <w:pStyle w:val="null3"/>
              <w:ind w:firstLine="420"/>
            </w:pPr>
            <w:r>
              <w:rPr>
                <w:sz w:val="22"/>
                <w:b/>
              </w:rPr>
              <w:t>（五）运维服务期内，在各系统的运维过程中，属于系统优化类的涉及已有模块或功能进行的适应性修改完善或接口升级优化的，包括但不限于如系统安全认证登录改造、登录密码策略调整、系统</w:t>
            </w:r>
            <w:r>
              <w:rPr>
                <w:sz w:val="22"/>
                <w:b/>
              </w:rPr>
              <w:t>IPv4、IPv6应用改造等，必须按照采购人要求的时间内完成，此类完善、优化所涉及的所有费用均已包含在本项目费用中，采购人不再另行支付费用。</w:t>
            </w:r>
          </w:p>
          <w:p>
            <w:pPr>
              <w:pStyle w:val="null3"/>
              <w:ind w:firstLine="420"/>
            </w:pPr>
            <w:r>
              <w:rPr>
                <w:sz w:val="22"/>
                <w:b/>
              </w:rPr>
              <w:t>（六）运维服务期内，在各系统的运维过程中，基于原有系统基础上的软件迭代的成果版权属于采购人。</w:t>
            </w:r>
          </w:p>
          <w:p>
            <w:pPr>
              <w:pStyle w:val="null3"/>
              <w:ind w:firstLine="420"/>
            </w:pPr>
            <w:r>
              <w:rPr>
                <w:sz w:val="22"/>
                <w:b/>
              </w:rPr>
              <w:t>（七）对于在运维服务期内延迟终验的系统，应在运维服务结算费中对该系统延迟运维对应部份的费用予以剔除。</w:t>
            </w:r>
          </w:p>
          <w:p>
            <w:pPr>
              <w:pStyle w:val="null3"/>
              <w:ind w:firstLine="420"/>
            </w:pPr>
            <w:r>
              <w:rPr>
                <w:sz w:val="22"/>
                <w:b/>
              </w:rPr>
              <w:t>六、考核方式</w:t>
            </w:r>
          </w:p>
          <w:p>
            <w:pPr>
              <w:pStyle w:val="null3"/>
              <w:ind w:firstLine="420"/>
            </w:pPr>
            <w:r>
              <w:rPr>
                <w:sz w:val="22"/>
                <w:b/>
              </w:rPr>
              <w:t>（一）基础考核</w:t>
            </w:r>
          </w:p>
          <w:p>
            <w:pPr>
              <w:pStyle w:val="null3"/>
              <w:ind w:firstLine="482"/>
            </w:pPr>
            <w:r>
              <w:rPr>
                <w:sz w:val="22"/>
              </w:rPr>
              <w:t>由采购人成立质量考核小组，负责对中标人服务质量进行考核评分。中山市市场监督管理局信息化主管科室</w:t>
            </w:r>
            <w:r>
              <w:rPr>
                <w:sz w:val="22"/>
                <w:color w:val="000000"/>
              </w:rPr>
              <w:t>根据《中山市市</w:t>
            </w:r>
            <w:r>
              <w:rPr>
                <w:sz w:val="22"/>
              </w:rPr>
              <w:t>监局</w:t>
            </w:r>
            <w:r>
              <w:rPr>
                <w:sz w:val="22"/>
                <w:color w:val="000000"/>
              </w:rPr>
              <w:t>运维服务工作服务考核表（</w:t>
            </w:r>
            <w:r>
              <w:rPr>
                <w:sz w:val="22"/>
              </w:rPr>
              <w:t>信息化主管科室</w:t>
            </w:r>
            <w:r>
              <w:rPr>
                <w:sz w:val="22"/>
                <w:color w:val="000000"/>
              </w:rPr>
              <w:t>）》对中标人进行服务质量的评估，</w:t>
            </w:r>
            <w:r>
              <w:rPr>
                <w:sz w:val="22"/>
              </w:rPr>
              <w:t>各系统使用科室</w:t>
            </w:r>
            <w:r>
              <w:rPr>
                <w:sz w:val="22"/>
                <w:color w:val="000000"/>
              </w:rPr>
              <w:t>根据《中山市</w:t>
            </w:r>
            <w:r>
              <w:rPr>
                <w:sz w:val="22"/>
              </w:rPr>
              <w:t>市监理局</w:t>
            </w:r>
            <w:r>
              <w:rPr>
                <w:sz w:val="22"/>
                <w:color w:val="000000"/>
              </w:rPr>
              <w:t>运维服务工作服务考核表（</w:t>
            </w:r>
            <w:r>
              <w:rPr>
                <w:sz w:val="22"/>
              </w:rPr>
              <w:t>科室</w:t>
            </w:r>
            <w:r>
              <w:rPr>
                <w:sz w:val="22"/>
                <w:color w:val="000000"/>
              </w:rPr>
              <w:t>用）》对中标人进行服务质量的评估。</w:t>
            </w:r>
          </w:p>
          <w:p>
            <w:pPr>
              <w:pStyle w:val="null3"/>
              <w:ind w:firstLine="482"/>
            </w:pPr>
            <w:r>
              <w:rPr>
                <w:sz w:val="22"/>
              </w:rPr>
              <w:t>项目考核得分为</w:t>
            </w:r>
            <w:r>
              <w:rPr>
                <w:sz w:val="22"/>
              </w:rPr>
              <w:t>100分制，信息化主管科室评价占60分，其他科室部分占40分（如某系统使用涉及多个科室，则由各科室分别考核，最后取平均数）。</w:t>
            </w:r>
          </w:p>
          <w:p>
            <w:pPr>
              <w:pStyle w:val="null3"/>
              <w:ind w:firstLine="482"/>
            </w:pPr>
            <w:r>
              <w:rPr>
                <w:sz w:val="22"/>
              </w:rPr>
              <w:t>统一运维服务期内每次付款前组织考核一次，处罚金在当期运维服务费中扣除，处罚金具体计算方式如下：</w:t>
            </w:r>
          </w:p>
          <w:p>
            <w:pPr>
              <w:pStyle w:val="null3"/>
              <w:ind w:firstLine="440"/>
            </w:pPr>
            <w:r>
              <w:rPr>
                <w:sz w:val="22"/>
              </w:rPr>
              <w:t>考核处罚金</w:t>
            </w:r>
            <w:r>
              <w:rPr>
                <w:sz w:val="22"/>
              </w:rPr>
              <w:t>=当期运维服务款×扣款系数</w:t>
            </w:r>
          </w:p>
          <w:p>
            <w:pPr>
              <w:pStyle w:val="null3"/>
              <w:ind w:firstLine="482"/>
            </w:pPr>
            <w:r>
              <w:rPr>
                <w:sz w:val="22"/>
              </w:rPr>
              <w:t>扣款系数按考核表（详见表</w:t>
            </w:r>
            <w:r>
              <w:rPr>
                <w:sz w:val="22"/>
              </w:rPr>
              <w:t>1、表2）的综合得分，按5个档次设置扣除款项，扣款系数具体如下：</w:t>
            </w:r>
          </w:p>
          <w:p>
            <w:pPr>
              <w:pStyle w:val="null3"/>
              <w:ind w:firstLine="482"/>
            </w:pPr>
            <w:r>
              <w:rPr>
                <w:sz w:val="22"/>
              </w:rPr>
              <w:t>（</w:t>
            </w:r>
            <w:r>
              <w:rPr>
                <w:sz w:val="22"/>
              </w:rPr>
              <w:t>1）85分（含）及以上，无需扣除；</w:t>
            </w:r>
          </w:p>
          <w:p>
            <w:pPr>
              <w:pStyle w:val="null3"/>
              <w:ind w:firstLine="482"/>
            </w:pPr>
            <w:r>
              <w:rPr>
                <w:sz w:val="22"/>
              </w:rPr>
              <w:t>（</w:t>
            </w:r>
            <w:r>
              <w:rPr>
                <w:sz w:val="22"/>
              </w:rPr>
              <w:t>2）80（含）-85分（不含），扣款系数为5%；</w:t>
            </w:r>
          </w:p>
          <w:p>
            <w:pPr>
              <w:pStyle w:val="null3"/>
              <w:ind w:firstLine="482"/>
            </w:pPr>
            <w:r>
              <w:rPr>
                <w:sz w:val="22"/>
              </w:rPr>
              <w:t>（</w:t>
            </w:r>
            <w:r>
              <w:rPr>
                <w:sz w:val="22"/>
              </w:rPr>
              <w:t>3）70（含）-80分（不含），扣款系数为10%；</w:t>
            </w:r>
          </w:p>
          <w:p>
            <w:pPr>
              <w:pStyle w:val="null3"/>
              <w:ind w:firstLine="482"/>
            </w:pPr>
            <w:r>
              <w:rPr>
                <w:sz w:val="22"/>
              </w:rPr>
              <w:t>（</w:t>
            </w:r>
            <w:r>
              <w:rPr>
                <w:sz w:val="22"/>
              </w:rPr>
              <w:t>4）60（含）-70分（不含），扣款系数为20%；</w:t>
            </w:r>
          </w:p>
          <w:p>
            <w:pPr>
              <w:pStyle w:val="null3"/>
              <w:ind w:firstLine="440"/>
            </w:pPr>
            <w:r>
              <w:rPr>
                <w:sz w:val="22"/>
              </w:rPr>
              <w:t>（</w:t>
            </w:r>
            <w:r>
              <w:rPr>
                <w:sz w:val="22"/>
              </w:rPr>
              <w:t>5）60分（不含）以下，扣款系数为30%，采购人有权视考核情况决定是否终止合同，除按上述扣罚系数支付费用外，中标人给采购人造成的损失由中标人负责赔偿，该考核周期结束之日起至终止合同之日止，已服务但尚未支付的项目运维费不再支付。</w:t>
            </w:r>
          </w:p>
          <w:p>
            <w:pPr>
              <w:pStyle w:val="null3"/>
              <w:outlineLvl w:val="2"/>
            </w:pPr>
            <w:r>
              <w:rPr>
                <w:sz w:val="22"/>
                <w:b/>
              </w:rPr>
              <w:t>1.信息化主管科室运维服务服务考核表</w:t>
            </w:r>
          </w:p>
          <w:p>
            <w:pPr>
              <w:pStyle w:val="null3"/>
            </w:pPr>
            <w:r>
              <w:rPr>
                <w:sz w:val="22"/>
              </w:rPr>
              <w:t>表</w:t>
            </w:r>
            <w:r>
              <w:rPr>
                <w:sz w:val="22"/>
              </w:rPr>
              <w:t>1</w:t>
            </w:r>
            <w:r>
              <w:rPr>
                <w:sz w:val="22"/>
              </w:rPr>
              <w:t>中山市市监局运维服务工作服务考核表（信息化主管科室用）</w:t>
            </w:r>
          </w:p>
          <w:tbl>
            <w:tblPr>
              <w:tblBorders>
                <w:top w:val="none" w:color="000000" w:sz="4"/>
                <w:left w:val="none" w:color="000000" w:sz="4"/>
                <w:bottom w:val="none" w:color="000000" w:sz="4"/>
                <w:right w:val="none" w:color="000000" w:sz="4"/>
                <w:insideH w:val="none"/>
                <w:insideV w:val="none"/>
              </w:tblBorders>
            </w:tblPr>
            <w:tblGrid>
              <w:gridCol w:w="484"/>
              <w:gridCol w:w="524"/>
              <w:gridCol w:w="1008"/>
              <w:gridCol w:w="1354"/>
              <w:gridCol w:w="1354"/>
              <w:gridCol w:w="435"/>
              <w:gridCol w:w="425"/>
            </w:tblGrid>
            <w:tr>
              <w:tc>
                <w:tcPr>
                  <w:tcW w:type="dxa" w:w="484"/>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b/>
                    </w:rPr>
                    <w:t>序号</w:t>
                  </w:r>
                </w:p>
              </w:tc>
              <w:tc>
                <w:tcPr>
                  <w:tcW w:type="dxa" w:w="524"/>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b/>
                    </w:rPr>
                    <w:t>考核类别</w:t>
                  </w:r>
                </w:p>
              </w:tc>
              <w:tc>
                <w:tcPr>
                  <w:tcW w:type="dxa" w:w="1008"/>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b/>
                    </w:rPr>
                    <w:t>考核项目</w:t>
                  </w:r>
                </w:p>
              </w:tc>
              <w:tc>
                <w:tcPr>
                  <w:tcW w:type="dxa" w:w="2708"/>
                  <w:gridSpan w:val="2"/>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b/>
                    </w:rPr>
                    <w:t>考核内容</w:t>
                  </w:r>
                </w:p>
              </w:tc>
              <w:tc>
                <w:tcPr>
                  <w:tcW w:type="dxa" w:w="435"/>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b/>
                    </w:rPr>
                    <w:t>分值</w:t>
                  </w:r>
                </w:p>
              </w:tc>
              <w:tc>
                <w:tcPr>
                  <w:tcW w:type="dxa" w:w="425"/>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b/>
                    </w:rPr>
                    <w:t>得分</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w:t>
                  </w:r>
                </w:p>
              </w:tc>
              <w:tc>
                <w:tcPr>
                  <w:tcW w:type="dxa" w:w="524"/>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服务人员考核</w:t>
                  </w: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人员岗位设置</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符合要求实际驻场人数</w:t>
                  </w:r>
                  <w:r>
                    <w:rPr>
                      <w:sz w:val="22"/>
                    </w:rPr>
                    <w:t>/合同要求人数，不满足要求人数，每人次扣1分。</w:t>
                  </w:r>
                </w:p>
              </w:tc>
              <w:tc>
                <w:tcPr>
                  <w:tcW w:type="dxa" w:w="435"/>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color w:val="000000"/>
                    </w:rPr>
                    <w:t>10</w:t>
                  </w:r>
                </w:p>
              </w:tc>
              <w:tc>
                <w:tcPr>
                  <w:tcW w:type="dxa" w:w="425"/>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2</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人员稳定性</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服务团队人员在服务期间未经采购人单位许可出现离职更换，属于现场服务人员的，在季度考核结果中每人次扣</w:t>
                  </w:r>
                  <w:r>
                    <w:rPr>
                      <w:sz w:val="22"/>
                    </w:rPr>
                    <w:t>1分，属于</w:t>
                  </w:r>
                  <w:r>
                    <w:rPr>
                      <w:sz w:val="22"/>
                    </w:rPr>
                    <w:t>其他</w:t>
                  </w:r>
                  <w:r>
                    <w:rPr>
                      <w:sz w:val="22"/>
                    </w:rPr>
                    <w:t>服务</w:t>
                  </w:r>
                  <w:r>
                    <w:rPr>
                      <w:sz w:val="22"/>
                    </w:rPr>
                    <w:t>人员的，在季度考核结果中每人次扣</w:t>
                  </w:r>
                  <w:r>
                    <w:rPr>
                      <w:sz w:val="22"/>
                    </w:rPr>
                    <w:t>0.5分。</w:t>
                  </w:r>
                </w:p>
              </w:tc>
            </w:tr>
            <w:tr>
              <w:tc>
                <w:tcPr>
                  <w:tcW w:type="dxa" w:w="484"/>
                  <w:vMerge w:val="restart"/>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3</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人员工作满意度</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客户投诉每次扣</w:t>
                  </w:r>
                  <w:r>
                    <w:rPr>
                      <w:sz w:val="22"/>
                    </w:rPr>
                    <w:t>3分，书面警告每次扣2分。</w:t>
                  </w:r>
                </w:p>
              </w:tc>
            </w:tr>
            <w:tr>
              <w:tc>
                <w:tcPr>
                  <w:tcW w:type="dxa" w:w="484"/>
                  <w:vMerge/>
                  <w:tcBorders>
                    <w:top w:val="none" w:color="000000" w:sz="4"/>
                    <w:left w:val="single" w:color="000000" w:sz="4"/>
                    <w:bottom w:val="single" w:color="000000" w:sz="4"/>
                    <w:right w:val="single" w:color="000000" w:sz="4"/>
                  </w:tcBorders>
                </w:tcP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考勤管理</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color w:val="000000"/>
                    </w:rPr>
                    <w:t>一个月内出现</w:t>
                  </w:r>
                  <w:r>
                    <w:rPr>
                      <w:sz w:val="22"/>
                      <w:color w:val="000000"/>
                    </w:rPr>
                    <w:t>10人/次以上未打卡或者迟到、早退的，扣1分；出现10-25人/次未打卡或者迟到、早退的，扣3分；出现共25人/次以上未打卡或者迟到、早退，扣5分。</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4</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人员业务水平</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考核工程师对业务的熟悉程度、相关知识掌握程度、运维项目保密工作等的考核。出现误操作事件每人次扣</w:t>
                  </w:r>
                  <w:r>
                    <w:rPr>
                      <w:sz w:val="22"/>
                    </w:rPr>
                    <w:t>2分。</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5</w:t>
                  </w:r>
                </w:p>
              </w:tc>
              <w:tc>
                <w:tcPr>
                  <w:tcW w:type="dxa" w:w="524"/>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日常维护</w:t>
                  </w: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巡检和应急支持</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按要求完成日常运维任务，未按时进行巡检的，扣</w:t>
                  </w:r>
                  <w:r>
                    <w:rPr>
                      <w:sz w:val="22"/>
                    </w:rPr>
                    <w:t>0.5分/次；未按要求响应支持应急和处理事件的，扣1分/次。</w:t>
                  </w:r>
                </w:p>
              </w:tc>
              <w:tc>
                <w:tcPr>
                  <w:tcW w:type="dxa" w:w="435"/>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color w:val="000000"/>
                    </w:rPr>
                    <w:t>15</w:t>
                  </w:r>
                </w:p>
              </w:tc>
              <w:tc>
                <w:tcPr>
                  <w:tcW w:type="dxa" w:w="425"/>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6</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报告提交情况</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按要求准时提交相关日报、月报、周报、季度报告、重大故障报告等相关报告。违规一次扣</w:t>
                  </w:r>
                  <w:r>
                    <w:rPr>
                      <w:sz w:val="22"/>
                    </w:rPr>
                    <w:t>1分。</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7</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软硬件升级</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软硬件升级前没有事先向采购人申请或沟通而造成不良影响的，扣</w:t>
                  </w:r>
                  <w:r>
                    <w:rPr>
                      <w:sz w:val="22"/>
                    </w:rPr>
                    <w:t>1分/次。</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8</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故障处理</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出现故障后没按故障正确的处理流程操作导致重大损失和造成恶劣影响的，扣</w:t>
                  </w:r>
                  <w:r>
                    <w:rPr>
                      <w:sz w:val="22"/>
                    </w:rPr>
                    <w:t>5分/次；故障报告不及时提交给采购人的，扣2分/次。</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9</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监控管理</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监控产生的告警信息未按时处理的，扣</w:t>
                  </w:r>
                  <w:r>
                    <w:rPr>
                      <w:sz w:val="22"/>
                    </w:rPr>
                    <w:t>1分/次，如由此产生恶劣影响的，扣5分/次。</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10</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功能变更管理</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未经采购人私自进行功能变更的，扣</w:t>
                  </w:r>
                  <w:r>
                    <w:rPr>
                      <w:sz w:val="22"/>
                    </w:rPr>
                    <w:t>1分/次，未按时按质完成功能变更的，扣1分/次。</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11</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安全管理</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违反安全管理制度，人为造成严重、重大故障的，扣</w:t>
                  </w:r>
                  <w:r>
                    <w:rPr>
                      <w:sz w:val="22"/>
                    </w:rPr>
                    <w:t>15分/次。</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12</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任务管理</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未按时完成其他交办的维护任务的，扣</w:t>
                  </w:r>
                  <w:r>
                    <w:rPr>
                      <w:sz w:val="22"/>
                    </w:rPr>
                    <w:t>0.5分/个。</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13</w:t>
                  </w:r>
                </w:p>
              </w:tc>
              <w:tc>
                <w:tcPr>
                  <w:tcW w:type="dxa" w:w="524"/>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运行质量</w:t>
                  </w:r>
                </w:p>
              </w:tc>
              <w:tc>
                <w:tcPr>
                  <w:tcW w:type="dxa" w:w="1008"/>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总体可用率</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要求</w:t>
                  </w:r>
                  <w:r>
                    <w:rPr>
                      <w:sz w:val="22"/>
                    </w:rPr>
                    <w:t>&gt;99%（每月不可用时间累计&lt;7小时，每季度不可用事件累计&lt;21小时），每下降0.2%扣2分。此项不包括因网络、硬件问题造成的故障及有计划的系统升级、维护时间。</w:t>
                  </w:r>
                </w:p>
              </w:tc>
              <w:tc>
                <w:tcPr>
                  <w:tcW w:type="dxa" w:w="435"/>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10</w:t>
                  </w:r>
                </w:p>
              </w:tc>
              <w:tc>
                <w:tcPr>
                  <w:tcW w:type="dxa" w:w="42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14</w:t>
                  </w:r>
                </w:p>
              </w:tc>
              <w:tc>
                <w:tcPr>
                  <w:tcW w:type="dxa" w:w="524"/>
                  <w:vMerge/>
                  <w:tcBorders>
                    <w:top w:val="none" w:color="000000" w:sz="4"/>
                    <w:left w:val="none" w:color="000000" w:sz="4"/>
                    <w:bottom w:val="single" w:color="000000" w:sz="4"/>
                    <w:right w:val="single" w:color="000000" w:sz="4"/>
                  </w:tcBorders>
                </w:tcPr>
                <w:p/>
              </w:tc>
              <w:tc>
                <w:tcPr>
                  <w:tcW w:type="dxa" w:w="1008"/>
                  <w:vMerge/>
                  <w:tcBorders>
                    <w:top w:val="none" w:color="000000" w:sz="4"/>
                    <w:left w:val="none" w:color="000000" w:sz="4"/>
                    <w:bottom w:val="single" w:color="000000" w:sz="4"/>
                    <w:right w:val="single" w:color="000000" w:sz="4"/>
                  </w:tcBorders>
                </w:tcP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硬件要求</w:t>
                  </w:r>
                  <w:r>
                    <w:rPr>
                      <w:sz w:val="22"/>
                    </w:rPr>
                    <w:t>&gt;99%（每月不可用时间累计&lt;7小时，每季度不可用事件累计&lt;21小时），每下降0.2%扣2分。</w:t>
                  </w:r>
                </w:p>
              </w:tc>
              <w:tc>
                <w:tcPr>
                  <w:tcW w:type="dxa" w:w="435"/>
                  <w:vMerge/>
                  <w:tcBorders>
                    <w:top w:val="none" w:color="000000" w:sz="4"/>
                    <w:left w:val="none" w:color="000000" w:sz="4"/>
                    <w:bottom w:val="single" w:color="000000" w:sz="4"/>
                    <w:right w:val="single" w:color="000000" w:sz="4"/>
                  </w:tcBorders>
                </w:tcPr>
                <w:p/>
              </w:tc>
              <w:tc>
                <w:tcPr>
                  <w:tcW w:type="dxa" w:w="42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15</w:t>
                  </w:r>
                </w:p>
              </w:tc>
              <w:tc>
                <w:tcPr>
                  <w:tcW w:type="dxa" w:w="524"/>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运维工作产出物质量</w:t>
                  </w: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周期性报告质量</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包括季报、月报、周报、日报等应简洁清晰、重点突出、分析深入、建议或解决措施科学、合理，不符合或不满足的视情况扣分。</w:t>
                  </w:r>
                </w:p>
              </w:tc>
              <w:tc>
                <w:tcPr>
                  <w:tcW w:type="dxa" w:w="435"/>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color w:val="000000"/>
                    </w:rPr>
                    <w:t>5</w:t>
                  </w:r>
                </w:p>
              </w:tc>
              <w:tc>
                <w:tcPr>
                  <w:tcW w:type="dxa" w:w="425"/>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16</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非周期性产出物质量</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如事件解决方案、评估报告、专题报告等应简洁清晰、重点突出、分析深入、建议或解决措施科学、合理，不符合或不满足的视情况扣分。</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17</w:t>
                  </w:r>
                </w:p>
              </w:tc>
              <w:tc>
                <w:tcPr>
                  <w:tcW w:type="dxa" w:w="524"/>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响应型服务质量</w:t>
                  </w: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事件响应时间达标率</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达标率低于</w:t>
                  </w:r>
                  <w:r>
                    <w:rPr>
                      <w:sz w:val="22"/>
                    </w:rPr>
                    <w:t>70%（不含）的扣5分；低于80%（不含）的扣4分；低于90%（不含）的扣2分；低于100%（不含）的扣0.5分。</w:t>
                  </w:r>
                </w:p>
              </w:tc>
              <w:tc>
                <w:tcPr>
                  <w:tcW w:type="dxa" w:w="435"/>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10</w:t>
                  </w:r>
                </w:p>
              </w:tc>
              <w:tc>
                <w:tcPr>
                  <w:tcW w:type="dxa" w:w="425"/>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18</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事件处理时间达标率</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达标率低于</w:t>
                  </w:r>
                  <w:r>
                    <w:rPr>
                      <w:sz w:val="22"/>
                    </w:rPr>
                    <w:t>70%（不含）的扣5分；低于80%（不含）的扣4分；低于90%（不含）的扣2分；低于100%（不含）的扣0.5分。</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19</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事件完成率（已经完成的事件数</w:t>
                  </w:r>
                  <w:r>
                    <w:rPr>
                      <w:sz w:val="22"/>
                    </w:rPr>
                    <w:t>/事件总数）</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完成率低于</w:t>
                  </w:r>
                  <w:r>
                    <w:rPr>
                      <w:sz w:val="22"/>
                    </w:rPr>
                    <w:t>70%（不含）的扣5分；低于80%（不含）的扣4分；低于90%（不含）的扣2分；低于100%（不含）的扣0.5分。</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20</w:t>
                  </w:r>
                </w:p>
              </w:tc>
              <w:tc>
                <w:tcPr>
                  <w:tcW w:type="dxa" w:w="524"/>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服务评价</w:t>
                  </w: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数据准确度</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出现某类业务数据不准确的，扣</w:t>
                  </w:r>
                  <w:r>
                    <w:rPr>
                      <w:sz w:val="22"/>
                    </w:rPr>
                    <w:t>0.5分/项。</w:t>
                  </w:r>
                </w:p>
              </w:tc>
              <w:tc>
                <w:tcPr>
                  <w:tcW w:type="dxa" w:w="435"/>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10</w:t>
                  </w:r>
                </w:p>
              </w:tc>
              <w:tc>
                <w:tcPr>
                  <w:tcW w:type="dxa" w:w="425"/>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21</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系统可操作性</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由于系统原因，造成操作失效、容易出错、甚至导致终端出行死锁情况的，扣</w:t>
                  </w:r>
                  <w:r>
                    <w:rPr>
                      <w:sz w:val="22"/>
                    </w:rPr>
                    <w:t>0.5分/项。</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22</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响应速度</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对系统故障处理、业务沟通的响应速度不达标，被投诉的，扣</w:t>
                  </w:r>
                  <w:r>
                    <w:rPr>
                      <w:sz w:val="22"/>
                    </w:rPr>
                    <w:t>1分/次。</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23</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配合程度</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对业务实现要求的理解和沟通能力。</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24</w:t>
                  </w:r>
                </w:p>
              </w:tc>
              <w:tc>
                <w:tcPr>
                  <w:tcW w:type="dxa" w:w="524"/>
                  <w:vMerge/>
                  <w:tcBorders>
                    <w:top w:val="none" w:color="000000" w:sz="4"/>
                    <w:left w:val="none" w:color="000000" w:sz="4"/>
                    <w:bottom w:val="single" w:color="000000" w:sz="4"/>
                    <w:right w:val="single" w:color="000000" w:sz="4"/>
                  </w:tcBorders>
                </w:tcPr>
                <w:p/>
              </w:tc>
              <w:tc>
                <w:tcPr>
                  <w:tcW w:type="dxa" w:w="100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总体效果</w:t>
                  </w:r>
                </w:p>
              </w:tc>
              <w:tc>
                <w:tcPr>
                  <w:tcW w:type="dxa" w:w="2708"/>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对业务实现和系统应用效果的综合评价。</w:t>
                  </w:r>
                </w:p>
              </w:tc>
            </w:tr>
            <w:tr>
              <w:tc>
                <w:tcPr>
                  <w:tcW w:type="dxa" w:w="484"/>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rPr>
                    <w:t>25</w:t>
                  </w:r>
                </w:p>
              </w:tc>
              <w:tc>
                <w:tcPr>
                  <w:tcW w:type="dxa" w:w="4240"/>
                  <w:gridSpan w:val="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总分</w:t>
                  </w:r>
                </w:p>
              </w:tc>
              <w:tc>
                <w:tcPr>
                  <w:tcW w:type="dxa" w:w="43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r>
                    <w:rPr>
                      <w:sz w:val="22"/>
                    </w:rPr>
                    <w:t>60</w:t>
                  </w:r>
                </w:p>
              </w:tc>
              <w:tc>
                <w:tcPr>
                  <w:tcW w:type="dxa" w:w="425"/>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pPr>
                </w:p>
              </w:tc>
            </w:tr>
            <w:tr>
              <w:tc>
                <w:tcPr>
                  <w:tcW w:type="dxa" w:w="3370"/>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考评部门（签章）：</w:t>
                  </w:r>
                </w:p>
                <w:p>
                  <w:pPr>
                    <w:pStyle w:val="null3"/>
                  </w:pPr>
                  <w:r>
                    <w:rPr>
                      <w:sz w:val="22"/>
                      <w:color w:val="000000"/>
                    </w:rPr>
                    <w:t>考评人员（签名）：</w:t>
                  </w:r>
                </w:p>
                <w:p>
                  <w:pPr>
                    <w:pStyle w:val="null3"/>
                  </w:pPr>
                  <w:r>
                    <w:rPr>
                      <w:sz w:val="22"/>
                      <w:color w:val="000000"/>
                    </w:rPr>
                    <w:t>年</w:t>
                  </w:r>
                  <w:r>
                    <w:rPr>
                      <w:sz w:val="21"/>
                    </w:rPr>
                    <w:t xml:space="preserve">   </w:t>
                  </w:r>
                  <w:r>
                    <w:rPr>
                      <w:sz w:val="22"/>
                      <w:color w:val="000000"/>
                    </w:rPr>
                    <w:t>月</w:t>
                  </w:r>
                  <w:r>
                    <w:rPr>
                      <w:sz w:val="21"/>
                    </w:rPr>
                    <w:t xml:space="preserve">   </w:t>
                  </w:r>
                  <w:r>
                    <w:rPr>
                      <w:sz w:val="22"/>
                      <w:color w:val="000000"/>
                    </w:rPr>
                    <w:t>日</w:t>
                  </w:r>
                </w:p>
              </w:tc>
              <w:tc>
                <w:tcPr>
                  <w:tcW w:type="dxa" w:w="2214"/>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60"/>
                  </w:pPr>
                  <w:r>
                    <w:rPr>
                      <w:sz w:val="22"/>
                      <w:color w:val="000000"/>
                    </w:rPr>
                    <w:t>被考评单位人员（签名）：</w:t>
                  </w:r>
                </w:p>
                <w:p>
                  <w:pPr>
                    <w:pStyle w:val="null3"/>
                    <w:ind w:firstLine="422"/>
                  </w:pPr>
                  <w:r>
                    <w:rPr>
                      <w:sz w:val="22"/>
                      <w:color w:val="000000"/>
                    </w:rPr>
                    <w:t>被考评单位意见：</w:t>
                  </w:r>
                </w:p>
                <w:p>
                  <w:pPr>
                    <w:pStyle w:val="null3"/>
                    <w:ind w:firstLine="440"/>
                  </w:pPr>
                  <w:r>
                    <w:rPr>
                      <w:sz w:val="22"/>
                      <w:color w:val="000000"/>
                    </w:rPr>
                    <w:t>年</w:t>
                  </w:r>
                  <w:r>
                    <w:rPr>
                      <w:sz w:val="21"/>
                    </w:rPr>
                    <w:t xml:space="preserve">   </w:t>
                  </w:r>
                  <w:r>
                    <w:rPr>
                      <w:sz w:val="22"/>
                      <w:color w:val="000000"/>
                    </w:rPr>
                    <w:t>月</w:t>
                  </w:r>
                  <w:r>
                    <w:rPr>
                      <w:sz w:val="21"/>
                    </w:rPr>
                    <w:t xml:space="preserve">   </w:t>
                  </w:r>
                  <w:r>
                    <w:rPr>
                      <w:sz w:val="22"/>
                      <w:color w:val="000000"/>
                    </w:rPr>
                    <w:t>日</w:t>
                  </w:r>
                </w:p>
              </w:tc>
            </w:tr>
            <w:tr>
              <w:tc>
                <w:tcPr>
                  <w:tcW w:type="dxa" w:w="3370"/>
                  <w:gridSpan w:val="4"/>
                  <w:vMerge/>
                  <w:tcBorders>
                    <w:top w:val="none" w:color="000000" w:sz="4"/>
                    <w:left w:val="single" w:color="000000" w:sz="4"/>
                    <w:bottom w:val="single" w:color="000000" w:sz="4"/>
                    <w:right w:val="single" w:color="000000" w:sz="4"/>
                  </w:tcBorders>
                </w:tcPr>
                <w:p/>
              </w:tc>
              <w:tc>
                <w:tcPr>
                  <w:tcW w:type="dxa" w:w="2214"/>
                  <w:gridSpan w:val="3"/>
                  <w:vMerge/>
                  <w:tcBorders>
                    <w:top w:val="none" w:color="000000" w:sz="4"/>
                    <w:left w:val="none" w:color="000000" w:sz="4"/>
                    <w:bottom w:val="single" w:color="000000" w:sz="4"/>
                    <w:right w:val="single" w:color="000000" w:sz="4"/>
                  </w:tcBorders>
                </w:tcPr>
                <w:p/>
              </w:tc>
            </w:tr>
            <w:tr>
              <w:tc>
                <w:tcPr>
                  <w:tcW w:type="dxa" w:w="3370"/>
                  <w:gridSpan w:val="4"/>
                  <w:vMerge/>
                  <w:tcBorders>
                    <w:top w:val="none" w:color="000000" w:sz="4"/>
                    <w:left w:val="single" w:color="000000" w:sz="4"/>
                    <w:bottom w:val="single" w:color="000000" w:sz="4"/>
                    <w:right w:val="single" w:color="000000" w:sz="4"/>
                  </w:tcBorders>
                </w:tcPr>
                <w:p/>
              </w:tc>
              <w:tc>
                <w:tcPr>
                  <w:tcW w:type="dxa" w:w="2214"/>
                  <w:gridSpan w:val="3"/>
                  <w:vMerge/>
                  <w:tcBorders>
                    <w:top w:val="none" w:color="000000" w:sz="4"/>
                    <w:left w:val="none" w:color="000000" w:sz="4"/>
                    <w:bottom w:val="single" w:color="000000" w:sz="4"/>
                    <w:right w:val="single" w:color="000000" w:sz="4"/>
                  </w:tcBorders>
                </w:tcPr>
                <w:p/>
              </w:tc>
            </w:tr>
            <w:tr>
              <w:tc>
                <w:tcPr>
                  <w:tcW w:type="dxa" w:w="3370"/>
                  <w:gridSpan w:val="4"/>
                  <w:vMerge/>
                  <w:tcBorders>
                    <w:top w:val="none" w:color="000000" w:sz="4"/>
                    <w:left w:val="single" w:color="000000" w:sz="4"/>
                    <w:bottom w:val="single" w:color="000000" w:sz="4"/>
                    <w:right w:val="single" w:color="000000" w:sz="4"/>
                  </w:tcBorders>
                </w:tcPr>
                <w:p/>
              </w:tc>
              <w:tc>
                <w:tcPr>
                  <w:tcW w:type="dxa" w:w="2214"/>
                  <w:gridSpan w:val="3"/>
                  <w:vMerge/>
                  <w:tcBorders>
                    <w:top w:val="none" w:color="000000" w:sz="4"/>
                    <w:left w:val="none" w:color="000000" w:sz="4"/>
                    <w:bottom w:val="single" w:color="000000" w:sz="4"/>
                    <w:right w:val="single" w:color="000000" w:sz="4"/>
                  </w:tcBorders>
                </w:tcPr>
                <w:p/>
              </w:tc>
            </w:tr>
            <w:tr>
              <w:tc>
                <w:tcPr>
                  <w:tcW w:type="dxa" w:w="3370"/>
                  <w:gridSpan w:val="4"/>
                  <w:vMerge/>
                  <w:tcBorders>
                    <w:top w:val="none" w:color="000000" w:sz="4"/>
                    <w:left w:val="single" w:color="000000" w:sz="4"/>
                    <w:bottom w:val="single" w:color="000000" w:sz="4"/>
                    <w:right w:val="single" w:color="000000" w:sz="4"/>
                  </w:tcBorders>
                </w:tcPr>
                <w:p/>
              </w:tc>
              <w:tc>
                <w:tcPr>
                  <w:tcW w:type="dxa" w:w="2214"/>
                  <w:gridSpan w:val="3"/>
                  <w:vMerge/>
                  <w:tcBorders>
                    <w:top w:val="none" w:color="000000" w:sz="4"/>
                    <w:left w:val="none" w:color="000000" w:sz="4"/>
                    <w:bottom w:val="single" w:color="000000" w:sz="4"/>
                    <w:right w:val="single" w:color="000000" w:sz="4"/>
                  </w:tcBorders>
                </w:tcPr>
                <w:p/>
              </w:tc>
            </w:tr>
          </w:tbl>
          <w:p>
            <w:pPr>
              <w:pStyle w:val="null3"/>
              <w:outlineLvl w:val="2"/>
            </w:pPr>
            <w:r>
              <w:rPr>
                <w:sz w:val="22"/>
                <w:b/>
              </w:rPr>
              <w:t>2.各业务科室运维服务考核表</w:t>
            </w:r>
          </w:p>
          <w:p>
            <w:pPr>
              <w:pStyle w:val="null3"/>
            </w:pPr>
            <w:r>
              <w:rPr>
                <w:sz w:val="22"/>
              </w:rPr>
              <w:t>表</w:t>
            </w:r>
            <w:r>
              <w:rPr>
                <w:sz w:val="22"/>
              </w:rPr>
              <w:t>2  中山市市监局运维服务工作服务考核表（科室用）</w:t>
            </w:r>
          </w:p>
          <w:tbl>
            <w:tblPr>
              <w:tblBorders>
                <w:top w:val="none" w:color="000000" w:sz="4"/>
                <w:left w:val="none" w:color="000000" w:sz="4"/>
                <w:bottom w:val="none" w:color="000000" w:sz="4"/>
                <w:right w:val="none" w:color="000000" w:sz="4"/>
                <w:insideH w:val="none"/>
                <w:insideV w:val="none"/>
              </w:tblBorders>
            </w:tblPr>
            <w:tblGrid>
              <w:gridCol w:w="493"/>
              <w:gridCol w:w="792"/>
              <w:gridCol w:w="895"/>
              <w:gridCol w:w="2233"/>
              <w:gridCol w:w="586"/>
              <w:gridCol w:w="586"/>
            </w:tblGrid>
            <w:tr>
              <w:tc>
                <w:tcPr>
                  <w:tcW w:type="dxa" w:w="4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序号</w:t>
                  </w:r>
                </w:p>
              </w:tc>
              <w:tc>
                <w:tcPr>
                  <w:tcW w:type="dxa" w:w="7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考核类别</w:t>
                  </w:r>
                </w:p>
              </w:tc>
              <w:tc>
                <w:tcPr>
                  <w:tcW w:type="dxa" w:w="8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考核项目</w:t>
                  </w:r>
                </w:p>
              </w:tc>
              <w:tc>
                <w:tcPr>
                  <w:tcW w:type="dxa" w:w="22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考核内容</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分值</w:t>
                  </w:r>
                </w:p>
              </w:tc>
              <w:tc>
                <w:tcPr>
                  <w:tcW w:type="dxa" w:w="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得分</w:t>
                  </w: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w:t>
                  </w:r>
                </w:p>
              </w:tc>
              <w:tc>
                <w:tcPr>
                  <w:tcW w:type="dxa" w:w="7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服务总体情况</w:t>
                  </w:r>
                </w:p>
              </w:tc>
              <w:tc>
                <w:tcPr>
                  <w:tcW w:type="dxa" w:w="8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服务态度</w:t>
                  </w:r>
                </w:p>
              </w:tc>
              <w:tc>
                <w:tcPr>
                  <w:tcW w:type="dxa" w:w="2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服务态度（主动、耐心、谦虚）</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3</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2</w:t>
                  </w:r>
                </w:p>
              </w:tc>
              <w:tc>
                <w:tcPr>
                  <w:tcW w:type="dxa" w:w="792"/>
                  <w:vMerge/>
                  <w:tcBorders>
                    <w:top w:val="none" w:color="000000" w:sz="4"/>
                    <w:left w:val="single" w:color="000000" w:sz="4"/>
                    <w:bottom w:val="single" w:color="000000" w:sz="4"/>
                    <w:right w:val="single" w:color="000000" w:sz="4"/>
                  </w:tcBorders>
                </w:tcPr>
                <w:p/>
              </w:tc>
              <w:tc>
                <w:tcPr>
                  <w:tcW w:type="dxa" w:w="895"/>
                  <w:vMerge/>
                  <w:tcBorders>
                    <w:top w:val="none" w:color="000000" w:sz="4"/>
                    <w:left w:val="single" w:color="000000" w:sz="4"/>
                    <w:bottom w:val="single" w:color="000000" w:sz="4"/>
                    <w:right w:val="single" w:color="000000" w:sz="4"/>
                  </w:tcBorders>
                </w:tcPr>
                <w:p/>
              </w:tc>
              <w:tc>
                <w:tcPr>
                  <w:tcW w:type="dxa" w:w="2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服务过程保持专业、中肯</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4</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3</w:t>
                  </w:r>
                </w:p>
              </w:tc>
              <w:tc>
                <w:tcPr>
                  <w:tcW w:type="dxa" w:w="792"/>
                  <w:vMerge/>
                  <w:tcBorders>
                    <w:top w:val="none" w:color="000000" w:sz="4"/>
                    <w:left w:val="single" w:color="000000" w:sz="4"/>
                    <w:bottom w:val="single" w:color="000000" w:sz="4"/>
                    <w:right w:val="single" w:color="000000" w:sz="4"/>
                  </w:tcBorders>
                </w:tcPr>
                <w:p/>
              </w:tc>
              <w:tc>
                <w:tcPr>
                  <w:tcW w:type="dxa" w:w="895"/>
                  <w:vMerge/>
                  <w:tcBorders>
                    <w:top w:val="none" w:color="000000" w:sz="4"/>
                    <w:left w:val="single" w:color="000000" w:sz="4"/>
                    <w:bottom w:val="single" w:color="000000" w:sz="4"/>
                    <w:right w:val="single" w:color="000000" w:sz="4"/>
                  </w:tcBorders>
                </w:tcPr>
                <w:p/>
              </w:tc>
              <w:tc>
                <w:tcPr>
                  <w:tcW w:type="dxa" w:w="2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人员服务能力情况</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4</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4</w:t>
                  </w:r>
                </w:p>
              </w:tc>
              <w:tc>
                <w:tcPr>
                  <w:tcW w:type="dxa" w:w="792"/>
                  <w:vMerge/>
                  <w:tcBorders>
                    <w:top w:val="none" w:color="000000" w:sz="4"/>
                    <w:left w:val="single" w:color="000000" w:sz="4"/>
                    <w:bottom w:val="single" w:color="000000" w:sz="4"/>
                    <w:right w:val="single" w:color="000000" w:sz="4"/>
                  </w:tcBorders>
                </w:tcPr>
                <w:p/>
              </w:tc>
              <w:tc>
                <w:tcPr>
                  <w:tcW w:type="dxa" w:w="895"/>
                  <w:vMerge/>
                  <w:tcBorders>
                    <w:top w:val="none" w:color="000000" w:sz="4"/>
                    <w:left w:val="single" w:color="000000" w:sz="4"/>
                    <w:bottom w:val="single" w:color="000000" w:sz="4"/>
                    <w:right w:val="single" w:color="000000" w:sz="4"/>
                  </w:tcBorders>
                </w:tcPr>
                <w:p/>
              </w:tc>
              <w:tc>
                <w:tcPr>
                  <w:tcW w:type="dxa" w:w="2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人员服务经验情况</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4</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5</w:t>
                  </w:r>
                </w:p>
              </w:tc>
              <w:tc>
                <w:tcPr>
                  <w:tcW w:type="dxa" w:w="792"/>
                  <w:vMerge/>
                  <w:tcBorders>
                    <w:top w:val="none" w:color="000000" w:sz="4"/>
                    <w:left w:val="single" w:color="000000" w:sz="4"/>
                    <w:bottom w:val="single" w:color="000000" w:sz="4"/>
                    <w:right w:val="single" w:color="000000" w:sz="4"/>
                  </w:tcBorders>
                </w:tcPr>
                <w:p/>
              </w:tc>
              <w:tc>
                <w:tcPr>
                  <w:tcW w:type="dxa" w:w="895"/>
                  <w:vMerge/>
                  <w:tcBorders>
                    <w:top w:val="none" w:color="000000" w:sz="4"/>
                    <w:left w:val="single" w:color="000000" w:sz="4"/>
                    <w:bottom w:val="single" w:color="000000" w:sz="4"/>
                    <w:right w:val="single" w:color="000000" w:sz="4"/>
                  </w:tcBorders>
                </w:tcPr>
                <w:p/>
              </w:tc>
              <w:tc>
                <w:tcPr>
                  <w:tcW w:type="dxa" w:w="2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国家有关信息安全标准规范及政策的掌握情况</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2</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6</w:t>
                  </w:r>
                </w:p>
              </w:tc>
              <w:tc>
                <w:tcPr>
                  <w:tcW w:type="dxa" w:w="792"/>
                  <w:vMerge/>
                  <w:tcBorders>
                    <w:top w:val="none" w:color="000000" w:sz="4"/>
                    <w:left w:val="single" w:color="000000" w:sz="4"/>
                    <w:bottom w:val="single" w:color="000000" w:sz="4"/>
                    <w:right w:val="single" w:color="000000" w:sz="4"/>
                  </w:tcBorders>
                </w:tcPr>
                <w:p/>
              </w:tc>
              <w:tc>
                <w:tcPr>
                  <w:tcW w:type="dxa" w:w="8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响应及时性</w:t>
                  </w:r>
                </w:p>
              </w:tc>
              <w:tc>
                <w:tcPr>
                  <w:tcW w:type="dxa" w:w="2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人员响应及时性</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3</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7</w:t>
                  </w:r>
                </w:p>
              </w:tc>
              <w:tc>
                <w:tcPr>
                  <w:tcW w:type="dxa" w:w="792"/>
                  <w:vMerge/>
                  <w:tcBorders>
                    <w:top w:val="none" w:color="000000" w:sz="4"/>
                    <w:left w:val="single" w:color="000000" w:sz="4"/>
                    <w:bottom w:val="single" w:color="000000" w:sz="4"/>
                    <w:right w:val="single" w:color="000000" w:sz="4"/>
                  </w:tcBorders>
                </w:tcPr>
                <w:p/>
              </w:tc>
              <w:tc>
                <w:tcPr>
                  <w:tcW w:type="dxa" w:w="895"/>
                  <w:vMerge/>
                  <w:tcBorders>
                    <w:top w:val="none" w:color="000000" w:sz="4"/>
                    <w:left w:val="single" w:color="000000" w:sz="4"/>
                    <w:bottom w:val="single" w:color="000000" w:sz="4"/>
                    <w:right w:val="single" w:color="000000" w:sz="4"/>
                  </w:tcBorders>
                </w:tcPr>
                <w:p/>
              </w:tc>
              <w:tc>
                <w:tcPr>
                  <w:tcW w:type="dxa" w:w="22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应急需求响应及时性</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3</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8</w:t>
                  </w:r>
                </w:p>
              </w:tc>
              <w:tc>
                <w:tcPr>
                  <w:tcW w:type="dxa" w:w="7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服务质量</w:t>
                  </w:r>
                </w:p>
              </w:tc>
              <w:tc>
                <w:tcPr>
                  <w:tcW w:type="dxa" w:w="31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服务内容准确性</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3</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9</w:t>
                  </w:r>
                </w:p>
              </w:tc>
              <w:tc>
                <w:tcPr>
                  <w:tcW w:type="dxa" w:w="792"/>
                  <w:vMerge/>
                  <w:tcBorders>
                    <w:top w:val="none" w:color="000000" w:sz="4"/>
                    <w:left w:val="single" w:color="000000" w:sz="4"/>
                    <w:bottom w:val="single" w:color="000000" w:sz="4"/>
                    <w:right w:val="single" w:color="000000" w:sz="4"/>
                  </w:tcBorders>
                </w:tcPr>
                <w:p/>
              </w:tc>
              <w:tc>
                <w:tcPr>
                  <w:tcW w:type="dxa" w:w="31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服务过程完整性</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3</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10</w:t>
                  </w:r>
                </w:p>
              </w:tc>
              <w:tc>
                <w:tcPr>
                  <w:tcW w:type="dxa" w:w="792"/>
                  <w:vMerge/>
                  <w:tcBorders>
                    <w:top w:val="none" w:color="000000" w:sz="4"/>
                    <w:left w:val="single" w:color="000000" w:sz="4"/>
                    <w:bottom w:val="single" w:color="000000" w:sz="4"/>
                    <w:right w:val="single" w:color="000000" w:sz="4"/>
                  </w:tcBorders>
                </w:tcPr>
                <w:p/>
              </w:tc>
              <w:tc>
                <w:tcPr>
                  <w:tcW w:type="dxa" w:w="31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运维服务全面性</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3</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2"/>
                  <w:vMerge/>
                  <w:tcBorders>
                    <w:top w:val="none" w:color="000000" w:sz="4"/>
                    <w:left w:val="single" w:color="000000" w:sz="4"/>
                    <w:bottom w:val="single" w:color="000000" w:sz="4"/>
                    <w:right w:val="single" w:color="000000" w:sz="4"/>
                  </w:tcBorders>
                </w:tcPr>
                <w:p/>
              </w:tc>
              <w:tc>
                <w:tcPr>
                  <w:tcW w:type="dxa" w:w="31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安全的落实全面性</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5</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11</w:t>
                  </w:r>
                </w:p>
              </w:tc>
              <w:tc>
                <w:tcPr>
                  <w:tcW w:type="dxa" w:w="792"/>
                  <w:vMerge/>
                  <w:tcBorders>
                    <w:top w:val="none" w:color="000000" w:sz="4"/>
                    <w:left w:val="single" w:color="000000" w:sz="4"/>
                    <w:bottom w:val="single" w:color="000000" w:sz="4"/>
                    <w:right w:val="single" w:color="000000" w:sz="4"/>
                  </w:tcBorders>
                </w:tcPr>
                <w:p/>
              </w:tc>
              <w:tc>
                <w:tcPr>
                  <w:tcW w:type="dxa" w:w="312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服务成果实现情况</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3</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12</w:t>
                  </w:r>
                </w:p>
              </w:tc>
              <w:tc>
                <w:tcPr>
                  <w:tcW w:type="dxa" w:w="7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加分项</w:t>
                  </w:r>
                </w:p>
              </w:tc>
              <w:tc>
                <w:tcPr>
                  <w:tcW w:type="dxa" w:w="3128"/>
                  <w:gridSpan w:val="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pPr>
                  <w:r>
                    <w:rPr>
                      <w:sz w:val="22"/>
                      <w:color w:val="000000"/>
                    </w:rPr>
                    <w:t>中标人配合采购人工作，获得采购人表扬，采购人可酌情加分，最高加</w:t>
                  </w:r>
                  <w:r>
                    <w:rPr>
                      <w:sz w:val="22"/>
                      <w:color w:val="000000"/>
                    </w:rPr>
                    <w:t>20分；</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13</w:t>
                  </w:r>
                </w:p>
              </w:tc>
              <w:tc>
                <w:tcPr>
                  <w:tcW w:type="dxa" w:w="3920"/>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总计</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40</w:t>
                  </w:r>
                </w:p>
              </w:tc>
              <w:tc>
                <w:tcPr>
                  <w:tcW w:type="dxa" w:w="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4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14</w:t>
                  </w:r>
                </w:p>
              </w:tc>
              <w:tc>
                <w:tcPr>
                  <w:tcW w:type="dxa" w:w="509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意见和建议：</w:t>
                  </w:r>
                </w:p>
                <w:p>
                  <w:pPr>
                    <w:pStyle w:val="null3"/>
                  </w:pP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tc>
            </w:tr>
          </w:tbl>
          <w:p>
            <w:pPr>
              <w:pStyle w:val="null3"/>
              <w:outlineLvl w:val="1"/>
            </w:pPr>
            <w:r>
              <w:rPr>
                <w:sz w:val="22"/>
                <w:b/>
              </w:rPr>
              <w:t>（二）网络信息安全重大事件直接扣款</w:t>
            </w:r>
            <w:r>
              <w:rPr>
                <w:sz w:val="22"/>
                <w:b/>
              </w:rPr>
              <w:t>规定</w:t>
            </w:r>
          </w:p>
          <w:p>
            <w:pPr>
              <w:pStyle w:val="null3"/>
              <w:ind w:firstLine="482"/>
            </w:pPr>
            <w:r>
              <w:rPr>
                <w:sz w:val="22"/>
              </w:rPr>
              <w:t>若发生重大事件，采购人将在当期运维服务费的基础上，对中标人进行直接扣款。直接扣款项如下：</w:t>
            </w:r>
          </w:p>
          <w:tbl>
            <w:tblPr>
              <w:tblBorders>
                <w:top w:val="none" w:color="000000" w:sz="4"/>
                <w:left w:val="none" w:color="000000" w:sz="4"/>
                <w:bottom w:val="none" w:color="000000" w:sz="4"/>
                <w:right w:val="none" w:color="000000" w:sz="4"/>
                <w:insideH w:val="none"/>
                <w:insideV w:val="none"/>
              </w:tblBorders>
            </w:tblPr>
            <w:tblGrid>
              <w:gridCol w:w="622"/>
              <w:gridCol w:w="563"/>
              <w:gridCol w:w="3219"/>
              <w:gridCol w:w="464"/>
              <w:gridCol w:w="474"/>
            </w:tblGrid>
            <w:tr>
              <w:tc>
                <w:tcPr>
                  <w:tcW w:type="dxa" w:w="62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项目</w:t>
                  </w:r>
                </w:p>
              </w:tc>
              <w:tc>
                <w:tcPr>
                  <w:tcW w:type="dxa" w:w="5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子项</w:t>
                  </w:r>
                </w:p>
              </w:tc>
              <w:tc>
                <w:tcPr>
                  <w:tcW w:type="dxa" w:w="32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服务标准及评分</w:t>
                  </w:r>
                </w:p>
              </w:tc>
              <w:tc>
                <w:tcPr>
                  <w:tcW w:type="dxa" w:w="4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分值</w:t>
                  </w:r>
                </w:p>
              </w:tc>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b/>
                    </w:rPr>
                    <w:t>权重</w:t>
                  </w:r>
                </w:p>
              </w:tc>
            </w:tr>
            <w:tr>
              <w:tc>
                <w:tcPr>
                  <w:tcW w:type="dxa" w:w="6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重大事件直接考核扣款项</w:t>
                  </w:r>
                </w:p>
              </w:tc>
              <w:tc>
                <w:tcPr>
                  <w:tcW w:type="dxa" w:w="5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生产事故</w:t>
                  </w:r>
                </w:p>
              </w:tc>
              <w:tc>
                <w:tcPr>
                  <w:tcW w:type="dxa" w:w="32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因服务团队原因造成采购人出现网络信息安全事件、重大损失和恶劣影响，包括以下情况：</w:t>
                  </w:r>
                </w:p>
                <w:p>
                  <w:pPr>
                    <w:pStyle w:val="null3"/>
                  </w:pPr>
                  <w:r>
                    <w:rPr>
                      <w:sz w:val="22"/>
                    </w:rPr>
                    <w:t>1.发生违反网络与信息安全管理规定的重大事件。</w:t>
                  </w:r>
                </w:p>
                <w:p>
                  <w:pPr>
                    <w:pStyle w:val="null3"/>
                  </w:pPr>
                  <w:r>
                    <w:rPr>
                      <w:sz w:val="22"/>
                    </w:rPr>
                    <w:t>2.违反保密规定或其他原因导致数据泄漏，造成影响或产生损失的。</w:t>
                  </w:r>
                </w:p>
                <w:p>
                  <w:pPr>
                    <w:pStyle w:val="null3"/>
                  </w:pPr>
                  <w:r>
                    <w:rPr>
                      <w:sz w:val="22"/>
                    </w:rPr>
                    <w:t>3.发生数据严重失真事件。</w:t>
                  </w:r>
                </w:p>
                <w:p>
                  <w:pPr>
                    <w:pStyle w:val="null3"/>
                  </w:pPr>
                  <w:r>
                    <w:rPr>
                      <w:sz w:val="22"/>
                    </w:rPr>
                    <w:t>4.引发社会恶性负面报道事件。</w:t>
                  </w:r>
                </w:p>
                <w:p>
                  <w:pPr>
                    <w:pStyle w:val="null3"/>
                  </w:pPr>
                  <w:r>
                    <w:rPr>
                      <w:sz w:val="22"/>
                    </w:rPr>
                    <w:t>5.发生违反省市各类监管部门、司法机关查处的重大问题。</w:t>
                  </w:r>
                </w:p>
                <w:p>
                  <w:pPr>
                    <w:pStyle w:val="null3"/>
                  </w:pPr>
                  <w:r>
                    <w:rPr>
                      <w:sz w:val="22"/>
                    </w:rPr>
                    <w:t>6.其他严重损害客户利益事件。</w:t>
                  </w:r>
                </w:p>
                <w:p>
                  <w:pPr>
                    <w:pStyle w:val="null3"/>
                  </w:pPr>
                  <w:r>
                    <w:rPr>
                      <w:sz w:val="22"/>
                    </w:rPr>
                    <w:t>发生上述情况的，每发生一次视严重程度，扣除当期运维服务费的</w:t>
                  </w:r>
                  <w:r>
                    <w:rPr>
                      <w:sz w:val="22"/>
                    </w:rPr>
                    <w:t>50%-100%，并保留追究相关单位和人员法律责任的权力。</w:t>
                  </w:r>
                </w:p>
              </w:tc>
              <w:tc>
                <w:tcPr>
                  <w:tcW w:type="dxa" w:w="4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直接扣款</w:t>
                  </w:r>
                </w:p>
              </w:tc>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rPr>
                    <w:t>直接扣款</w:t>
                  </w:r>
                </w:p>
              </w:tc>
            </w:tr>
            <w:tr>
              <w:tc>
                <w:tcPr>
                  <w:tcW w:type="dxa" w:w="5342"/>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2"/>
                      <w:color w:val="000000"/>
                    </w:rPr>
                    <w:t>说明：最终以合同约定为准</w:t>
                  </w:r>
                </w:p>
              </w:tc>
            </w:tr>
          </w:tbl>
          <w:p>
            <w:pPr>
              <w:pStyle w:val="null3"/>
              <w:outlineLvl w:val="0"/>
            </w:pPr>
            <w:r>
              <w:rPr>
                <w:sz w:val="48"/>
                <w:b/>
              </w:rPr>
              <w:t xml:space="preserve"> </w:t>
            </w:r>
          </w:p>
          <w:p>
            <w:pPr>
              <w:pStyle w:val="null3"/>
              <w:outlineLvl w:val="0"/>
            </w:pPr>
            <w:r>
              <w:rPr>
                <w:sz w:val="21"/>
                <w:b/>
              </w:rPr>
              <w:t>七、保密条例</w:t>
            </w:r>
          </w:p>
          <w:p>
            <w:pPr>
              <w:pStyle w:val="null3"/>
              <w:ind w:firstLine="440"/>
            </w:pPr>
            <w:r>
              <w:rPr>
                <w:sz w:val="22"/>
              </w:rPr>
              <w:t>中标人在为采购人提供信息技术支持和服务的过程中，须高度重视信息安全和保密工作。</w:t>
            </w:r>
          </w:p>
          <w:p>
            <w:pPr>
              <w:pStyle w:val="null3"/>
              <w:ind w:firstLine="442"/>
            </w:pPr>
            <w:r>
              <w:rPr>
                <w:sz w:val="22"/>
                <w:b/>
              </w:rPr>
              <w:t>（一）中标人职责</w:t>
            </w:r>
          </w:p>
          <w:p>
            <w:pPr>
              <w:pStyle w:val="null3"/>
              <w:ind w:firstLine="440"/>
            </w:pPr>
            <w:r>
              <w:rPr>
                <w:sz w:val="22"/>
              </w:rPr>
              <w:t>1.遵守规章制度</w:t>
            </w:r>
          </w:p>
          <w:p>
            <w:pPr>
              <w:pStyle w:val="null3"/>
              <w:ind w:firstLine="440"/>
            </w:pPr>
            <w:r>
              <w:rPr>
                <w:sz w:val="22"/>
              </w:rPr>
              <w:t>中标人须全面遵守采购人的各项规章制度，包括但不限于工作流程、安全规定、员工行为准则等。运维人员应主动了解和熟悉这些规章制度，确保在日常工作中严格遵照执行。</w:t>
            </w:r>
          </w:p>
          <w:p>
            <w:pPr>
              <w:pStyle w:val="null3"/>
              <w:ind w:firstLine="440"/>
            </w:pPr>
            <w:r>
              <w:rPr>
                <w:sz w:val="22"/>
              </w:rPr>
              <w:t>2.接受日常管理</w:t>
            </w:r>
          </w:p>
          <w:p>
            <w:pPr>
              <w:pStyle w:val="null3"/>
              <w:ind w:firstLine="440"/>
            </w:pPr>
            <w:r>
              <w:rPr>
                <w:sz w:val="22"/>
              </w:rPr>
              <w:t>中标人应接受采购人的日常工作管理，包括但不限于考勤、工作绩效评估等。驻场人员应服从采购人的管理，保持良好的工作秩序和职业操守。</w:t>
            </w:r>
          </w:p>
          <w:p>
            <w:pPr>
              <w:pStyle w:val="null3"/>
              <w:ind w:firstLine="440"/>
            </w:pPr>
            <w:r>
              <w:rPr>
                <w:sz w:val="22"/>
              </w:rPr>
              <w:t>3.安全检查与防范</w:t>
            </w:r>
          </w:p>
          <w:p>
            <w:pPr>
              <w:pStyle w:val="null3"/>
              <w:ind w:firstLine="440"/>
            </w:pPr>
            <w:r>
              <w:rPr>
                <w:sz w:val="22"/>
              </w:rPr>
              <w:t>中标人应定期进行安全检查，评估潜在的安全风险，并采取有效措施进行防范。包括但不限于对物理安全（如服务器房间的门禁系统、监控设备）和技术安全（如防火墙、入侵检测系统）的全面检查。</w:t>
            </w:r>
          </w:p>
          <w:p>
            <w:pPr>
              <w:pStyle w:val="null3"/>
              <w:ind w:firstLine="440"/>
            </w:pPr>
            <w:r>
              <w:rPr>
                <w:sz w:val="22"/>
              </w:rPr>
              <w:t>4.保密协议签署</w:t>
            </w:r>
          </w:p>
          <w:p>
            <w:pPr>
              <w:pStyle w:val="null3"/>
              <w:ind w:firstLine="440"/>
            </w:pPr>
            <w:r>
              <w:rPr>
                <w:sz w:val="22"/>
              </w:rPr>
              <w:t>驻场人员必须按照业主单位的要求签署保密协议，明确在运维过程中应承担的安全保密责任和义务。保密协议应详细列出保密信息的范围、保密期限以及违反保密协议的法律后果。</w:t>
            </w:r>
          </w:p>
          <w:p>
            <w:pPr>
              <w:pStyle w:val="null3"/>
              <w:ind w:firstLine="440"/>
            </w:pPr>
            <w:r>
              <w:rPr>
                <w:sz w:val="22"/>
              </w:rPr>
              <w:t>5.信息安全保障</w:t>
            </w:r>
          </w:p>
          <w:p>
            <w:pPr>
              <w:pStyle w:val="null3"/>
              <w:ind w:firstLine="440"/>
            </w:pPr>
            <w:r>
              <w:rPr>
                <w:sz w:val="22"/>
              </w:rPr>
              <w:t>中标人应通过适当的人防和技防手段确保运维过程中产生的各类交易信息数据的安全保密。包括但不限于访问控制、数据加密、安全审计等。</w:t>
            </w:r>
          </w:p>
          <w:p>
            <w:pPr>
              <w:pStyle w:val="null3"/>
              <w:ind w:firstLine="442"/>
            </w:pPr>
            <w:r>
              <w:rPr>
                <w:sz w:val="22"/>
                <w:b/>
              </w:rPr>
              <w:t>（二）保密资料的保护</w:t>
            </w:r>
          </w:p>
          <w:p>
            <w:pPr>
              <w:pStyle w:val="null3"/>
              <w:ind w:firstLine="440"/>
            </w:pPr>
            <w:r>
              <w:rPr>
                <w:sz w:val="22"/>
              </w:rPr>
              <w:t>1.保密资料的界定</w:t>
            </w:r>
          </w:p>
          <w:p>
            <w:pPr>
              <w:pStyle w:val="null3"/>
              <w:ind w:firstLine="440"/>
            </w:pPr>
            <w:r>
              <w:rPr>
                <w:sz w:val="22"/>
              </w:rPr>
              <w:t>保密资料包括但不限于采购人提供的所有资料、商业秘密、技术资料信息等。这些资料无论是在合同签订、履行过程中接触到，还是在其他任何情况下获取的，都应受到严格的保密。</w:t>
            </w:r>
          </w:p>
          <w:p>
            <w:pPr>
              <w:pStyle w:val="null3"/>
              <w:ind w:firstLine="440"/>
            </w:pPr>
            <w:r>
              <w:rPr>
                <w:sz w:val="22"/>
              </w:rPr>
              <w:t>2.保密义务的履行</w:t>
            </w:r>
          </w:p>
          <w:p>
            <w:pPr>
              <w:pStyle w:val="null3"/>
              <w:ind w:firstLine="440"/>
            </w:pPr>
            <w:r>
              <w:rPr>
                <w:sz w:val="22"/>
              </w:rPr>
              <w:t>中标人不得以任何形式向第三方披露保密资料，也不得将这些资料用于合同约定以外的任何其他目的。在必要情况下，中标人可以向其内部雇员披露保密资料，但必须确保雇员也遵守相同的保密义务。</w:t>
            </w:r>
          </w:p>
          <w:p>
            <w:pPr>
              <w:pStyle w:val="null3"/>
              <w:ind w:firstLine="440"/>
            </w:pPr>
            <w:r>
              <w:rPr>
                <w:sz w:val="22"/>
              </w:rPr>
              <w:t>3.保密资料的复制与销毁</w:t>
            </w:r>
          </w:p>
          <w:p>
            <w:pPr>
              <w:pStyle w:val="null3"/>
              <w:ind w:firstLine="440"/>
            </w:pPr>
            <w:r>
              <w:rPr>
                <w:sz w:val="22"/>
              </w:rPr>
              <w:t>中标人只能在履行合同目的的情况下复制保密资料，并且不得以任何形式（如硬盘、光盘等）留存这些资料的副本。在合同终止或解除时，中标人须将保密资料原件全部返还业主单位，并销毁所有复制件。</w:t>
            </w:r>
          </w:p>
          <w:p>
            <w:pPr>
              <w:pStyle w:val="null3"/>
              <w:ind w:firstLine="440"/>
            </w:pPr>
            <w:r>
              <w:rPr>
                <w:sz w:val="22"/>
              </w:rPr>
              <w:t>4.保密资料的妥善保管</w:t>
            </w:r>
          </w:p>
          <w:p>
            <w:pPr>
              <w:pStyle w:val="null3"/>
              <w:ind w:firstLine="440"/>
            </w:pPr>
            <w:r>
              <w:rPr>
                <w:sz w:val="22"/>
              </w:rPr>
              <w:t>中标人须妥善保管保密资料，防止资料的丢失、被盗或泄露。如果发生保密资料保密性受损的事件，中标人应承担全部责任，并赔偿因此给采购人造成的损失。</w:t>
            </w:r>
          </w:p>
          <w:p>
            <w:pPr>
              <w:pStyle w:val="null3"/>
              <w:ind w:firstLine="442"/>
            </w:pPr>
            <w:r>
              <w:rPr>
                <w:sz w:val="22"/>
                <w:b/>
              </w:rPr>
              <w:t>（三）保密条款的例外情况</w:t>
            </w:r>
          </w:p>
          <w:p>
            <w:pPr>
              <w:pStyle w:val="null3"/>
              <w:ind w:firstLine="440"/>
            </w:pPr>
            <w:r>
              <w:rPr>
                <w:sz w:val="22"/>
              </w:rPr>
              <w:t>保密条款在某些特定情况下不适用，包括保密资料已经进入公有领域、由中标人独立开发、未从违反对采购人保密义务的人合法取得，或者在法律要求下必须披露的情况。在这些情况下，中标人应提前合理时间通知采购人，以便采购人采取必要的保护措施。</w:t>
            </w:r>
          </w:p>
          <w:p>
            <w:pPr>
              <w:pStyle w:val="null3"/>
              <w:ind w:firstLine="442"/>
            </w:pPr>
            <w:r>
              <w:rPr>
                <w:sz w:val="22"/>
                <w:b/>
              </w:rPr>
              <w:t>（四）违约责任</w:t>
            </w:r>
          </w:p>
          <w:p>
            <w:pPr>
              <w:pStyle w:val="null3"/>
              <w:ind w:firstLine="440"/>
            </w:pPr>
            <w:r>
              <w:rPr>
                <w:sz w:val="22"/>
              </w:rPr>
              <w:t>如果中标人违反了合同中的保密约定，导致采购人遭受损失，这帮人应承担相应的赔偿责任。这包括但不限于由于违约行为导致的直接经济损失、间接经济损失以及采购人为减轻损失所支付的合理费用。</w:t>
            </w:r>
          </w:p>
          <w:p>
            <w:pPr>
              <w:pStyle w:val="null3"/>
              <w:ind w:firstLine="442"/>
            </w:pPr>
            <w:r>
              <w:rPr>
                <w:sz w:val="22"/>
                <w:b/>
              </w:rPr>
              <w:t>（五）保密期限</w:t>
            </w:r>
          </w:p>
          <w:p>
            <w:pPr>
              <w:pStyle w:val="null3"/>
              <w:ind w:firstLine="440"/>
            </w:pPr>
            <w:r>
              <w:rPr>
                <w:sz w:val="22"/>
              </w:rPr>
              <w:t>本保密条款自保密资料提供或披露之日起至永久有效。即使在合同终止或解除后，运维服务单位仍然需要继续履行保密义务，确保保密资料不会因任何原因被泄露或不当使用。</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中山市市场监督管理局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中标人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 857号）及《关于进一步放开建设项目专业服务价格的通知》（发改价格〔2015〕299号）标准收取。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三、采购标的对应的中小企业划分标准所属行业，软件和信息技术服务业。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凡通过政府采购法定程序取得我市政府采购合同的中小微企业，均可向辖区内开展政府采购质押融资业务的银行机构申请办理融资业务。，1、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13143108376；6）交通银行中山分行 普惠部 杨小勇13424595554；7）中山农村商业银行 普惠金融部 杜保森13528137939/0760-88884181；8）中国邮政储蓄银行中山市分行普惠金融事业部 梁根元 15876006469；9）广发银行中山分行 交易银行部 庄焕杰0760-88862577；10）平安银行中山分行 公司管理部 刘涛 15902062164 跨境业务部 张蕾13802664960 政府业务一部 樊林 13631131569；11）中信银行中山分行 公司银行部（普惠金融部） 陈廷忠 15113386853；12）民生银行中山分行 小微金融部/普惠金融部 陈毅聪 0760-88799160；13）光大银行中山分行 公司金融部 邓敏 0760-88858067；14）招商银行中山分行 风险管理部 钟娟 0760-89981875 公司金融事业部 梁倩 0760-89981269；15）东莞银行中山分行业务部 郑康辉 0760-86939959；16）广州银行中山分行公司金融部 卢盈伶 0760-88776952 普惠业务部王淼龙13528240121；17）渤海银行中山分行 公司金融部 张砚珺0760-87911816 公司金融部 蒋华玲 0760-87911803；18）珠海华润银行中山分行 公司金融部 刘永智 0760-87500626 风险管理部 罗凯欣 0760-87500513；19）浦发银行中山分行 公司业务部 甘芷珺 13415312386；20）华兴银行中山分行 公司银行部 梁卫明 0760-88520074公司银行部 邓松华0760-88520072；21）大华银行（中国）有限公司中山分行 科技与营运部 黎骏业0760-87707696；22）创兴银行中山支行 公司业务部 温世冠 13435737447 公司业务部 吕瑒13928153346。2、中小微企业有融资需求的，可通过应收账款融资服务平台（网址： www.crcrfsp.com）和广东省中小微企业信用信息和融资对接平台（网址：https://finance.gzebsc.cn）向辖区内特定或非特定银行机构咨询并提出融资申请。3、采购人应当及时在应收账款融资服务平台（网址：www. crcrf sp.com）确认债权债务关系，支持中小微企业融资。4、中小微企业与银行机构签订政府采购质押融资合同的，由采购人牵头与中小微企业和银行机构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中山市市场监督管理局政务信息化项目2024-2027年度运维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采购包1（中山市市场监督管理局政务信息化项目2024-2027年度运维服务项目）：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采购包1（中山市市场监督管理局政务信息化项目2024-2027年度运维服务项目）：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或扫描件）。分支机构投标的，须提供隶属机构和分公司营业执照副本复印件（或扫描件），隶属机构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 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本项目不专门面向中小企业采购。</w:t>
            </w:r>
          </w:p>
        </w:tc>
      </w:tr>
    </w:tbl>
    <w:p>
      <w:pPr>
        <w:pStyle w:val="null3"/>
        <w:ind w:firstLine="480"/>
      </w:pPr>
      <w:r>
        <w:rPr/>
        <w:t>表二符合性审查表：</w:t>
      </w:r>
    </w:p>
    <w:p>
      <w:pPr>
        <w:pStyle w:val="null3"/>
      </w:pPr>
      <w:r>
        <w:rPr/>
        <w:t>采购包1（中山市市场监督管理局政务信息化项目2024-2027年度运维服务项目）：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投标（报价）总金额是固定价且是唯一的，未超过预算金额。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采购包1(中山市市场监督管理局政务信息化项目2024-2027年度运维服务项目):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中的附表一“具体技术（参数） 要求”▲条款的响应情况 (5.0分)</w:t>
            </w:r>
          </w:p>
        </w:tc>
        <w:tc>
          <w:tcPr>
            <w:tcW w:type="dxa" w:w="5076"/>
          </w:tcPr>
          <w:p>
            <w:pPr>
              <w:pStyle w:val="null3"/>
              <w:jc w:val="left"/>
            </w:pPr>
            <w:r>
              <w:rPr/>
              <w:t>考核投标人对招标文件第二章《采购需求》中具体技术(参数)要求“附表一”（★号条款除外）中“▲”条款的响应程度： 1.完全响应所有“▲”条款，全部无偏离的，得5分； 2.本项目“▲”条款参数共5条。每无偏离或正偏离一条得1分，最高得5分。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规范汉字版本，以翻译后的规范汉字版本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服务能力及对项目运维内容和范围的理解程度 (12.0分)</w:t>
            </w:r>
            <w:r>
              <w:rPr/>
              <w:t>，（等次分值选择：</w:t>
            </w:r>
            <w:r>
              <w:rPr/>
              <w:t>0.0;</w:t>
            </w:r>
            <w:r>
              <w:rPr/>
              <w:t>2.0;</w:t>
            </w:r>
            <w:r>
              <w:rPr/>
              <w:t>7.0;</w:t>
            </w:r>
            <w:r>
              <w:rPr/>
              <w:t>12.0;</w:t>
            </w:r>
            <w:r>
              <w:rPr/>
              <w:t>）</w:t>
            </w:r>
          </w:p>
        </w:tc>
        <w:tc>
          <w:tcPr>
            <w:tcW w:type="dxa" w:w="5076"/>
          </w:tcPr>
          <w:p>
            <w:pPr>
              <w:pStyle w:val="null3"/>
              <w:jc w:val="left"/>
            </w:pPr>
            <w:r>
              <w:rPr/>
              <w:t>投标人具备运行维护方面或数据治理方面的服务质量达标能力（能提供第三方机构出具的有效证明材料），且投标文件提供的方案里分别对本项目10个运维系统的具体内容和范围进行了正确、合理、详细的理解和描述，包括对现状、功能和使用情况进行分析。 1.①提供了有效的、内容符合的认证证书；②方案内容无漏缺项；③理解和分析正确、合理、详细。①至③同时满足，得12分； 2.①提供了有效的、内容符合的认证证书或其他证明材料；②方案内容无漏缺项；③理解和分析比较正确、合理性一般、比较详细。①至③同时满足，得7分； 3.①未提供有效的、内容符合的证明材料；②方案内容有漏缺项；③理解和分析比较差、欠缺合理性。出现①至③任意一项情况的，得2分。 4.未提供相关内容不得分。 注：①如为分支机构投标，取得隶属机构授权的可以沿用隶属机构证书。②认证证书指具备全国认证认可信息公共服务平台（http://cx.cnca.cn/）可查询认证资质（须提供截图）的第三方认证机构出具的证书。</w:t>
            </w:r>
          </w:p>
        </w:tc>
      </w:tr>
      <w:tr>
        <w:tc>
          <w:tcPr>
            <w:tcW w:type="dxa" w:w="922"/>
            <w:gridSpan w:val="2"/>
            <w:vMerge/>
          </w:tcPr>
          <w:p/>
        </w:tc>
        <w:tc>
          <w:tcPr>
            <w:tcW w:type="dxa" w:w="2307"/>
          </w:tcPr>
          <w:p>
            <w:pPr>
              <w:pStyle w:val="null3"/>
              <w:jc w:val="left"/>
            </w:pPr>
            <w:r>
              <w:rPr/>
              <w:t>信息安全运维服务及数据存储、网络安全管理能力 (12.0分)</w:t>
            </w:r>
            <w:r>
              <w:rPr/>
              <w:t>，（等次分值选择：</w:t>
            </w:r>
            <w:r>
              <w:rPr/>
              <w:t>0.0;</w:t>
            </w:r>
            <w:r>
              <w:rPr/>
              <w:t>2.0;</w:t>
            </w:r>
            <w:r>
              <w:rPr/>
              <w:t>7.0;</w:t>
            </w:r>
            <w:r>
              <w:rPr/>
              <w:t>12.0;</w:t>
            </w:r>
            <w:r>
              <w:rPr/>
              <w:t>）</w:t>
            </w:r>
          </w:p>
        </w:tc>
        <w:tc>
          <w:tcPr>
            <w:tcW w:type="dxa" w:w="5076"/>
          </w:tcPr>
          <w:p>
            <w:pPr>
              <w:pStyle w:val="null3"/>
              <w:jc w:val="left"/>
            </w:pPr>
            <w:r>
              <w:rPr/>
              <w:t>投标人具备维护服务方面的数据网络安全管理能力及数据存储安全管理能力（能提供第三方机构出具的有效证明材料），且信息安全运维服务方案（内容包括但不限于对采购人信息安全管理制度梳理、网络安全评估方案、信息资产梳理方案、渗透测试服务方案、安全培训方案、应急演练方案、重保服务方案）合理、可落地性强。 1.①提供了有效的、内容符合的认证证书；②方案内容无漏缺项；③方案符合采购需求要求，合理、可落地性强。①至③同时满足，得12分； 2.①提供了有效的、内容符合的认证证书或其他证明材料；②方案内容无漏缺项；③方案比较符合采购需求要求，比较合理、具备一定的可落地性。①至③同时满足，得7分； 3.①未提供有效的、内容符合的证明材料；②方案内容有漏缺项；③方案不太符合采购需求要求，合理性、可落地性欠缺。出现①至③任意一项情况的，得2分。 4.未提供相关内容不得分。 注：①如为分支机构投标，取得隶属机构授权的可以沿用隶属机构证书。②认证证书指具备全国认证认可信息公共服务平台（http://cx.cnca.cn/）可查询认证资质（须提供截图）的第三方认证机构出具的证书。</w:t>
            </w:r>
          </w:p>
        </w:tc>
      </w:tr>
      <w:tr>
        <w:tc>
          <w:tcPr>
            <w:tcW w:type="dxa" w:w="922"/>
            <w:gridSpan w:val="2"/>
            <w:vMerge/>
          </w:tcPr>
          <w:p/>
        </w:tc>
        <w:tc>
          <w:tcPr>
            <w:tcW w:type="dxa" w:w="2307"/>
          </w:tcPr>
          <w:p>
            <w:pPr>
              <w:pStyle w:val="null3"/>
              <w:jc w:val="left"/>
            </w:pPr>
            <w:r>
              <w:rPr/>
              <w:t>统一运维服务方案可行性 (10.0分)</w:t>
            </w:r>
            <w:r>
              <w:rPr/>
              <w:t>，（等次分值选择：</w:t>
            </w:r>
            <w:r>
              <w:rPr/>
              <w:t>0.0;</w:t>
            </w:r>
            <w:r>
              <w:rPr/>
              <w:t>2.0;</w:t>
            </w:r>
            <w:r>
              <w:rPr/>
              <w:t>6.0;</w:t>
            </w:r>
            <w:r>
              <w:rPr/>
              <w:t>10.0;</w:t>
            </w:r>
            <w:r>
              <w:rPr/>
              <w:t>）</w:t>
            </w:r>
          </w:p>
        </w:tc>
        <w:tc>
          <w:tcPr>
            <w:tcW w:type="dxa" w:w="5076"/>
          </w:tcPr>
          <w:p>
            <w:pPr>
              <w:pStyle w:val="null3"/>
              <w:jc w:val="left"/>
            </w:pPr>
            <w:r>
              <w:rPr/>
              <w:t>考察投标人①在“运维服务工作要求”和“运维服务工作内容”方面的统筹履约能力，制定符合实际的统一运维服务工作方案；②维护服务方面的诚信管理能力（能提供第三方机构出具的有效证明材料）。评标委员会根据投标人提供的证明材料和工作方案进行评审： 1.①方案详细完整、合理，方法具体可行，与现状完全适配，完全满足或优于招标文件要求；②提供了有效的、内容符合的认证证书。①至②同时满足，得10分； 2.①方案比较完整、有一定的合理性，方法比较可行，与现状基本适配，基本满足招标文件要求；②提供了有效的、内容符合的认证证书或其他证明材料。①至②同时满足，得6分； 3.①方案不太符合采购需求要求，合理性、可行性欠缺；②未提供有效的、内容符合的证明材料。出现①至②任意一项情况的，得2分。 4.未提供相关内容不得分。 注：①如为分支机构投标，取得隶属机构授权的可以沿用隶属机构证书。②认证证书指具备全国认证认可信息公共服务平台（http://cx.cnca.cn/）可查询认证资质（须提供截图）的第三方认证机构出具的证书。</w:t>
            </w:r>
          </w:p>
        </w:tc>
      </w:tr>
      <w:tr>
        <w:tc>
          <w:tcPr>
            <w:tcW w:type="dxa" w:w="922"/>
            <w:gridSpan w:val="2"/>
            <w:vMerge/>
          </w:tcPr>
          <w:p/>
        </w:tc>
        <w:tc>
          <w:tcPr>
            <w:tcW w:type="dxa" w:w="2307"/>
          </w:tcPr>
          <w:p>
            <w:pPr>
              <w:pStyle w:val="null3"/>
              <w:jc w:val="left"/>
            </w:pPr>
            <w:r>
              <w:rPr/>
              <w:t>系统对接服务方案 (8.0分)</w:t>
            </w:r>
          </w:p>
        </w:tc>
        <w:tc>
          <w:tcPr>
            <w:tcW w:type="dxa" w:w="5076"/>
          </w:tcPr>
          <w:p>
            <w:pPr>
              <w:pStyle w:val="null3"/>
              <w:jc w:val="left"/>
            </w:pPr>
            <w:r>
              <w:rPr/>
              <w:t>考察投标人对接中山市统一运维管理平台的方案，包括本项目10个应用系统的监控对接并提供类似的市一级对接案例说明，要求能够满足本项目实际情况、可落地性强。 （一）对投标人提供的本项目10个应用系统与中山市统一运维管理平台的监控对接方案进行评审（3分）： 1.监控对接方案完整详细无漏项，流程、步骤符合本项目实际情况，提供的对接案例详细、符合本项目情况，得3分； 2.监控对接方案内容无漏项、流程、步骤基本符合本项目实际情况，提供的对接案例基本符合本项目情况，得2分； 3.监控对接方案内容有漏项或流程、步骤不太符合本项目实际情况或提供的对接案例与本项目符合度不高，得1分； 4.未提供相关内容，得0分。 （二）对投标人提供的本项目智慧监管服务平台中的运维工作模块与中山市统一运维管理平台的数据对接方案进行评审（3分）： 1.数据对接方案完整详细，流程、步骤符合本项目实际情况，提供的对接案例详细、符合本项目情况，得3分； 2.数据对接方案基本详细，流程、步骤基本符合本项目实际情况，提供的对接案例基本符合本项目情况，得2分； 3.监控对接方案内容，流程、步骤不太符合本项目实际情况，提供的对接案例与本项目符合度不高，得1分； 4.未提供相关内容，得0分。 （三）上述监控对接或数据对接案例，如有证明材料提供，每提供1个市一级对接案例的对接证明材料（加盖业主单位公章的案例确认函或验收材料）得1分，最高得2分。</w:t>
            </w:r>
          </w:p>
        </w:tc>
      </w:tr>
      <w:tr>
        <w:tc>
          <w:tcPr>
            <w:tcW w:type="dxa" w:w="922"/>
            <w:gridSpan w:val="2"/>
            <w:vMerge/>
          </w:tcPr>
          <w:p/>
        </w:tc>
        <w:tc>
          <w:tcPr>
            <w:tcW w:type="dxa" w:w="2307"/>
          </w:tcPr>
          <w:p>
            <w:pPr>
              <w:pStyle w:val="null3"/>
              <w:jc w:val="left"/>
            </w:pPr>
            <w:r>
              <w:rPr/>
              <w:t>数据质量运维方案 (13.0分)</w:t>
            </w:r>
            <w:r>
              <w:rPr/>
              <w:t>，（等次分值选择：</w:t>
            </w:r>
            <w:r>
              <w:rPr/>
              <w:t>0.0;</w:t>
            </w:r>
            <w:r>
              <w:rPr/>
              <w:t>3.0;</w:t>
            </w:r>
            <w:r>
              <w:rPr/>
              <w:t>8.0;</w:t>
            </w:r>
            <w:r>
              <w:rPr/>
              <w:t>13.0;</w:t>
            </w:r>
            <w:r>
              <w:rPr/>
              <w:t>）</w:t>
            </w:r>
          </w:p>
        </w:tc>
        <w:tc>
          <w:tcPr>
            <w:tcW w:type="dxa" w:w="5076"/>
          </w:tcPr>
          <w:p>
            <w:pPr>
              <w:pStyle w:val="null3"/>
              <w:jc w:val="left"/>
            </w:pPr>
            <w:r>
              <w:rPr/>
              <w:t>考察投标人数据服务的运维方案，包括数据汇聚和目录维护的流程、数据治理方法和对接中山市政务大数据中心的数据共享服务方案进行整体方案评价。 ①投标人提供对本项目4个非常重要的业务系统（广东省市场准入信息系统（中山）、中山市商事登记全程电子化智能申报审批平台、中山市“一照通行”服务平台、中山市市场监督管理局智慧监管服务平台项目）与中山市涉企信息统一归集公示数据管理平台的对接方式、数据汇聚和目录维护的流程内容方案，内容无缺漏。 ②对中山市政务数据交换中心的数据汇聚和目录维护的流程、数据治理方法和对接市政务数据共享交换方式的流程和描述整体清晰，完全满足或优于采购人需求； ③对中山市政务数据交换中心数据服务方案较合理，对数据汇聚和目录维护的流程、数据治理方法和对接市政务数据共享交换方式的流程和描述有一定了解，基本满足采购人需求的； ④对中山市政务数据交换中心数据服务方案一般，对采购人数据汇聚和目录维护的流程、数据治理方法和对接市政务数据共享交换方式的流程和描述不够了解，部分满足采购人需求； ⑤数据服务方案可行性、合理性差，不太满足采购人需求。 以上评审内容： 1.①和②同时满足的，得13分； 2.①和③同时满足的，得8分； 3.①和④同时满足的，得3分； 4.不满足①或符合⑤方案不满足采购人需求或未提供方案，出现任意一项情形的不得分。</w:t>
            </w:r>
          </w:p>
        </w:tc>
      </w:tr>
      <w:tr>
        <w:tc>
          <w:tcPr>
            <w:tcW w:type="dxa" w:w="922"/>
            <w:gridSpan w:val="2"/>
            <w:vMerge w:val="restart"/>
          </w:tcPr>
          <w:p>
            <w:pPr>
              <w:pStyle w:val="null3"/>
              <w:jc w:val="center"/>
            </w:pPr>
            <w:r>
              <w:rPr/>
              <w:t>商务部分</w:t>
            </w:r>
          </w:p>
        </w:tc>
        <w:tc>
          <w:tcPr>
            <w:tcW w:type="dxa" w:w="2307"/>
          </w:tcPr>
          <w:p>
            <w:pPr>
              <w:pStyle w:val="null3"/>
              <w:jc w:val="left"/>
            </w:pPr>
            <w:r>
              <w:rPr/>
              <w:t>认证证书 (5.0分)</w:t>
            </w:r>
          </w:p>
        </w:tc>
        <w:tc>
          <w:tcPr>
            <w:tcW w:type="dxa" w:w="5076"/>
          </w:tcPr>
          <w:p>
            <w:pPr>
              <w:pStyle w:val="null3"/>
              <w:jc w:val="left"/>
            </w:pPr>
            <w:r>
              <w:rPr/>
              <w:t>1.投标人具有投标截止日前有效的信息技术服务管理体系认证证书，得2.5分； 2.投标人具有投标截止日前有效的信息安全管理体系认证证书，得2.5分； 注：1.如为分支机构投标，取得隶属机构授权的可以沿用隶属机构证书； 2.提供有效认证证书复印件或全国认证认可信息公共服务平台（网址http://cx.cnca.cn）证书查询结果为有效的网页截图，并加盖投标人公章； 3.投标人成立时间不足3个月且供应商提供书面说明未能获得证书原因的，可对应得分； 4.未按要求提供的不得分。</w:t>
            </w:r>
          </w:p>
        </w:tc>
      </w:tr>
      <w:tr>
        <w:tc>
          <w:tcPr>
            <w:tcW w:type="dxa" w:w="922"/>
            <w:gridSpan w:val="2"/>
            <w:vMerge/>
          </w:tcPr>
          <w:p/>
        </w:tc>
        <w:tc>
          <w:tcPr>
            <w:tcW w:type="dxa" w:w="2307"/>
          </w:tcPr>
          <w:p>
            <w:pPr>
              <w:pStyle w:val="null3"/>
              <w:jc w:val="left"/>
            </w:pPr>
            <w:r>
              <w:rPr/>
              <w:t>同类业绩 (2.0分)</w:t>
            </w:r>
          </w:p>
        </w:tc>
        <w:tc>
          <w:tcPr>
            <w:tcW w:type="dxa" w:w="5076"/>
          </w:tcPr>
          <w:p>
            <w:pPr>
              <w:pStyle w:val="null3"/>
              <w:jc w:val="left"/>
            </w:pPr>
            <w:r>
              <w:rPr/>
              <w:t>评标委员会根据投标人提供的同类业绩情况进行评审： 2020年1月1日以来（以合同签订日期或合同约定生效日期或合同履约期限为准）投标人承接的同类项目（软件运维或系统运维类）业绩，每提供一个项目业绩得0.5分，最高得2分。 注：1.如为分支机构投标，取得隶属机构授权的可以沿用隶属机构业绩； 2.提供业绩合同关键页复印件证明材料，合同关键页内容必须清晰阐明项目名称、双方单位名称、合同签订时间或合同约定生效日期或履约期限、合同履行主要内容）； 3.未按要求提供材料或所提供资料模糊不清的，得0分。</w:t>
            </w:r>
          </w:p>
        </w:tc>
      </w:tr>
      <w:tr>
        <w:tc>
          <w:tcPr>
            <w:tcW w:type="dxa" w:w="922"/>
            <w:gridSpan w:val="2"/>
            <w:vMerge/>
          </w:tcPr>
          <w:p/>
        </w:tc>
        <w:tc>
          <w:tcPr>
            <w:tcW w:type="dxa" w:w="2307"/>
          </w:tcPr>
          <w:p>
            <w:pPr>
              <w:pStyle w:val="null3"/>
              <w:jc w:val="left"/>
            </w:pPr>
            <w:r>
              <w:rPr/>
              <w:t>相关软件技术能力 (3.0分)</w:t>
            </w:r>
          </w:p>
        </w:tc>
        <w:tc>
          <w:tcPr>
            <w:tcW w:type="dxa" w:w="5076"/>
          </w:tcPr>
          <w:p>
            <w:pPr>
              <w:pStyle w:val="null3"/>
              <w:jc w:val="left"/>
            </w:pPr>
            <w:r>
              <w:rPr/>
              <w:t>为保障采购人信息系统的网络和信息安全，投标人须具备数据质量及安全运维方面的能力，投标人提供由国家版权局颁发的数据治理类、数据质量类、应急处置类软件著作权登记证书，须为不分具体应用领域的通用类证书或与本项目强相关的证书。每提供一类证书得1分，最高得3分。 注：1.同一类别的多个证书或同一证书包含多个类别，仅按一项计算得分，不得重复计分； 2.提供有效的软件著作权证书扫描件并加盖公章，软件著作权证书名称或内容需包含上述类别描述的相关内容，否则不得分； 3.如为分支机构投标，取得隶属机构授权的可以沿用隶属机构的证书； 4.证书上的著作权人必须与投标人（如投标人为分支机构，取得隶属机构授权的，可提供著作权人为隶属机构的证书）完全一致，否则不得分。</w:t>
            </w:r>
          </w:p>
        </w:tc>
      </w:tr>
      <w:tr>
        <w:tc>
          <w:tcPr>
            <w:tcW w:type="dxa" w:w="922"/>
            <w:gridSpan w:val="2"/>
            <w:vMerge/>
          </w:tcPr>
          <w:p/>
        </w:tc>
        <w:tc>
          <w:tcPr>
            <w:tcW w:type="dxa" w:w="2307"/>
          </w:tcPr>
          <w:p>
            <w:pPr>
              <w:pStyle w:val="null3"/>
              <w:jc w:val="left"/>
            </w:pPr>
            <w:r>
              <w:rPr/>
              <w:t>项目经理 (8.0分)</w:t>
            </w:r>
          </w:p>
        </w:tc>
        <w:tc>
          <w:tcPr>
            <w:tcW w:type="dxa" w:w="5076"/>
          </w:tcPr>
          <w:p>
            <w:pPr>
              <w:pStyle w:val="null3"/>
              <w:jc w:val="left"/>
            </w:pPr>
            <w:r>
              <w:rPr/>
              <w:t>本项目投入的项目经理： 1.具有计算机技术与软件专业技术资格的信息系统项目管理师（高级）证书； 2.具有计算机技术与软件专业技术资格的系统规划与管理师（高级）证书； 3.具有计算机技术与软件专业技术资格的系统分析师（高级）证书； 4.具有电子技术或网络或运维类或信息化类高级工程师职称； 以上证书须为同一人员所有，每提供一个证书得2分，最高得8分。 注：1.如为分支机构投标，取得隶属机构授权的可以沿用隶属机构的人员资质； 2.投标文件内提供人员证书复印件并加盖投标人公章，否则不得分； 3.提供投标截止时间前12个月内投标人为其购买任意一个月的参保证明复印件并加盖公章，若投标人未能提供该人员社保证明的，可以在投标文件中提供相关承诺书原件并加盖公章，格式自拟，承诺书内容包括但不限于以下内容：“若我单位中标，合同签订前保证按投标文件中所配备投入本项目的人员全部到位并提供所投人员以我单位名义缴纳的社保证明，否则视为我单位放弃中标资格”，视为满足评审要求。不提供或材料不齐全的不得分。</w:t>
            </w:r>
          </w:p>
        </w:tc>
      </w:tr>
      <w:tr>
        <w:tc>
          <w:tcPr>
            <w:tcW w:type="dxa" w:w="922"/>
            <w:gridSpan w:val="2"/>
            <w:vMerge/>
          </w:tcPr>
          <w:p/>
        </w:tc>
        <w:tc>
          <w:tcPr>
            <w:tcW w:type="dxa" w:w="2307"/>
          </w:tcPr>
          <w:p>
            <w:pPr>
              <w:pStyle w:val="null3"/>
              <w:jc w:val="left"/>
            </w:pPr>
            <w:r>
              <w:rPr/>
              <w:t>项目成员 (12.0分)</w:t>
            </w:r>
          </w:p>
        </w:tc>
        <w:tc>
          <w:tcPr>
            <w:tcW w:type="dxa" w:w="5076"/>
          </w:tcPr>
          <w:p>
            <w:pPr>
              <w:pStyle w:val="null3"/>
              <w:jc w:val="left"/>
            </w:pPr>
            <w:r>
              <w:rPr/>
              <w:t>1.安全服务人员：具有注册信息安全专业人员（CISP）资质证书的，每提供一个得1分，同一人只算1个证书，本项最高得3分。 2.其他项目团队成员（除了项目经理、安全服务人员之外的项目成员）：每提供：信息系统项目管理师、系统分析师、系统架构设计师、网络规划设计师、系统规划与管理师、软件设计师、网络工程师、系统集成项目管理工程师、信息安全工程师、数据库系统工程师、电子工程师、通信工程师以上任意一个证书得0.5分，同一人只算1个证书，每一类证书累计最高得2分，本项最高得9分。 注：1.如为分支机构投标，取得隶属机构授权的可以沿用隶属机构的人员资质； 2.投标文件内提供人员证书复印件并加盖投标人公章，否则不得分； 3.提供投标截止时间前12个月内投标人为其购买任意一个月的参保证明复印件并加盖公章，若投标人未能提供该人员社保证明的，可以在投标文件中提供相关承诺书原件并加盖公章，格式自拟，承诺书内容包括但不限于以下内容：“若我单位中标，合同签订前保证按投标文件中所配备投入本项目的人员全部到位并提供所投人员以我单位名义缴纳的社保证明，否则视为我单位放弃中标资格”，视为满足评审要求。不提供或材料不齐全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33"/>
          <w:b/>
        </w:rPr>
        <w:t>中山市市场监督管理局政务信息化项目</w:t>
      </w:r>
      <w:r>
        <w:rPr>
          <w:sz w:val="33"/>
          <w:b/>
        </w:rPr>
        <w:t>2024-2027</w:t>
      </w:r>
      <w:r>
        <w:rPr>
          <w:sz w:val="33"/>
          <w:b/>
        </w:rPr>
        <w:t>年度运维服务项目</w:t>
      </w:r>
    </w:p>
    <w:p>
      <w:pPr>
        <w:pStyle w:val="null3"/>
        <w:jc w:val="center"/>
      </w:pPr>
      <w:r>
        <w:rPr>
          <w:sz w:val="39"/>
          <w:b/>
        </w:rPr>
        <w:t>合　同　书</w:t>
      </w:r>
    </w:p>
    <w:p>
      <w:pPr>
        <w:pStyle w:val="null3"/>
        <w:jc w:val="center"/>
      </w:pPr>
      <w:r>
        <w:rPr/>
        <w:t xml:space="preserve"> </w:t>
      </w:r>
    </w:p>
    <w:p>
      <w:pPr>
        <w:pStyle w:val="null3"/>
        <w:jc w:val="center"/>
      </w:pPr>
      <w:r>
        <w:rPr>
          <w:sz w:val="21"/>
        </w:rPr>
        <w:t xml:space="preserve"> </w:t>
      </w:r>
    </w:p>
    <w:p>
      <w:pPr>
        <w:pStyle w:val="null3"/>
        <w:jc w:val="center"/>
      </w:pPr>
      <w:r>
        <w:rPr>
          <w:sz w:val="21"/>
        </w:rPr>
        <w:t xml:space="preserve"> </w:t>
      </w:r>
    </w:p>
    <w:p>
      <w:pPr>
        <w:pStyle w:val="null3"/>
        <w:jc w:val="center"/>
      </w:pPr>
      <w:r>
        <w:rPr>
          <w:sz w:val="21"/>
          <w:b/>
          <w:color w:val="000000"/>
        </w:rPr>
        <w:t>(</w:t>
      </w:r>
      <w:r>
        <w:rPr>
          <w:sz w:val="21"/>
          <w:b/>
          <w:color w:val="000000"/>
        </w:rPr>
        <w:t>本合同范本仅供参考，</w:t>
      </w:r>
      <w:r>
        <w:rPr>
          <w:sz w:val="21"/>
          <w:b/>
          <w:color w:val="000000"/>
        </w:rPr>
        <w:t>中标人与采购人</w:t>
      </w:r>
      <w:r>
        <w:rPr>
          <w:sz w:val="21"/>
          <w:b/>
          <w:color w:val="000000"/>
        </w:rPr>
        <w:t>可根据双方的具体要求进行修订，双方所签订的合同不得对招标文件确定的事项和成交人投标文件作实质性修改。）</w:t>
      </w:r>
    </w:p>
    <w:p>
      <w:pPr>
        <w:pStyle w:val="null3"/>
        <w:jc w:val="center"/>
      </w:pPr>
      <w:r>
        <w:rPr/>
        <w:t xml:space="preserve"> </w:t>
      </w:r>
    </w:p>
    <w:p>
      <w:pPr>
        <w:pStyle w:val="null3"/>
        <w:jc w:val="center"/>
      </w:pPr>
      <w:r>
        <w:rPr>
          <w:sz w:val="22"/>
          <w:color w:val="222222"/>
        </w:rPr>
        <w:t>采购计划编号：</w:t>
      </w:r>
      <w:r>
        <w:rPr>
          <w:sz w:val="22"/>
          <w:color w:val="222222"/>
        </w:rPr>
        <w:t>442000-2024-03414</w:t>
      </w:r>
    </w:p>
    <w:p>
      <w:pPr>
        <w:pStyle w:val="null3"/>
        <w:jc w:val="center"/>
      </w:pPr>
      <w:r>
        <w:rPr>
          <w:sz w:val="22"/>
          <w:color w:val="222222"/>
        </w:rPr>
        <w:t>项目编号：</w:t>
      </w:r>
      <w:r>
        <w:rPr>
          <w:sz w:val="22"/>
          <w:color w:val="222222"/>
        </w:rPr>
        <w:t>442000-2024-03414</w:t>
      </w:r>
    </w:p>
    <w:p>
      <w:pPr>
        <w:pStyle w:val="null3"/>
        <w:jc w:val="center"/>
      </w:pPr>
      <w:r>
        <w:rPr>
          <w:sz w:val="22"/>
          <w:color w:val="222222"/>
        </w:rPr>
        <w:t>项目名称：</w:t>
      </w:r>
      <w:r>
        <w:rPr>
          <w:sz w:val="22"/>
          <w:color w:val="222222"/>
        </w:rPr>
        <w:t>中山市市场监督管理局政务信息化项目</w:t>
      </w:r>
      <w:r>
        <w:rPr>
          <w:sz w:val="22"/>
          <w:color w:val="222222"/>
        </w:rPr>
        <w:t>2024-2027</w:t>
      </w:r>
      <w:r>
        <w:rPr>
          <w:sz w:val="22"/>
          <w:color w:val="222222"/>
        </w:rPr>
        <w:t>年度运维服务项目</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b/>
        </w:rPr>
        <w:t>甲方：中山市市场监督管理局</w:t>
      </w:r>
    </w:p>
    <w:p>
      <w:pPr>
        <w:pStyle w:val="null3"/>
        <w:jc w:val="both"/>
      </w:pPr>
      <w:r>
        <w:rPr>
          <w:sz w:val="22"/>
          <w:b/>
        </w:rPr>
        <w:t>乙方：</w:t>
      </w:r>
    </w:p>
    <w:p>
      <w:pPr>
        <w:pStyle w:val="null3"/>
        <w:jc w:val="both"/>
      </w:pPr>
      <w:r>
        <w:rPr>
          <w:sz w:val="22"/>
        </w:rPr>
        <w:t>中山市市场监督管理局（以下简称甲方）与</w:t>
      </w:r>
      <w:r>
        <w:rPr>
          <w:u w:val="single"/>
        </w:rPr>
        <w:t xml:space="preserve">           </w:t>
      </w:r>
      <w:r>
        <w:rPr>
          <w:sz w:val="22"/>
        </w:rPr>
        <w:t>（以下简称乙方）就乙方向甲方提供</w:t>
      </w:r>
      <w:r>
        <w:rPr>
          <w:sz w:val="22"/>
        </w:rPr>
        <w:t>2024-2027年度运维服务之相关事宜，经甲乙双方协商一致，签订本合同，以资双方共同遵守。</w:t>
      </w:r>
    </w:p>
    <w:p>
      <w:pPr>
        <w:pStyle w:val="null3"/>
        <w:ind w:firstLine="442"/>
        <w:jc w:val="both"/>
      </w:pPr>
      <w:r>
        <w:rPr>
          <w:sz w:val="22"/>
          <w:b/>
        </w:rPr>
        <w:t>一、项目名称、服务期限及实施地点</w:t>
      </w:r>
    </w:p>
    <w:p>
      <w:pPr>
        <w:pStyle w:val="null3"/>
        <w:ind w:firstLine="440"/>
        <w:jc w:val="both"/>
      </w:pPr>
      <w:r>
        <w:rPr>
          <w:sz w:val="22"/>
        </w:rPr>
        <w:t>（一）项目名称：中山市市场监督管理局政务信息化项目</w:t>
      </w:r>
      <w:r>
        <w:rPr>
          <w:sz w:val="22"/>
        </w:rPr>
        <w:t>2024-2027年度运维服务项目（以下简称：项目）。</w:t>
      </w:r>
    </w:p>
    <w:p>
      <w:pPr>
        <w:pStyle w:val="null3"/>
        <w:ind w:firstLine="440"/>
        <w:jc w:val="both"/>
      </w:pPr>
      <w:r>
        <w:rPr>
          <w:sz w:val="22"/>
        </w:rPr>
        <w:t>（二）服务期限：自合同签订之日起至</w:t>
      </w:r>
      <w:r>
        <w:rPr>
          <w:sz w:val="22"/>
        </w:rPr>
        <w:t>2027年6月30日止</w:t>
      </w:r>
      <w:r>
        <w:rPr>
          <w:sz w:val="22"/>
        </w:rPr>
        <w:t>。</w:t>
      </w:r>
    </w:p>
    <w:p>
      <w:pPr>
        <w:pStyle w:val="null3"/>
        <w:ind w:firstLine="440"/>
        <w:jc w:val="both"/>
      </w:pPr>
      <w:r>
        <w:rPr>
          <w:sz w:val="22"/>
        </w:rPr>
        <w:t>（三）实施地点：广东省中山市。</w:t>
      </w:r>
    </w:p>
    <w:p>
      <w:pPr>
        <w:pStyle w:val="null3"/>
        <w:ind w:firstLine="442"/>
        <w:jc w:val="both"/>
      </w:pPr>
      <w:r>
        <w:rPr>
          <w:sz w:val="22"/>
          <w:b/>
        </w:rPr>
        <w:t>二、项目具体要求</w:t>
      </w:r>
    </w:p>
    <w:p>
      <w:pPr>
        <w:pStyle w:val="null3"/>
        <w:ind w:firstLine="440"/>
        <w:jc w:val="both"/>
      </w:pPr>
      <w:r>
        <w:rPr>
          <w:sz w:val="22"/>
        </w:rPr>
        <w:t>乙方向甲方提供以下服务：</w:t>
      </w:r>
    </w:p>
    <w:p>
      <w:pPr>
        <w:pStyle w:val="null3"/>
        <w:ind w:firstLine="440"/>
        <w:jc w:val="both"/>
      </w:pPr>
      <w:r>
        <w:rPr>
          <w:sz w:val="22"/>
        </w:rPr>
        <w:t>（一）系统运维服务：</w:t>
      </w:r>
    </w:p>
    <w:p>
      <w:pPr>
        <w:pStyle w:val="null3"/>
        <w:ind w:firstLine="440"/>
        <w:jc w:val="both"/>
      </w:pPr>
      <w:r>
        <w:rPr>
          <w:sz w:val="22"/>
        </w:rPr>
        <w:t>1</w:t>
      </w:r>
      <w:r>
        <w:rPr>
          <w:sz w:val="22"/>
        </w:rPr>
        <w:t>.</w:t>
      </w:r>
      <w:r>
        <w:rPr>
          <w:sz w:val="22"/>
        </w:rPr>
        <w:t>运维服务范围：</w:t>
      </w:r>
    </w:p>
    <w:p>
      <w:pPr>
        <w:pStyle w:val="null3"/>
        <w:ind w:firstLine="440"/>
        <w:jc w:val="both"/>
      </w:pPr>
      <w:r>
        <w:rPr>
          <w:sz w:val="22"/>
        </w:rPr>
        <w:t>本项目统一运维服务期从合同约定生效之日起至</w:t>
      </w:r>
      <w:r>
        <w:rPr>
          <w:sz w:val="22"/>
        </w:rPr>
        <w:t>2027年6月30日止。其中各系统纳入统一运维具体时间如下表（具体服务期起始时间以各系统实际质保期结束为准）：</w:t>
      </w:r>
    </w:p>
    <w:tbl>
      <w:tblPr>
        <w:tblW w:w="0" w:type="auto"/>
        <w:tblBorders>
          <w:top w:val="none" w:color="000000" w:sz="4"/>
          <w:left w:val="none" w:color="000000" w:sz="4"/>
          <w:bottom w:val="none" w:color="000000" w:sz="4"/>
          <w:right w:val="none" w:color="000000" w:sz="4"/>
          <w:insideH w:val="none"/>
          <w:insideV w:val="none"/>
        </w:tblBorders>
      </w:tblPr>
      <w:tblGrid>
        <w:gridCol w:w="660"/>
        <w:gridCol w:w="3957"/>
        <w:gridCol w:w="1920"/>
        <w:gridCol w:w="1407"/>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39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信息系统名称</w:t>
            </w:r>
          </w:p>
        </w:tc>
        <w:tc>
          <w:tcPr>
            <w:tcW w:type="dxa" w:w="19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服务期起止</w:t>
            </w:r>
          </w:p>
        </w:tc>
        <w:tc>
          <w:tcPr>
            <w:tcW w:type="dxa" w:w="14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服务期</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广东省市场准入信息系统（中山）</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合同约定生效之日起至</w:t>
            </w:r>
            <w:r>
              <w:rPr>
                <w:sz w:val="22"/>
              </w:rPr>
              <w:t>2027年6月30日</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3年（以合同约定为准）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w:t>
            </w:r>
            <w:r>
              <w:rPr>
                <w:sz w:val="22"/>
              </w:rPr>
              <w:t>“一照通行”服务平台</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2024年10月18日至2027年6月30日</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2年9个月（以合同约定为准）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中山市个体工商户转型升级服务平台</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2026年1月至2027年6月30日</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1年6个月</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中山市商事登记全程电子化智能申报审批平台</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合同约定生效之日起至</w:t>
            </w:r>
            <w:r>
              <w:rPr>
                <w:sz w:val="22"/>
              </w:rPr>
              <w:t>2027年6月30日</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3年（以合同约定为准）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中山市市场监督管理局个体集群智能申报审批服务平台</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2024年11月1日至2027年6月30日</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2年8个月</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中山市涉企信息统一归集公示数据管理平台（含一二期）</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合同约定生效之日起至</w:t>
            </w:r>
            <w:r>
              <w:rPr>
                <w:sz w:val="22"/>
              </w:rPr>
              <w:t>2027年6月30日</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3年（以合同约定为准）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中山市市场监督管理局智慧监管服务平台项目</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2025年07月1日至2027年6月30日止</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2年</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中山市全国</w:t>
            </w:r>
            <w:r>
              <w:rPr>
                <w:sz w:val="22"/>
              </w:rPr>
              <w:t>12315平台话务平台信息录入应用系统</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合同约定生效之日起至</w:t>
            </w:r>
            <w:r>
              <w:rPr>
                <w:sz w:val="22"/>
              </w:rPr>
              <w:t>2027年6月30日</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3年（以合同约定为准）</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中山市市场监督管理局知识产权一体化系统</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2025年07月01日至2027年6月30日</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2年</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39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w:t>
            </w:r>
            <w:r>
              <w:rPr>
                <w:sz w:val="22"/>
              </w:rPr>
              <w:t>“香山新街市”智慧农贸平台</w:t>
            </w:r>
          </w:p>
        </w:tc>
        <w:tc>
          <w:tcPr>
            <w:tcW w:type="dxa" w:w="19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2026年12月19日至2027年6月30日</w:t>
            </w:r>
          </w:p>
        </w:tc>
        <w:tc>
          <w:tcPr>
            <w:tcW w:type="dxa" w:w="14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6个月（以合同约定为准）</w:t>
            </w:r>
          </w:p>
        </w:tc>
      </w:tr>
    </w:tbl>
    <w:p>
      <w:pPr>
        <w:pStyle w:val="null3"/>
        <w:ind w:firstLine="440"/>
        <w:jc w:val="both"/>
      </w:pPr>
      <w:r>
        <w:rPr>
          <w:sz w:val="22"/>
        </w:rPr>
        <w:t>2</w:t>
      </w:r>
      <w:r>
        <w:rPr>
          <w:sz w:val="22"/>
        </w:rPr>
        <w:t>.</w:t>
      </w:r>
      <w:r>
        <w:rPr>
          <w:sz w:val="22"/>
        </w:rPr>
        <w:t>运维服务内容：</w:t>
      </w:r>
    </w:p>
    <w:p>
      <w:pPr>
        <w:pStyle w:val="null3"/>
        <w:ind w:firstLine="440"/>
        <w:jc w:val="both"/>
      </w:pPr>
      <w:r>
        <w:rPr>
          <w:sz w:val="22"/>
        </w:rPr>
        <w:t>（</w:t>
      </w:r>
      <w:r>
        <w:rPr>
          <w:sz w:val="22"/>
        </w:rPr>
        <w:t>1</w:t>
      </w:r>
      <w:r>
        <w:rPr>
          <w:sz w:val="22"/>
        </w:rPr>
        <w:t>）日常维护</w:t>
      </w:r>
    </w:p>
    <w:p>
      <w:pPr>
        <w:pStyle w:val="null3"/>
        <w:ind w:firstLine="440"/>
        <w:jc w:val="both"/>
      </w:pPr>
      <w:r>
        <w:rPr>
          <w:sz w:val="22"/>
        </w:rPr>
        <w:t>1.1</w:t>
      </w:r>
      <w:r>
        <w:rPr>
          <w:sz w:val="22"/>
        </w:rPr>
        <w:t>系统日常维护</w:t>
      </w:r>
    </w:p>
    <w:p>
      <w:pPr>
        <w:pStyle w:val="null3"/>
        <w:ind w:firstLine="440"/>
        <w:jc w:val="both"/>
      </w:pPr>
      <w:r>
        <w:rPr>
          <w:sz w:val="22"/>
        </w:rPr>
        <w:t>提供维护服务和技术支持服务，包括系统维护、用户培训、数据初始化、技术咨询、功能完善、性能提升、故障检测、平台所有外接系统接口及外接申办接口维护及管理员新增等相关工作，保证系统软件的正常运行。</w:t>
      </w:r>
    </w:p>
    <w:p>
      <w:pPr>
        <w:pStyle w:val="null3"/>
        <w:ind w:firstLine="440"/>
        <w:jc w:val="both"/>
      </w:pPr>
      <w:r>
        <w:rPr>
          <w:sz w:val="22"/>
        </w:rPr>
        <w:t>1.2</w:t>
      </w:r>
      <w:r>
        <w:rPr>
          <w:sz w:val="22"/>
        </w:rPr>
        <w:t>系统日常巡检</w:t>
      </w:r>
    </w:p>
    <w:p>
      <w:pPr>
        <w:pStyle w:val="null3"/>
        <w:ind w:firstLine="440"/>
        <w:jc w:val="both"/>
      </w:pPr>
      <w:r>
        <w:rPr>
          <w:sz w:val="22"/>
        </w:rPr>
        <w:t>每天定时巡检，对系统的基础环境进行检查（包含操作系统、主机资源、中间件、数据库以及网络等），检查各功能模块能否正常访问，预防性维护检查。</w:t>
      </w:r>
    </w:p>
    <w:p>
      <w:pPr>
        <w:pStyle w:val="null3"/>
        <w:ind w:firstLine="440"/>
        <w:jc w:val="both"/>
      </w:pPr>
      <w:r>
        <w:rPr>
          <w:sz w:val="22"/>
        </w:rPr>
        <w:t>1.3</w:t>
      </w:r>
      <w:r>
        <w:rPr>
          <w:sz w:val="22"/>
        </w:rPr>
        <w:t>系统运行状态监控及预警</w:t>
      </w:r>
    </w:p>
    <w:p>
      <w:pPr>
        <w:pStyle w:val="null3"/>
        <w:ind w:firstLine="440"/>
        <w:jc w:val="both"/>
      </w:pPr>
      <w:r>
        <w:rPr>
          <w:sz w:val="22"/>
        </w:rPr>
        <w:t>每天定时监控系统运行情况（包含软硬件情况），配合政务云资源提供单位等，对发现的问题及时报告并尽快解决。</w:t>
      </w:r>
    </w:p>
    <w:p>
      <w:pPr>
        <w:pStyle w:val="null3"/>
        <w:ind w:firstLine="440"/>
        <w:jc w:val="both"/>
      </w:pPr>
      <w:r>
        <w:rPr>
          <w:sz w:val="22"/>
        </w:rPr>
        <w:t>1.4</w:t>
      </w:r>
      <w:r>
        <w:rPr>
          <w:sz w:val="22"/>
        </w:rPr>
        <w:t>系统故障检测及排除</w:t>
      </w:r>
    </w:p>
    <w:p>
      <w:pPr>
        <w:pStyle w:val="null3"/>
        <w:ind w:firstLine="440"/>
        <w:jc w:val="both"/>
      </w:pPr>
      <w:r>
        <w:rPr>
          <w:sz w:val="22"/>
        </w:rPr>
        <w:t>包括系统紧急救援服务。如出现故障导致系统不能正常工作，</w:t>
      </w:r>
      <w:r>
        <w:rPr>
          <w:sz w:val="22"/>
        </w:rPr>
        <w:t>乙方</w:t>
      </w:r>
      <w:r>
        <w:rPr>
          <w:sz w:val="22"/>
        </w:rPr>
        <w:t>须尽快解决问题并保证系统完全恢复正常运行。如果不能解决问题，</w:t>
      </w:r>
      <w:r>
        <w:rPr>
          <w:sz w:val="22"/>
        </w:rPr>
        <w:t>乙方</w:t>
      </w:r>
      <w:r>
        <w:rPr>
          <w:sz w:val="22"/>
        </w:rPr>
        <w:t>需自行请专家或其他高级技术人员对系统情况进行分析直至解决问题。</w:t>
      </w:r>
      <w:r>
        <w:rPr>
          <w:sz w:val="22"/>
        </w:rPr>
        <w:t>乙方</w:t>
      </w:r>
      <w:r>
        <w:rPr>
          <w:sz w:val="22"/>
        </w:rPr>
        <w:t>在接到</w:t>
      </w:r>
      <w:r>
        <w:rPr>
          <w:sz w:val="22"/>
        </w:rPr>
        <w:t>甲方</w:t>
      </w:r>
      <w:r>
        <w:rPr>
          <w:sz w:val="22"/>
        </w:rPr>
        <w:t>的现场系统维护请求后需迅速响应，对宕机或紧急恢复等严重问题，按照时间要求快速处理。</w:t>
      </w:r>
      <w:r>
        <w:rPr>
          <w:sz w:val="22"/>
        </w:rPr>
        <w:t xml:space="preserve">  </w:t>
      </w:r>
    </w:p>
    <w:p>
      <w:pPr>
        <w:pStyle w:val="null3"/>
        <w:ind w:firstLine="440"/>
        <w:jc w:val="both"/>
      </w:pPr>
      <w:r>
        <w:rPr>
          <w:sz w:val="22"/>
        </w:rPr>
        <w:t>1.5</w:t>
      </w:r>
      <w:r>
        <w:rPr>
          <w:sz w:val="22"/>
        </w:rPr>
        <w:t>配置维护</w:t>
      </w:r>
    </w:p>
    <w:p>
      <w:pPr>
        <w:pStyle w:val="null3"/>
        <w:ind w:firstLine="440"/>
        <w:jc w:val="both"/>
      </w:pPr>
      <w:r>
        <w:rPr>
          <w:sz w:val="22"/>
        </w:rPr>
        <w:t>升级维护、配置变更等。</w:t>
      </w:r>
    </w:p>
    <w:p>
      <w:pPr>
        <w:pStyle w:val="null3"/>
        <w:ind w:firstLine="440"/>
        <w:jc w:val="both"/>
      </w:pPr>
      <w:r>
        <w:rPr>
          <w:sz w:val="22"/>
        </w:rPr>
        <w:t>1.6</w:t>
      </w:r>
      <w:r>
        <w:rPr>
          <w:sz w:val="22"/>
        </w:rPr>
        <w:t>咨询服务</w:t>
      </w:r>
    </w:p>
    <w:p>
      <w:pPr>
        <w:pStyle w:val="null3"/>
        <w:ind w:firstLine="440"/>
        <w:jc w:val="both"/>
      </w:pPr>
      <w:r>
        <w:rPr>
          <w:sz w:val="22"/>
        </w:rPr>
        <w:t>提供电话、线上和现场技术咨询和技术支持服务。</w:t>
      </w:r>
    </w:p>
    <w:p>
      <w:pPr>
        <w:pStyle w:val="null3"/>
        <w:ind w:firstLine="440"/>
        <w:jc w:val="both"/>
      </w:pPr>
      <w:r>
        <w:rPr>
          <w:sz w:val="22"/>
        </w:rPr>
        <w:t>1.7</w:t>
      </w:r>
      <w:r>
        <w:rPr>
          <w:sz w:val="22"/>
        </w:rPr>
        <w:t>权限管理</w:t>
      </w:r>
    </w:p>
    <w:p>
      <w:pPr>
        <w:pStyle w:val="null3"/>
        <w:ind w:firstLine="440"/>
        <w:jc w:val="both"/>
      </w:pPr>
      <w:r>
        <w:rPr>
          <w:sz w:val="22"/>
        </w:rPr>
        <w:t>负责对系统后台管理的维护，包括系统用户组织、功能组合、权限配置等。</w:t>
      </w:r>
    </w:p>
    <w:p>
      <w:pPr>
        <w:pStyle w:val="null3"/>
        <w:ind w:firstLine="440"/>
        <w:jc w:val="both"/>
      </w:pPr>
      <w:r>
        <w:rPr>
          <w:sz w:val="22"/>
        </w:rPr>
        <w:t>1.8</w:t>
      </w:r>
      <w:r>
        <w:rPr>
          <w:sz w:val="22"/>
        </w:rPr>
        <w:t>日常运维报障工单处理</w:t>
      </w:r>
    </w:p>
    <w:p>
      <w:pPr>
        <w:pStyle w:val="null3"/>
        <w:ind w:firstLine="440"/>
        <w:jc w:val="both"/>
      </w:pPr>
      <w:r>
        <w:rPr>
          <w:sz w:val="22"/>
        </w:rPr>
        <w:t>按</w:t>
      </w:r>
      <w:r>
        <w:rPr>
          <w:sz w:val="22"/>
        </w:rPr>
        <w:t>甲方</w:t>
      </w:r>
      <w:r>
        <w:rPr>
          <w:sz w:val="22"/>
        </w:rPr>
        <w:t>内部运维制度要求完成运维报障工单的处理，包括信息系统日常运行过程中各类业务咨询、操作指导、故障处理、配置变更、权限调整、数据修改、需求变更等，并及时反馈工单的处理完成情况。</w:t>
      </w:r>
    </w:p>
    <w:p>
      <w:pPr>
        <w:pStyle w:val="null3"/>
        <w:ind w:firstLine="440"/>
        <w:jc w:val="both"/>
      </w:pPr>
      <w:r>
        <w:rPr>
          <w:sz w:val="22"/>
        </w:rPr>
        <w:t>1.9</w:t>
      </w:r>
      <w:r>
        <w:rPr>
          <w:sz w:val="22"/>
        </w:rPr>
        <w:t>资产管理</w:t>
      </w:r>
    </w:p>
    <w:p>
      <w:pPr>
        <w:pStyle w:val="null3"/>
        <w:ind w:firstLine="440"/>
        <w:jc w:val="both"/>
      </w:pPr>
      <w:r>
        <w:rPr>
          <w:sz w:val="22"/>
        </w:rPr>
        <w:t>按</w:t>
      </w:r>
      <w:r>
        <w:rPr>
          <w:sz w:val="22"/>
        </w:rPr>
        <w:t>甲方</w:t>
      </w:r>
      <w:r>
        <w:rPr>
          <w:sz w:val="22"/>
        </w:rPr>
        <w:t>的要求，定期梳理信息系统的各类</w:t>
      </w:r>
      <w:r>
        <w:rPr>
          <w:sz w:val="22"/>
        </w:rPr>
        <w:t>信息化</w:t>
      </w:r>
      <w:r>
        <w:rPr>
          <w:sz w:val="22"/>
        </w:rPr>
        <w:t>资产，形成资产管理台账并在</w:t>
      </w:r>
      <w:r>
        <w:rPr>
          <w:sz w:val="22"/>
        </w:rPr>
        <w:t>甲方</w:t>
      </w:r>
      <w:r>
        <w:rPr>
          <w:sz w:val="22"/>
        </w:rPr>
        <w:t>的相关系统更新资产数据。</w:t>
      </w:r>
    </w:p>
    <w:p>
      <w:pPr>
        <w:pStyle w:val="null3"/>
        <w:ind w:firstLine="440"/>
        <w:jc w:val="both"/>
      </w:pPr>
      <w:r>
        <w:rPr>
          <w:sz w:val="22"/>
        </w:rPr>
        <w:t>（</w:t>
      </w:r>
      <w:r>
        <w:rPr>
          <w:sz w:val="22"/>
        </w:rPr>
        <w:t>2</w:t>
      </w:r>
      <w:r>
        <w:rPr>
          <w:sz w:val="22"/>
        </w:rPr>
        <w:t>）系统优化</w:t>
      </w:r>
    </w:p>
    <w:p>
      <w:pPr>
        <w:pStyle w:val="null3"/>
        <w:ind w:firstLine="440"/>
        <w:jc w:val="both"/>
      </w:pPr>
      <w:r>
        <w:rPr>
          <w:sz w:val="22"/>
        </w:rPr>
        <w:t>2.1</w:t>
      </w:r>
      <w:r>
        <w:rPr>
          <w:sz w:val="22"/>
        </w:rPr>
        <w:t>系统补丁及接口升级服务</w:t>
      </w:r>
    </w:p>
    <w:p>
      <w:pPr>
        <w:pStyle w:val="null3"/>
        <w:ind w:firstLine="440"/>
        <w:jc w:val="both"/>
      </w:pPr>
      <w:r>
        <w:rPr>
          <w:sz w:val="22"/>
        </w:rPr>
        <w:t>提供系统的完善性功能补丁包，根据数据结构的变化提供接口优化和调试的服务。</w:t>
      </w:r>
    </w:p>
    <w:p>
      <w:pPr>
        <w:pStyle w:val="null3"/>
        <w:ind w:firstLine="440"/>
        <w:jc w:val="both"/>
      </w:pPr>
      <w:r>
        <w:rPr>
          <w:sz w:val="22"/>
        </w:rPr>
        <w:t>2.2</w:t>
      </w:r>
      <w:r>
        <w:rPr>
          <w:sz w:val="22"/>
        </w:rPr>
        <w:t>系统安全相关优化工作</w:t>
      </w:r>
    </w:p>
    <w:p>
      <w:pPr>
        <w:pStyle w:val="null3"/>
        <w:ind w:firstLine="440"/>
        <w:jc w:val="both"/>
      </w:pPr>
      <w:r>
        <w:rPr>
          <w:sz w:val="22"/>
        </w:rPr>
        <w:t>配合甲方及相关安全部门开展各类安全相关工作，对系统进行必要的安全优化处理，包括安全自查、代码检测、操作系统、数据库和应用等存在的各类漏洞修复并形成闭环管理。</w:t>
      </w:r>
    </w:p>
    <w:p>
      <w:pPr>
        <w:pStyle w:val="null3"/>
        <w:ind w:firstLine="440"/>
        <w:jc w:val="both"/>
      </w:pPr>
      <w:r>
        <w:rPr>
          <w:sz w:val="22"/>
        </w:rPr>
        <w:t>2.3</w:t>
      </w:r>
      <w:r>
        <w:rPr>
          <w:sz w:val="22"/>
        </w:rPr>
        <w:t>应用软件适应性优化服务</w:t>
      </w:r>
    </w:p>
    <w:p>
      <w:pPr>
        <w:pStyle w:val="null3"/>
        <w:ind w:firstLine="440"/>
        <w:jc w:val="both"/>
      </w:pPr>
      <w:r>
        <w:rPr>
          <w:sz w:val="22"/>
        </w:rPr>
        <w:t>在甲方要求的时限内完成系统已有模块或功能的适应性修改优化。</w:t>
      </w:r>
    </w:p>
    <w:p>
      <w:pPr>
        <w:pStyle w:val="null3"/>
        <w:ind w:firstLine="440"/>
        <w:jc w:val="both"/>
      </w:pPr>
      <w:r>
        <w:rPr>
          <w:sz w:val="22"/>
        </w:rPr>
        <w:t>2.4</w:t>
      </w:r>
      <w:r>
        <w:rPr>
          <w:sz w:val="22"/>
        </w:rPr>
        <w:t>数据库优化</w:t>
      </w:r>
    </w:p>
    <w:p>
      <w:pPr>
        <w:pStyle w:val="null3"/>
        <w:ind w:firstLine="440"/>
        <w:jc w:val="both"/>
      </w:pPr>
      <w:r>
        <w:rPr>
          <w:sz w:val="22"/>
        </w:rPr>
        <w:t>定期对数据库进行分析，优化数据存储算法，提高读写性能。</w:t>
      </w:r>
    </w:p>
    <w:p>
      <w:pPr>
        <w:pStyle w:val="null3"/>
        <w:ind w:firstLine="440"/>
        <w:jc w:val="both"/>
      </w:pPr>
      <w:r>
        <w:rPr>
          <w:sz w:val="22"/>
        </w:rPr>
        <w:t>2.5</w:t>
      </w:r>
      <w:r>
        <w:rPr>
          <w:sz w:val="22"/>
        </w:rPr>
        <w:t>Bug修复服务</w:t>
      </w:r>
    </w:p>
    <w:p>
      <w:pPr>
        <w:pStyle w:val="null3"/>
        <w:ind w:firstLine="440"/>
        <w:jc w:val="both"/>
      </w:pPr>
      <w:r>
        <w:rPr>
          <w:sz w:val="22"/>
        </w:rPr>
        <w:t>提供</w:t>
      </w:r>
      <w:r>
        <w:rPr>
          <w:sz w:val="22"/>
        </w:rPr>
        <w:t>Bug修复服务，乙方应能主动、及时的发现、分析系统BUG，对于甲方可提供程序源码的系统进行纠错性修复。</w:t>
      </w:r>
    </w:p>
    <w:p>
      <w:pPr>
        <w:pStyle w:val="null3"/>
        <w:ind w:firstLine="440"/>
        <w:jc w:val="both"/>
      </w:pPr>
      <w:r>
        <w:rPr>
          <w:sz w:val="22"/>
        </w:rPr>
        <w:t>2.6</w:t>
      </w:r>
      <w:r>
        <w:rPr>
          <w:sz w:val="22"/>
        </w:rPr>
        <w:t>系统重部署及调试服务</w:t>
      </w:r>
    </w:p>
    <w:p>
      <w:pPr>
        <w:pStyle w:val="null3"/>
        <w:ind w:firstLine="440"/>
        <w:jc w:val="both"/>
      </w:pPr>
      <w:r>
        <w:rPr>
          <w:sz w:val="22"/>
        </w:rPr>
        <w:t>提供系统的数据库、中间件等系统软件的部署服务。</w:t>
      </w:r>
    </w:p>
    <w:p>
      <w:pPr>
        <w:pStyle w:val="null3"/>
        <w:ind w:firstLine="440"/>
        <w:jc w:val="both"/>
      </w:pPr>
      <w:r>
        <w:rPr>
          <w:sz w:val="22"/>
        </w:rPr>
        <w:t>（</w:t>
      </w:r>
      <w:r>
        <w:rPr>
          <w:sz w:val="22"/>
        </w:rPr>
        <w:t>3</w:t>
      </w:r>
      <w:r>
        <w:rPr>
          <w:sz w:val="22"/>
        </w:rPr>
        <w:t>）数据服务</w:t>
      </w:r>
    </w:p>
    <w:p>
      <w:pPr>
        <w:pStyle w:val="null3"/>
        <w:ind w:firstLine="440"/>
        <w:jc w:val="both"/>
      </w:pPr>
      <w:r>
        <w:rPr>
          <w:sz w:val="22"/>
        </w:rPr>
        <w:t>3.1</w:t>
      </w:r>
      <w:r>
        <w:rPr>
          <w:sz w:val="22"/>
        </w:rPr>
        <w:t>数据定制化查询统计服务</w:t>
      </w:r>
    </w:p>
    <w:p>
      <w:pPr>
        <w:pStyle w:val="null3"/>
        <w:ind w:firstLine="440"/>
        <w:jc w:val="both"/>
      </w:pPr>
      <w:r>
        <w:rPr>
          <w:sz w:val="22"/>
        </w:rPr>
        <w:t>提供数据查询统计服务，根据甲方的定制化需求，协助查询、统计、导出系统各类数据。</w:t>
      </w:r>
    </w:p>
    <w:p>
      <w:pPr>
        <w:pStyle w:val="null3"/>
        <w:ind w:firstLine="440"/>
        <w:jc w:val="both"/>
      </w:pPr>
      <w:r>
        <w:rPr>
          <w:sz w:val="22"/>
        </w:rPr>
        <w:t>3.2</w:t>
      </w:r>
      <w:r>
        <w:rPr>
          <w:sz w:val="22"/>
        </w:rPr>
        <w:t>数据维护服务</w:t>
      </w:r>
    </w:p>
    <w:p>
      <w:pPr>
        <w:pStyle w:val="null3"/>
        <w:ind w:firstLine="440"/>
        <w:jc w:val="both"/>
      </w:pPr>
      <w:r>
        <w:rPr>
          <w:sz w:val="22"/>
        </w:rPr>
        <w:t>定期对系统历史数据进行修正，解决因数据不完整、逻辑错误等原因造成无法通过系统的问题。定期对系统数据库进行备份，保障系统数据完整，防止数据因系统故障而丢失，并提供数据的恢复服务。</w:t>
      </w:r>
    </w:p>
    <w:p>
      <w:pPr>
        <w:pStyle w:val="null3"/>
        <w:ind w:firstLine="440"/>
        <w:jc w:val="both"/>
      </w:pPr>
      <w:r>
        <w:rPr>
          <w:sz w:val="22"/>
        </w:rPr>
        <w:t>3.3</w:t>
      </w:r>
      <w:r>
        <w:rPr>
          <w:sz w:val="22"/>
        </w:rPr>
        <w:t>数据资源管理服务</w:t>
      </w:r>
    </w:p>
    <w:p>
      <w:pPr>
        <w:pStyle w:val="null3"/>
        <w:ind w:firstLine="440"/>
        <w:jc w:val="both"/>
      </w:pPr>
      <w:r>
        <w:rPr>
          <w:sz w:val="22"/>
        </w:rPr>
        <w:t>提供数据资源管理服务，包括归集梳理系统的业务数据；对数据资源进行编目、挂接；针对未能按照数据更新频率更新的数据资源目录整理并报送甲方；对共享交换的数据资源目录数据，要每天与甲方内部数据中心的数据量进行校对，确保对外共享数据的完整性；针对数据资源目录包括但不限于交换、统计等的数据进行审查核对工作。</w:t>
      </w:r>
    </w:p>
    <w:p>
      <w:pPr>
        <w:pStyle w:val="null3"/>
        <w:ind w:firstLine="440"/>
        <w:jc w:val="both"/>
      </w:pPr>
      <w:r>
        <w:rPr>
          <w:sz w:val="22"/>
        </w:rPr>
        <w:t>（</w:t>
      </w:r>
      <w:r>
        <w:rPr>
          <w:sz w:val="22"/>
        </w:rPr>
        <w:t>4</w:t>
      </w:r>
      <w:r>
        <w:rPr>
          <w:sz w:val="22"/>
        </w:rPr>
        <w:t>）文档服务</w:t>
      </w:r>
    </w:p>
    <w:p>
      <w:pPr>
        <w:pStyle w:val="null3"/>
        <w:ind w:firstLine="440"/>
        <w:jc w:val="both"/>
      </w:pPr>
      <w:r>
        <w:rPr>
          <w:sz w:val="22"/>
        </w:rPr>
        <w:t>4.1</w:t>
      </w:r>
      <w:r>
        <w:rPr>
          <w:sz w:val="22"/>
        </w:rPr>
        <w:t>运维成果文档</w:t>
      </w:r>
    </w:p>
    <w:p>
      <w:pPr>
        <w:pStyle w:val="null3"/>
        <w:ind w:firstLine="440"/>
        <w:jc w:val="both"/>
      </w:pPr>
      <w:r>
        <w:rPr>
          <w:sz w:val="22"/>
        </w:rPr>
        <w:t>每个月按时提交信息系统的当前月度运维报告，每半年提交信息系统的当前半年度运维报告。上述报告内容包括但不限于业务咨询、操作指导、系统巡检记录、数据备份记录、系统漏洞修复、故障排除、培训记录、工单完成情况统计等。</w:t>
      </w:r>
    </w:p>
    <w:p>
      <w:pPr>
        <w:pStyle w:val="null3"/>
        <w:ind w:firstLine="440"/>
        <w:jc w:val="both"/>
      </w:pPr>
      <w:r>
        <w:rPr>
          <w:sz w:val="22"/>
        </w:rPr>
        <w:t>4.2</w:t>
      </w:r>
      <w:r>
        <w:rPr>
          <w:sz w:val="22"/>
        </w:rPr>
        <w:t>运维专题报告</w:t>
      </w:r>
    </w:p>
    <w:p>
      <w:pPr>
        <w:pStyle w:val="null3"/>
        <w:ind w:firstLine="440"/>
        <w:jc w:val="both"/>
      </w:pPr>
      <w:r>
        <w:rPr>
          <w:sz w:val="22"/>
        </w:rPr>
        <w:t>在日常的运维过程中，针对发现问题的处理情况，形成专题运维报告报送甲方，内容包括但不限于存在问题描述、解决方案、处理结果等。</w:t>
      </w:r>
    </w:p>
    <w:p>
      <w:pPr>
        <w:pStyle w:val="null3"/>
        <w:ind w:firstLine="440"/>
        <w:jc w:val="both"/>
      </w:pPr>
      <w:r>
        <w:rPr>
          <w:sz w:val="22"/>
        </w:rPr>
        <w:t>4.3</w:t>
      </w:r>
      <w:r>
        <w:rPr>
          <w:sz w:val="22"/>
        </w:rPr>
        <w:t>系统自查报告（表）</w:t>
      </w:r>
    </w:p>
    <w:p>
      <w:pPr>
        <w:pStyle w:val="null3"/>
        <w:ind w:firstLine="440"/>
        <w:jc w:val="both"/>
      </w:pPr>
      <w:r>
        <w:rPr>
          <w:sz w:val="22"/>
        </w:rPr>
        <w:t>根据甲方的要求，开展系统自查并形成报告（表）文档。</w:t>
      </w:r>
    </w:p>
    <w:p>
      <w:pPr>
        <w:pStyle w:val="null3"/>
        <w:ind w:firstLine="440"/>
        <w:jc w:val="both"/>
      </w:pPr>
      <w:r>
        <w:rPr>
          <w:sz w:val="22"/>
        </w:rPr>
        <w:t>4.4</w:t>
      </w:r>
      <w:r>
        <w:rPr>
          <w:sz w:val="22"/>
        </w:rPr>
        <w:t>需求文档整理</w:t>
      </w:r>
    </w:p>
    <w:p>
      <w:pPr>
        <w:pStyle w:val="null3"/>
        <w:ind w:firstLine="440"/>
        <w:jc w:val="both"/>
      </w:pPr>
      <w:r>
        <w:rPr>
          <w:sz w:val="22"/>
        </w:rPr>
        <w:t>根据业务变化情况，配合甲方整理新业务需求</w:t>
      </w:r>
      <w:r>
        <w:rPr>
          <w:sz w:val="22"/>
        </w:rPr>
        <w:t>,并形成文档报送甲方。</w:t>
      </w:r>
    </w:p>
    <w:p>
      <w:pPr>
        <w:pStyle w:val="null3"/>
        <w:ind w:firstLine="440"/>
        <w:jc w:val="both"/>
      </w:pPr>
      <w:r>
        <w:rPr>
          <w:sz w:val="22"/>
        </w:rPr>
        <w:t>4.5</w:t>
      </w:r>
      <w:r>
        <w:rPr>
          <w:sz w:val="22"/>
        </w:rPr>
        <w:t>运维考核</w:t>
      </w:r>
    </w:p>
    <w:p>
      <w:pPr>
        <w:pStyle w:val="null3"/>
        <w:ind w:firstLine="440"/>
        <w:jc w:val="both"/>
      </w:pPr>
      <w:r>
        <w:rPr>
          <w:sz w:val="22"/>
        </w:rPr>
        <w:t>协助甲方定期（每半年）开展系统运维成效考核服务，包括但不限于量化考核指标（能反映运维成效的指标），制定考核计划，最终形成考核报告。</w:t>
      </w:r>
    </w:p>
    <w:p>
      <w:pPr>
        <w:pStyle w:val="null3"/>
        <w:ind w:firstLine="440"/>
        <w:jc w:val="both"/>
      </w:pPr>
      <w:r>
        <w:rPr>
          <w:sz w:val="22"/>
        </w:rPr>
        <w:t>4.6</w:t>
      </w:r>
      <w:r>
        <w:rPr>
          <w:sz w:val="22"/>
        </w:rPr>
        <w:t>满意度调查</w:t>
      </w:r>
    </w:p>
    <w:p>
      <w:pPr>
        <w:pStyle w:val="null3"/>
        <w:ind w:firstLine="440"/>
        <w:jc w:val="both"/>
      </w:pPr>
      <w:r>
        <w:rPr>
          <w:sz w:val="22"/>
        </w:rPr>
        <w:t>配合甲方开展用户满意度调查，并形成文档。</w:t>
      </w:r>
    </w:p>
    <w:p>
      <w:pPr>
        <w:pStyle w:val="null3"/>
        <w:ind w:firstLine="440"/>
        <w:jc w:val="both"/>
      </w:pPr>
      <w:r>
        <w:rPr>
          <w:sz w:val="22"/>
        </w:rPr>
        <w:t>（</w:t>
      </w:r>
      <w:r>
        <w:rPr>
          <w:sz w:val="22"/>
        </w:rPr>
        <w:t>5</w:t>
      </w:r>
      <w:r>
        <w:rPr>
          <w:sz w:val="22"/>
        </w:rPr>
        <w:t>）培训服务</w:t>
      </w:r>
    </w:p>
    <w:p>
      <w:pPr>
        <w:pStyle w:val="null3"/>
        <w:ind w:firstLine="440"/>
        <w:jc w:val="both"/>
      </w:pPr>
      <w:r>
        <w:rPr>
          <w:sz w:val="22"/>
        </w:rPr>
        <w:t>在运维期间，若</w:t>
      </w:r>
      <w:r>
        <w:rPr>
          <w:sz w:val="22"/>
        </w:rPr>
        <w:t>甲方</w:t>
      </w:r>
      <w:r>
        <w:rPr>
          <w:sz w:val="22"/>
        </w:rPr>
        <w:t>提出培训需求，</w:t>
      </w:r>
      <w:r>
        <w:rPr>
          <w:sz w:val="22"/>
        </w:rPr>
        <w:t>乙方</w:t>
      </w:r>
      <w:r>
        <w:rPr>
          <w:sz w:val="22"/>
        </w:rPr>
        <w:t>需及时作出响应，并安排讲师进行培训。</w:t>
      </w:r>
    </w:p>
    <w:p>
      <w:pPr>
        <w:pStyle w:val="null3"/>
        <w:ind w:firstLine="440"/>
        <w:jc w:val="both"/>
      </w:pPr>
      <w:r>
        <w:rPr>
          <w:sz w:val="22"/>
        </w:rPr>
        <w:t>根据</w:t>
      </w:r>
      <w:r>
        <w:rPr>
          <w:sz w:val="22"/>
        </w:rPr>
        <w:t>甲方</w:t>
      </w:r>
      <w:r>
        <w:rPr>
          <w:sz w:val="22"/>
        </w:rPr>
        <w:t>实际需要，在</w:t>
      </w:r>
      <w:r>
        <w:rPr>
          <w:sz w:val="22"/>
        </w:rPr>
        <w:t>甲方</w:t>
      </w:r>
      <w:r>
        <w:rPr>
          <w:sz w:val="22"/>
        </w:rPr>
        <w:t>指定范围内提供针对本项目信息系统系统架构设计、业务数据流、模块与模块之间关系，系统数据库结构关系和对数据库、应用服务器监控、系统调优专业课程及业务系统操作等的相关培训。</w:t>
      </w:r>
      <w:r>
        <w:rPr>
          <w:sz w:val="22"/>
        </w:rPr>
        <w:t>乙方</w:t>
      </w:r>
      <w:r>
        <w:rPr>
          <w:sz w:val="22"/>
        </w:rPr>
        <w:t>需提供相关培训教材及培训用具。</w:t>
      </w:r>
    </w:p>
    <w:p>
      <w:pPr>
        <w:pStyle w:val="null3"/>
        <w:ind w:firstLine="440"/>
        <w:jc w:val="both"/>
      </w:pPr>
      <w:r>
        <w:rPr>
          <w:sz w:val="22"/>
        </w:rPr>
        <w:t>（</w:t>
      </w:r>
      <w:r>
        <w:rPr>
          <w:sz w:val="22"/>
        </w:rPr>
        <w:t>6</w:t>
      </w:r>
      <w:r>
        <w:rPr>
          <w:sz w:val="22"/>
        </w:rPr>
        <w:t>）应急响应服务</w:t>
      </w:r>
    </w:p>
    <w:p>
      <w:pPr>
        <w:pStyle w:val="null3"/>
        <w:ind w:firstLine="440"/>
        <w:jc w:val="both"/>
      </w:pPr>
      <w:r>
        <w:rPr>
          <w:sz w:val="22"/>
        </w:rPr>
        <w:t>乙方</w:t>
      </w:r>
      <w:r>
        <w:rPr>
          <w:sz w:val="22"/>
        </w:rPr>
        <w:t>需要根据本项目突发事件的影响程度，将服务响应的事件分为</w:t>
      </w:r>
      <w:r>
        <w:rPr>
          <w:sz w:val="22"/>
        </w:rPr>
        <w:t>4个等级，并对不同等级的事件作出恢复、解决时间的要求，其中1级事件需在故障出现后30分钟内恢复系统正常，2级事件系统恢复时间为1小时内，3、4级事件需在2小时内恢复系统正常或给出应急处理办法；1级事件在8小时内分析故障原因，并提出问题分析报告和整改方案，2、3级事件在24小时内分析故障原因，并提出问题分析报告和整改方案，4级事件在48小时内分析故障原因，并提出问题分析报告和整改方案，各突发事件响应要求详见下表。</w:t>
      </w:r>
    </w:p>
    <w:tbl>
      <w:tblPr>
        <w:tblW w:w="0" w:type="auto"/>
        <w:tblBorders>
          <w:top w:val="none" w:color="000000" w:sz="4"/>
          <w:left w:val="none" w:color="000000" w:sz="4"/>
          <w:bottom w:val="none" w:color="000000" w:sz="4"/>
          <w:right w:val="none" w:color="000000" w:sz="4"/>
          <w:insideH w:val="none"/>
          <w:insideV w:val="none"/>
        </w:tblBorders>
      </w:tblPr>
      <w:tblGrid>
        <w:gridCol w:w="1144"/>
        <w:gridCol w:w="2346"/>
        <w:gridCol w:w="2097"/>
        <w:gridCol w:w="2698"/>
      </w:tblGrid>
      <w:tr>
        <w:tc>
          <w:tcPr>
            <w:tcW w:type="dxa" w:w="11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事件等级</w:t>
            </w:r>
          </w:p>
        </w:tc>
        <w:tc>
          <w:tcPr>
            <w:tcW w:type="dxa" w:w="23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事件定义</w:t>
            </w:r>
          </w:p>
        </w:tc>
        <w:tc>
          <w:tcPr>
            <w:tcW w:type="dxa" w:w="20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恢复时间</w:t>
            </w:r>
          </w:p>
        </w:tc>
        <w:tc>
          <w:tcPr>
            <w:tcW w:type="dxa" w:w="2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解决时间</w:t>
            </w:r>
          </w:p>
        </w:tc>
      </w:tr>
      <w:tr>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1级事件</w:t>
            </w:r>
          </w:p>
        </w:tc>
        <w:tc>
          <w:tcPr>
            <w:tcW w:type="dxa" w:w="2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发生安全事故或系统数据泄露，造成严重影响</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30分钟内恢复系统正常</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8小时内分析故障原因，提出问题分析报告和整改方案</w:t>
            </w:r>
          </w:p>
        </w:tc>
      </w:tr>
      <w:tr>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2级事件</w:t>
            </w:r>
          </w:p>
        </w:tc>
        <w:tc>
          <w:tcPr>
            <w:tcW w:type="dxa" w:w="2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信息系统崩溃，系统所有业务无法进行，造成较大影响</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1小时内恢复系统正常</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24小时内分析故障原因，提出问题分析报告和整改方案</w:t>
            </w:r>
          </w:p>
        </w:tc>
      </w:tr>
      <w:tr>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3级事件</w:t>
            </w:r>
          </w:p>
        </w:tc>
        <w:tc>
          <w:tcPr>
            <w:tcW w:type="dxa" w:w="2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发生故障，部分业务无法开展，影响外单位业务开展</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2小时内恢复系统正常或提供应急处理办法</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24小时内分析故障原因，提出问题分析报告和整改方案</w:t>
            </w:r>
          </w:p>
        </w:tc>
      </w:tr>
      <w:tr>
        <w:tc>
          <w:tcPr>
            <w:tcW w:type="dxa" w:w="11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4级事件</w:t>
            </w:r>
          </w:p>
        </w:tc>
        <w:tc>
          <w:tcPr>
            <w:tcW w:type="dxa" w:w="23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性能下降或故障影响本局业务开展</w:t>
            </w:r>
          </w:p>
        </w:tc>
        <w:tc>
          <w:tcPr>
            <w:tcW w:type="dxa" w:w="20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2小时内恢复系统正常或提供应急处理办法</w:t>
            </w:r>
          </w:p>
        </w:tc>
        <w:tc>
          <w:tcPr>
            <w:tcW w:type="dxa" w:w="2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48小时内分析故障原因，提出问题分析报告和整改方案</w:t>
            </w:r>
          </w:p>
        </w:tc>
      </w:tr>
    </w:tbl>
    <w:p>
      <w:pPr>
        <w:pStyle w:val="null3"/>
        <w:ind w:firstLine="440"/>
        <w:jc w:val="both"/>
      </w:pPr>
      <w:r>
        <w:rPr>
          <w:sz w:val="22"/>
        </w:rPr>
        <w:t>（</w:t>
      </w:r>
      <w:r>
        <w:rPr>
          <w:sz w:val="22"/>
        </w:rPr>
        <w:t>7</w:t>
      </w:r>
      <w:r>
        <w:rPr>
          <w:sz w:val="22"/>
        </w:rPr>
        <w:t>）运维文档服务</w:t>
      </w:r>
    </w:p>
    <w:p>
      <w:pPr>
        <w:pStyle w:val="null3"/>
        <w:ind w:firstLine="440"/>
        <w:jc w:val="both"/>
      </w:pPr>
      <w:r>
        <w:rPr>
          <w:sz w:val="22"/>
        </w:rPr>
        <w:t>乙方负责对运维项目相关文档进行集中管理、整理、规范和维护，包括收集、存储、更新和检索与运维项目各个方面相关的文档，包括但不限于项目计划、操作手册、技术规格、故障记录、维护日志、变更记录等。通过该服务，确保所有运维项目文档的格式统一、内容准确、完整且易于查找和理解。其目的是为了提高运维工作的效率和质量，使运维团队成员能够快速获取所需信息，更好地协同工作，同时也便于对项目进行跟踪、评估和审计，为项目的顺利推进和持续改进提供有力的支持，并且有助于在项目交接或知识传承时保持信息的连贯性和一致性。</w:t>
      </w:r>
    </w:p>
    <w:p>
      <w:pPr>
        <w:pStyle w:val="null3"/>
        <w:ind w:firstLine="440"/>
        <w:jc w:val="both"/>
      </w:pPr>
      <w:r>
        <w:rPr>
          <w:sz w:val="22"/>
        </w:rPr>
        <w:t>乙方必须按要求提交运维工作文档，运维工作文档将作为项目验收的交付材料。</w:t>
      </w:r>
    </w:p>
    <w:p>
      <w:pPr>
        <w:pStyle w:val="null3"/>
        <w:ind w:firstLine="440"/>
        <w:jc w:val="both"/>
      </w:pPr>
      <w:r>
        <w:rPr>
          <w:sz w:val="22"/>
        </w:rPr>
        <w:t>（</w:t>
      </w:r>
      <w:r>
        <w:rPr>
          <w:sz w:val="22"/>
        </w:rPr>
        <w:t>8</w:t>
      </w:r>
      <w:r>
        <w:rPr>
          <w:sz w:val="22"/>
        </w:rPr>
        <w:t>）个性化服务</w:t>
      </w:r>
    </w:p>
    <w:p>
      <w:pPr>
        <w:pStyle w:val="null3"/>
        <w:ind w:firstLine="440"/>
        <w:jc w:val="both"/>
      </w:pPr>
      <w:r>
        <w:rPr>
          <w:sz w:val="22"/>
        </w:rPr>
        <w:t>8.1</w:t>
      </w:r>
      <w:r>
        <w:rPr>
          <w:sz w:val="22"/>
        </w:rPr>
        <w:t>广东省市场准入信息系统（中山）</w:t>
      </w:r>
    </w:p>
    <w:p>
      <w:pPr>
        <w:pStyle w:val="null3"/>
        <w:ind w:firstLine="440"/>
        <w:jc w:val="both"/>
      </w:pPr>
      <w:r>
        <w:rPr>
          <w:sz w:val="22"/>
        </w:rPr>
        <w:t>8.1.1</w:t>
      </w:r>
      <w:r>
        <w:rPr>
          <w:sz w:val="22"/>
        </w:rPr>
        <w:t>系统接口运维服务</w:t>
      </w:r>
    </w:p>
    <w:p>
      <w:pPr>
        <w:pStyle w:val="null3"/>
        <w:ind w:firstLine="440"/>
        <w:jc w:val="both"/>
      </w:pPr>
      <w:r>
        <w:rPr>
          <w:sz w:val="22"/>
        </w:rPr>
        <w:t>需根据实际业务需求调整广东省市场准入信息系统（中山）外接系统接口，包括测试、联调、部署实施、维护等工作。</w:t>
      </w:r>
    </w:p>
    <w:p>
      <w:pPr>
        <w:pStyle w:val="null3"/>
        <w:ind w:firstLine="440"/>
        <w:jc w:val="both"/>
      </w:pPr>
      <w:r>
        <w:rPr>
          <w:sz w:val="22"/>
        </w:rPr>
        <w:t>8.1.2</w:t>
      </w:r>
      <w:r>
        <w:rPr>
          <w:sz w:val="22"/>
        </w:rPr>
        <w:t>申办接口运维服务</w:t>
      </w:r>
    </w:p>
    <w:p>
      <w:pPr>
        <w:pStyle w:val="null3"/>
        <w:ind w:firstLine="440"/>
        <w:jc w:val="both"/>
      </w:pPr>
      <w:r>
        <w:rPr>
          <w:sz w:val="22"/>
        </w:rPr>
        <w:t>需根据实际业务需求更新广东省市场准入信息系统（中山）外接申办接口的优化、测试、联调、部署实施、维护等工作。</w:t>
      </w:r>
    </w:p>
    <w:p>
      <w:pPr>
        <w:pStyle w:val="null3"/>
        <w:ind w:firstLine="440"/>
        <w:jc w:val="both"/>
      </w:pPr>
      <w:r>
        <w:rPr>
          <w:sz w:val="22"/>
        </w:rPr>
        <w:t>8.2</w:t>
      </w:r>
      <w:r>
        <w:rPr>
          <w:sz w:val="22"/>
        </w:rPr>
        <w:t>中山市</w:t>
      </w:r>
      <w:r>
        <w:rPr>
          <w:sz w:val="22"/>
        </w:rPr>
        <w:t>“一照通行”服务平台</w:t>
      </w:r>
    </w:p>
    <w:p>
      <w:pPr>
        <w:pStyle w:val="null3"/>
        <w:ind w:firstLine="440"/>
        <w:jc w:val="both"/>
      </w:pPr>
      <w:r>
        <w:rPr>
          <w:sz w:val="22"/>
        </w:rPr>
        <w:t>8.2.1</w:t>
      </w:r>
      <w:r>
        <w:rPr>
          <w:sz w:val="22"/>
        </w:rPr>
        <w:t>接口运维服务</w:t>
      </w:r>
    </w:p>
    <w:p>
      <w:pPr>
        <w:pStyle w:val="null3"/>
        <w:ind w:firstLine="440"/>
        <w:jc w:val="both"/>
      </w:pPr>
      <w:r>
        <w:rPr>
          <w:sz w:val="22"/>
        </w:rPr>
        <w:t>负责平台与</w:t>
      </w:r>
      <w:r>
        <w:rPr>
          <w:sz w:val="22"/>
        </w:rPr>
        <w:t>26个第三方生态系统对接互联互通的工作，确保各个接口的正常、高效运行。本项工作涉及省统一身份认证平台、省政务大数据中心等26个系统，涵盖了身份认证、政务服务、市场监管等多个方面。</w:t>
      </w:r>
    </w:p>
    <w:p>
      <w:pPr>
        <w:pStyle w:val="null3"/>
        <w:ind w:firstLine="440"/>
        <w:jc w:val="both"/>
      </w:pPr>
      <w:r>
        <w:rPr>
          <w:sz w:val="22"/>
        </w:rPr>
        <w:t>8.2.2</w:t>
      </w:r>
      <w:r>
        <w:rPr>
          <w:sz w:val="22"/>
        </w:rPr>
        <w:t>数据治理服务</w:t>
      </w:r>
    </w:p>
    <w:p>
      <w:pPr>
        <w:pStyle w:val="null3"/>
        <w:ind w:firstLine="440"/>
        <w:jc w:val="both"/>
      </w:pPr>
      <w:r>
        <w:rPr>
          <w:sz w:val="22"/>
        </w:rPr>
        <w:t>提供系统数据服务，包括但不限于运营数据采集、质量管理、安全管理、标准化管理、分析与挖掘、总结报告等内容。数据服务输出成果包括但不限于运营指标综合分析月报、数据服务工作周报、数据服务巡检记录等。</w:t>
      </w:r>
    </w:p>
    <w:p>
      <w:pPr>
        <w:pStyle w:val="null3"/>
        <w:ind w:firstLine="440"/>
        <w:jc w:val="both"/>
      </w:pPr>
      <w:r>
        <w:rPr>
          <w:sz w:val="22"/>
        </w:rPr>
        <w:t>8.2.3</w:t>
      </w:r>
      <w:r>
        <w:rPr>
          <w:sz w:val="22"/>
        </w:rPr>
        <w:t>营商环境指标调整服务</w:t>
      </w:r>
    </w:p>
    <w:p>
      <w:pPr>
        <w:pStyle w:val="null3"/>
        <w:ind w:firstLine="440"/>
        <w:jc w:val="both"/>
      </w:pPr>
      <w:r>
        <w:rPr>
          <w:sz w:val="22"/>
        </w:rPr>
        <w:t>根据《国务院办公厅关于规范营商环境评价工作的通知》（国办函〔</w:t>
      </w:r>
      <w:r>
        <w:rPr>
          <w:sz w:val="22"/>
        </w:rPr>
        <w:t>2021〕59 号）和《广东省优化营商环境条例》关于开展营商环境评价工作要求，广东省发展改革委会同广东省省情调查研究中心每年都会对全省21个地级以上市营商环境建设作出评价。营商环境评价共设置12个一级指标，37个二级指标。</w:t>
      </w:r>
    </w:p>
    <w:p>
      <w:pPr>
        <w:pStyle w:val="null3"/>
        <w:ind w:firstLine="440"/>
        <w:jc w:val="both"/>
      </w:pPr>
      <w:r>
        <w:rPr>
          <w:sz w:val="22"/>
        </w:rPr>
        <w:t>8.2.4</w:t>
      </w:r>
      <w:r>
        <w:rPr>
          <w:sz w:val="22"/>
        </w:rPr>
        <w:t>省市政策配套调整服务</w:t>
      </w:r>
    </w:p>
    <w:p>
      <w:pPr>
        <w:pStyle w:val="null3"/>
        <w:ind w:firstLine="440"/>
        <w:jc w:val="both"/>
      </w:pPr>
      <w:r>
        <w:rPr>
          <w:sz w:val="22"/>
        </w:rPr>
        <w:t>事项政策调整。国家市监总局和广东省市监局发布新的政策文件，需及时对</w:t>
      </w:r>
      <w:r>
        <w:rPr>
          <w:sz w:val="22"/>
        </w:rPr>
        <w:t>“一照通行”服务平台上的事项政策进行更新和调整，包括但不限于对办理事项的适用范围、办理条件、办理流程等进行重新梳理和定义，以确保平台上的政策信息与最新政策文件保持一致。</w:t>
      </w:r>
    </w:p>
    <w:p>
      <w:pPr>
        <w:pStyle w:val="null3"/>
        <w:ind w:firstLine="440"/>
        <w:jc w:val="both"/>
      </w:pPr>
      <w:r>
        <w:rPr>
          <w:sz w:val="22"/>
        </w:rPr>
        <w:t>文书调整。在省市政策调整后，中山市市场监督管理局会对</w:t>
      </w:r>
      <w:r>
        <w:rPr>
          <w:sz w:val="22"/>
        </w:rPr>
        <w:t>“一照通行”服务平台上的相关文书进行修订和完善。可能涉及申请表格、审批流程表、业务办理指南等文书的更新，以确保市场主体在办理业务时能够准确理解和操作。</w:t>
      </w:r>
    </w:p>
    <w:p>
      <w:pPr>
        <w:pStyle w:val="null3"/>
        <w:ind w:firstLine="440"/>
        <w:jc w:val="both"/>
      </w:pPr>
      <w:r>
        <w:rPr>
          <w:sz w:val="22"/>
        </w:rPr>
        <w:t>培训与指导服务。为了确保市场主体能够及时了解并适应政策调整，需要配合甲方定期组织培训和指导活动，向市场主体解释新政策的具体内容和影响，指导其如何在</w:t>
      </w:r>
      <w:r>
        <w:rPr>
          <w:sz w:val="22"/>
        </w:rPr>
        <w:t>“一照通行”服务平台上正确办理业务。</w:t>
      </w:r>
    </w:p>
    <w:p>
      <w:pPr>
        <w:pStyle w:val="null3"/>
        <w:ind w:firstLine="440"/>
        <w:jc w:val="both"/>
      </w:pPr>
      <w:r>
        <w:rPr>
          <w:sz w:val="22"/>
        </w:rPr>
        <w:t>8.3</w:t>
      </w:r>
      <w:r>
        <w:rPr>
          <w:sz w:val="22"/>
        </w:rPr>
        <w:t>中山市涉企信息统一归集公示数据管理平台（含一二期）</w:t>
      </w:r>
    </w:p>
    <w:p>
      <w:pPr>
        <w:pStyle w:val="null3"/>
        <w:ind w:firstLine="440"/>
        <w:jc w:val="both"/>
      </w:pPr>
      <w:r>
        <w:rPr>
          <w:sz w:val="22"/>
        </w:rPr>
        <w:t>提供针对中山市涉企信息统一归集公示数据管理平台二期项目新建的涉企市场主体全息库和涉监管业务主题库内容进行运营。保障涉企三大库</w:t>
      </w:r>
      <w:r>
        <w:rPr>
          <w:sz w:val="22"/>
        </w:rPr>
        <w:t>“涉企电子清单库”、“涉企市场主体全息库”、“涉企监管业务主题库”日常数据归集、治理、质检、分析，上架到省市两级平台、报告等工作。</w:t>
      </w:r>
    </w:p>
    <w:p>
      <w:pPr>
        <w:pStyle w:val="null3"/>
        <w:ind w:firstLine="440"/>
        <w:jc w:val="both"/>
      </w:pPr>
      <w:r>
        <w:rPr>
          <w:sz w:val="22"/>
        </w:rPr>
        <w:t>（二）第三方服务采购</w:t>
      </w:r>
    </w:p>
    <w:tbl>
      <w:tblPr>
        <w:tblW w:w="0" w:type="auto"/>
        <w:tblBorders>
          <w:top w:val="none" w:color="000000" w:sz="4"/>
          <w:left w:val="none" w:color="000000" w:sz="4"/>
          <w:bottom w:val="none" w:color="000000" w:sz="4"/>
          <w:right w:val="none" w:color="000000" w:sz="4"/>
          <w:insideH w:val="none"/>
          <w:insideV w:val="none"/>
        </w:tblBorders>
      </w:tblPr>
      <w:tblGrid>
        <w:gridCol w:w="661"/>
        <w:gridCol w:w="2849"/>
        <w:gridCol w:w="2247"/>
        <w:gridCol w:w="1454"/>
        <w:gridCol w:w="881"/>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28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系统名称</w:t>
            </w:r>
          </w:p>
        </w:tc>
        <w:tc>
          <w:tcPr>
            <w:tcW w:type="dxa" w:w="2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所需采购的服务名称</w:t>
            </w:r>
          </w:p>
        </w:tc>
        <w:tc>
          <w:tcPr>
            <w:tcW w:type="dxa" w:w="1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预估数量</w:t>
            </w:r>
          </w:p>
        </w:tc>
        <w:tc>
          <w:tcPr>
            <w:tcW w:type="dxa" w:w="8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单位</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w:t>
            </w:r>
            <w:r>
              <w:rPr>
                <w:sz w:val="22"/>
              </w:rPr>
              <w:t>“一照通行”服务平台</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短信</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4700000</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条</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中山市涉企信息统一归集公示数据管理平台（含一二期）</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三云</w:t>
            </w:r>
            <w:r>
              <w:rPr>
                <w:sz w:val="22"/>
              </w:rPr>
              <w:t>CA证书</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w:t>
            </w:r>
            <w:r>
              <w:rPr>
                <w:sz w:val="22"/>
              </w:rPr>
              <w:t>“香山新街市”智慧农贸平台</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三云</w:t>
            </w:r>
            <w:r>
              <w:rPr>
                <w:sz w:val="22"/>
              </w:rPr>
              <w:t>CA证书</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中山市市场监督管理局智慧监管服务平台项目</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三云</w:t>
            </w:r>
            <w:r>
              <w:rPr>
                <w:sz w:val="22"/>
              </w:rPr>
              <w:t>CA证书</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个</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中山市市场监督管理局智慧监管服务平台项目</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统一日常监管系统</w:t>
            </w:r>
            <w:r>
              <w:rPr>
                <w:sz w:val="22"/>
              </w:rPr>
              <w:t>-专利商标数据服务</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中山市市场监督管理局智慧监管服务平台项目</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统一日常监管系统</w:t>
            </w:r>
            <w:r>
              <w:rPr>
                <w:sz w:val="22"/>
              </w:rPr>
              <w:t>-国标行标数据服务</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中山市市场监督管理局智慧监管服务平台项目</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检验检测数据分析系统</w:t>
            </w:r>
            <w:r>
              <w:rPr>
                <w:sz w:val="22"/>
              </w:rPr>
              <w:t>-质量分析数据-自动数据挖掘算法服务/产品分类挖掘算法服务</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中山市市场监督管理局智慧监管服务平台项目</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检验检测数据分析系统</w:t>
            </w:r>
            <w:r>
              <w:rPr>
                <w:sz w:val="22"/>
              </w:rPr>
              <w:t>-质量分析数据-自动数据挖掘算法服务/行政区划挖掘算法服务</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中山市市场监督管理局智慧监管服务平台项目</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检验检测数据分析系统</w:t>
            </w:r>
            <w:r>
              <w:rPr>
                <w:sz w:val="22"/>
              </w:rPr>
              <w:t>-质量分析数据</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中山市市场监督管理局智慧监管服务平台项目</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网络交易监管系统</w:t>
            </w:r>
            <w:r>
              <w:rPr>
                <w:sz w:val="22"/>
              </w:rPr>
              <w:t>-网络交易主体数据</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中山市市场监督管理局智慧监管服务平台项目</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数据分析决策中心</w:t>
            </w:r>
            <w:r>
              <w:rPr>
                <w:sz w:val="22"/>
              </w:rPr>
              <w:t>-经营主体地址标准化治理服务</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中山市市场监督管理局智慧监管服务平台项目</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短信服务</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3000000</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条</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13</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中山市市场监督管理局智慧监管服务平台项目</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地图实时调用服务</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28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中山市市场监督管理局智慧监管服务平台项目</w:t>
            </w:r>
          </w:p>
        </w:tc>
        <w:tc>
          <w:tcPr>
            <w:tcW w:type="dxa" w:w="2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远程视频监管服务</w:t>
            </w:r>
          </w:p>
        </w:tc>
        <w:tc>
          <w:tcPr>
            <w:tcW w:type="dxa" w:w="1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8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w:t>
            </w:r>
          </w:p>
        </w:tc>
      </w:tr>
    </w:tbl>
    <w:p>
      <w:pPr>
        <w:pStyle w:val="null3"/>
        <w:ind w:firstLine="440"/>
        <w:jc w:val="both"/>
      </w:pPr>
      <w:r>
        <w:rPr>
          <w:sz w:val="22"/>
        </w:rPr>
        <w:t>特别说明：</w:t>
      </w:r>
    </w:p>
    <w:p>
      <w:pPr>
        <w:pStyle w:val="null3"/>
        <w:ind w:firstLine="440"/>
        <w:jc w:val="both"/>
      </w:pPr>
      <w:r>
        <w:rPr>
          <w:sz w:val="22"/>
        </w:rPr>
        <w:t>中山市市场监督管理局智慧监管服务平台项目第三方数据服务从</w:t>
      </w:r>
      <w:r>
        <w:rPr>
          <w:sz w:val="22"/>
        </w:rPr>
        <w:t>2023年12月1日开始计算，建设期购买了2年服务，数据有效期至2025年11月30日止，</w:t>
      </w:r>
      <w:r>
        <w:rPr>
          <w:sz w:val="22"/>
        </w:rPr>
        <w:t>本次</w:t>
      </w:r>
      <w:r>
        <w:rPr>
          <w:sz w:val="22"/>
        </w:rPr>
        <w:t>数据采购从</w:t>
      </w:r>
      <w:r>
        <w:rPr>
          <w:sz w:val="22"/>
        </w:rPr>
        <w:t>2025年12月1日起算，迟于系统运维开始时间（2025年7月1日）。</w:t>
      </w:r>
    </w:p>
    <w:p>
      <w:pPr>
        <w:pStyle w:val="null3"/>
        <w:ind w:firstLine="440"/>
        <w:jc w:val="both"/>
      </w:pPr>
      <w:r>
        <w:rPr>
          <w:sz w:val="22"/>
        </w:rPr>
        <w:t>（三）信息安全运维</w:t>
      </w:r>
    </w:p>
    <w:tbl>
      <w:tblPr>
        <w:tblW w:w="0" w:type="auto"/>
        <w:tblBorders>
          <w:top w:val="none" w:color="000000" w:sz="4"/>
          <w:left w:val="none" w:color="000000" w:sz="4"/>
          <w:bottom w:val="none" w:color="000000" w:sz="4"/>
          <w:right w:val="none" w:color="000000" w:sz="4"/>
          <w:insideH w:val="none"/>
          <w:insideV w:val="none"/>
        </w:tblBorders>
      </w:tblPr>
      <w:tblGrid>
        <w:gridCol w:w="798"/>
        <w:gridCol w:w="1975"/>
        <w:gridCol w:w="1839"/>
        <w:gridCol w:w="1839"/>
        <w:gridCol w:w="1839"/>
        <w:gridCol w:w="0"/>
      </w:tblGrid>
      <w:tr>
        <w:tc>
          <w:tcPr>
            <w:tcW w:type="dxa" w:w="79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服务类型</w:t>
            </w:r>
          </w:p>
        </w:tc>
        <w:tc>
          <w:tcPr>
            <w:tcW w:type="dxa" w:w="1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服务名称</w:t>
            </w:r>
          </w:p>
        </w:tc>
        <w:tc>
          <w:tcPr>
            <w:tcW w:type="dxa" w:w="1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服务形式</w:t>
            </w:r>
          </w:p>
        </w:tc>
        <w:tc>
          <w:tcPr>
            <w:tcW w:type="dxa" w:w="1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频次</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网络安全咨询服务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信息安全管理制度梳理</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专家服务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每年开展</w:t>
            </w:r>
            <w:r>
              <w:rPr>
                <w:sz w:val="22"/>
              </w:rPr>
              <w:t>1次，运维期间共3次</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9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资产安全运营服务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网络安全风险评估服务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驻点人员</w:t>
            </w:r>
            <w:r>
              <w:rPr>
                <w:sz w:val="22"/>
                <w:color w:val="000000"/>
              </w:rPr>
              <w:t>+二线安全服务团队</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每年开展</w:t>
            </w:r>
            <w:r>
              <w:rPr>
                <w:sz w:val="22"/>
              </w:rPr>
              <w:t>1次，运维期间共3次</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975"/>
            <w:vMerge/>
            <w:tcBorders>
              <w:top w:val="none" w:color="000000" w:sz="4"/>
              <w:left w:val="single" w:color="000000" w:sz="4"/>
              <w:bottom w:val="single" w:color="000000" w:sz="4"/>
              <w:right w:val="single" w:color="000000" w:sz="4"/>
            </w:tcBorders>
          </w:tc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信息资产梳理服务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驻点人员</w:t>
            </w:r>
            <w:r>
              <w:rPr>
                <w:sz w:val="22"/>
                <w:color w:val="000000"/>
              </w:rPr>
              <w:t>+二线安全服务团队</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每年开展</w:t>
            </w:r>
            <w:r>
              <w:rPr>
                <w:sz w:val="22"/>
              </w:rPr>
              <w:t>2次，运维期间共6次</w:t>
            </w:r>
          </w:p>
        </w:tc>
        <w:tc>
          <w:tcPr>
            <w:tcW w:type="dxa" w:w="0"/>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975"/>
            <w:vMerge/>
            <w:tcBorders>
              <w:top w:val="none" w:color="000000" w:sz="4"/>
              <w:left w:val="single" w:color="000000" w:sz="4"/>
              <w:bottom w:val="single" w:color="000000" w:sz="4"/>
              <w:right w:val="single" w:color="000000" w:sz="4"/>
            </w:tcBorders>
          </w:tc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安全配置核查服务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安全工具服务次数采购</w:t>
            </w:r>
          </w:p>
        </w:tc>
        <w:tc>
          <w:tcPr>
            <w:tcW w:type="dxa" w:w="18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每年开展</w:t>
            </w:r>
            <w:r>
              <w:rPr>
                <w:sz w:val="22"/>
              </w:rPr>
              <w:t>2次，运维期间共6次</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975"/>
            <w:vMerge/>
            <w:tcBorders>
              <w:top w:val="none" w:color="000000" w:sz="4"/>
              <w:left w:val="single" w:color="000000" w:sz="4"/>
              <w:bottom w:val="single" w:color="000000" w:sz="4"/>
              <w:right w:val="single" w:color="000000" w:sz="4"/>
            </w:tcBorders>
          </w:tc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漏洞扫描服务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利用政务云工具开展</w:t>
            </w:r>
          </w:p>
        </w:tc>
        <w:tc>
          <w:tcPr>
            <w:tcW w:type="dxa" w:w="18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视中山市政务服务和数据管理局资源分配</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975"/>
            <w:vMerge/>
            <w:tcBorders>
              <w:top w:val="none" w:color="000000" w:sz="4"/>
              <w:left w:val="single" w:color="000000" w:sz="4"/>
              <w:bottom w:val="single" w:color="000000" w:sz="4"/>
              <w:right w:val="single" w:color="000000" w:sz="4"/>
            </w:tcBorders>
          </w:tc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代码安全检测</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利用政务云工具开展</w:t>
            </w:r>
          </w:p>
        </w:tc>
        <w:tc>
          <w:tcPr>
            <w:tcW w:type="dxa" w:w="18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视中山市政务服务和数据管理局资源分配</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975"/>
            <w:vMerge/>
            <w:tcBorders>
              <w:top w:val="none" w:color="000000" w:sz="4"/>
              <w:left w:val="single" w:color="000000" w:sz="4"/>
              <w:bottom w:val="single" w:color="000000" w:sz="4"/>
              <w:right w:val="single" w:color="000000" w:sz="4"/>
            </w:tcBorders>
          </w:tc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渗透测试服务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驻点人员</w:t>
            </w:r>
            <w:r>
              <w:rPr>
                <w:sz w:val="22"/>
                <w:color w:val="000000"/>
              </w:rPr>
              <w:t>+二线安全服务团队</w:t>
            </w:r>
          </w:p>
        </w:tc>
        <w:tc>
          <w:tcPr>
            <w:tcW w:type="dxa" w:w="18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每年开展</w:t>
            </w:r>
            <w:r>
              <w:rPr>
                <w:sz w:val="22"/>
              </w:rPr>
              <w:t>2次，运维期间共6次</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9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安全审计服务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云平台安全日志审计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驻点人员</w:t>
            </w:r>
            <w:r>
              <w:rPr>
                <w:sz w:val="22"/>
                <w:color w:val="000000"/>
              </w:rPr>
              <w:t>+二线安全服务团队</w:t>
            </w:r>
          </w:p>
        </w:tc>
        <w:tc>
          <w:tcPr>
            <w:tcW w:type="dxa" w:w="18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每年开展</w:t>
            </w:r>
            <w:r>
              <w:rPr>
                <w:sz w:val="22"/>
              </w:rPr>
              <w:t>2次，运维期间共6次</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975"/>
            <w:vMerge/>
            <w:tcBorders>
              <w:top w:val="none" w:color="000000" w:sz="4"/>
              <w:left w:val="single" w:color="000000" w:sz="4"/>
              <w:bottom w:val="single" w:color="000000" w:sz="4"/>
              <w:right w:val="single" w:color="000000" w:sz="4"/>
            </w:tcBorders>
          </w:tc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供应链人员管理审计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驻点人员</w:t>
            </w:r>
            <w:r>
              <w:rPr>
                <w:sz w:val="22"/>
                <w:color w:val="000000"/>
              </w:rPr>
              <w:t>+二线安全服务团队</w:t>
            </w:r>
          </w:p>
        </w:tc>
        <w:tc>
          <w:tcPr>
            <w:tcW w:type="dxa" w:w="18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每年开展</w:t>
            </w:r>
            <w:r>
              <w:rPr>
                <w:sz w:val="22"/>
              </w:rPr>
              <w:t>2次，运维期间共6次</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安全培训服务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信息安全培训</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驻点人员</w:t>
            </w:r>
            <w:r>
              <w:rPr>
                <w:sz w:val="22"/>
                <w:color w:val="000000"/>
              </w:rPr>
              <w:t>+二线安全服务团队</w:t>
            </w:r>
          </w:p>
        </w:tc>
        <w:tc>
          <w:tcPr>
            <w:tcW w:type="dxa" w:w="18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每年开展</w:t>
            </w:r>
            <w:r>
              <w:rPr>
                <w:sz w:val="22"/>
              </w:rPr>
              <w:t>1次，运维期间共3次</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11</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安全应急演练服务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应急演练服务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驻点人员</w:t>
            </w:r>
            <w:r>
              <w:rPr>
                <w:sz w:val="22"/>
                <w:color w:val="000000"/>
              </w:rPr>
              <w:t>+二线安全服务团队</w:t>
            </w:r>
          </w:p>
        </w:tc>
        <w:tc>
          <w:tcPr>
            <w:tcW w:type="dxa" w:w="18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每年开展</w:t>
            </w:r>
            <w:r>
              <w:rPr>
                <w:sz w:val="22"/>
              </w:rPr>
              <w:t>2次</w:t>
            </w:r>
          </w:p>
          <w:p>
            <w:pPr>
              <w:pStyle w:val="null3"/>
              <w:jc w:val="center"/>
            </w:pPr>
            <w:r>
              <w:rPr>
                <w:sz w:val="22"/>
              </w:rPr>
              <w:t>运维期间共</w:t>
            </w:r>
            <w:r>
              <w:rPr>
                <w:sz w:val="22"/>
              </w:rPr>
              <w:t>6次</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重要时期安全保障服务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攻防演练期间的技术支撑服务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专家服务</w:t>
            </w:r>
          </w:p>
        </w:tc>
        <w:tc>
          <w:tcPr>
            <w:tcW w:type="dxa" w:w="18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每年开展</w:t>
            </w:r>
            <w:r>
              <w:rPr>
                <w:sz w:val="22"/>
              </w:rPr>
              <w:t>3次，运维期间共9次</w:t>
            </w:r>
          </w:p>
        </w:tc>
      </w:tr>
      <w:tr>
        <w:tc>
          <w:tcPr>
            <w:tcW w:type="dxa" w:w="79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1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移动端安全检查服务</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App安全检查（含Android、I0S客户端、小程序）</w:t>
            </w: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安全工具服务次数采购</w:t>
            </w:r>
          </w:p>
        </w:tc>
        <w:tc>
          <w:tcPr>
            <w:tcW w:type="dxa" w:w="183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每年开展</w:t>
            </w:r>
            <w:r>
              <w:rPr>
                <w:sz w:val="22"/>
              </w:rPr>
              <w:t>1次，运维期间共3次</w:t>
            </w:r>
          </w:p>
        </w:tc>
      </w:tr>
    </w:tbl>
    <w:p>
      <w:pPr>
        <w:pStyle w:val="null3"/>
        <w:ind w:firstLine="440"/>
        <w:jc w:val="both"/>
      </w:pPr>
      <w:r>
        <w:rPr>
          <w:sz w:val="22"/>
        </w:rPr>
        <w:t>2</w:t>
      </w:r>
      <w:r>
        <w:rPr>
          <w:sz w:val="22"/>
        </w:rPr>
        <w:t>.</w:t>
      </w:r>
      <w:r>
        <w:rPr>
          <w:sz w:val="22"/>
        </w:rPr>
        <w:t>安全工具配套</w:t>
      </w:r>
    </w:p>
    <w:p>
      <w:pPr>
        <w:pStyle w:val="null3"/>
        <w:ind w:firstLine="440"/>
        <w:jc w:val="both"/>
      </w:pPr>
      <w:r>
        <w:rPr>
          <w:sz w:val="22"/>
        </w:rPr>
        <w:t>2.1</w:t>
      </w:r>
      <w:r>
        <w:rPr>
          <w:sz w:val="22"/>
        </w:rPr>
        <w:t>安全配置核查服务工具要求</w:t>
      </w:r>
    </w:p>
    <w:p>
      <w:pPr>
        <w:pStyle w:val="null3"/>
        <w:ind w:firstLine="440"/>
        <w:jc w:val="both"/>
      </w:pPr>
      <w:r>
        <w:rPr>
          <w:sz w:val="22"/>
        </w:rPr>
        <w:t>安全配置核查服务需使用安全工具辅助提供实现核查，乙方需选择符合操作标准、质量保证的合格安全产品，以保障甲方的全面信息安全。相关标准如下：</w:t>
      </w:r>
    </w:p>
    <w:tbl>
      <w:tblPr>
        <w:tblW w:w="0" w:type="auto"/>
        <w:tblBorders>
          <w:top w:val="none" w:color="000000" w:sz="4"/>
          <w:left w:val="none" w:color="000000" w:sz="4"/>
          <w:bottom w:val="none" w:color="000000" w:sz="4"/>
          <w:right w:val="none" w:color="000000" w:sz="4"/>
          <w:insideH w:val="none"/>
          <w:insideV w:val="none"/>
        </w:tblBorders>
      </w:tblPr>
      <w:tblGrid>
        <w:gridCol w:w="1272"/>
        <w:gridCol w:w="7034"/>
      </w:tblGrid>
      <w:tr>
        <w:tc>
          <w:tcPr>
            <w:tcW w:type="dxa" w:w="12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指标项</w:t>
            </w:r>
          </w:p>
        </w:tc>
        <w:tc>
          <w:tcPr>
            <w:tcW w:type="dxa" w:w="70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规格要求</w:t>
            </w:r>
          </w:p>
        </w:tc>
      </w:tr>
      <w:tr>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扫描能力</w:t>
            </w:r>
          </w:p>
        </w:tc>
        <w:tc>
          <w:tcPr>
            <w:tcW w:type="dxa" w:w="7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2"/>
              </w:rPr>
              <w:t>①支持配置变更监测，可以根据实际情况设置任意检查结果作为变更基线，支持与自身或者其他设备的同类型变更项进行对比,周期性监测系统的文件、目录、注册表、启动项、进程等配置信息及变更状态</w:t>
            </w:r>
            <w:r>
              <w:rPr>
                <w:sz w:val="22"/>
                <w:b/>
              </w:rPr>
              <w:t>（</w:t>
            </w:r>
            <w:r>
              <w:rPr>
                <w:sz w:val="22"/>
                <w:b/>
              </w:rPr>
              <w:t>需</w:t>
            </w:r>
            <w:r>
              <w:rPr>
                <w:sz w:val="22"/>
                <w:b/>
              </w:rPr>
              <w:t>提供截图证明）。</w:t>
            </w:r>
            <w:r>
              <w:rPr>
                <w:sz w:val="22"/>
              </w:rPr>
              <w:t>同时产品具备一种检测方法和装置的技术</w:t>
            </w:r>
            <w:r>
              <w:rPr>
                <w:sz w:val="22"/>
                <w:b/>
              </w:rPr>
              <w:t>。</w:t>
            </w:r>
          </w:p>
          <w:p>
            <w:pPr>
              <w:pStyle w:val="null3"/>
              <w:ind w:firstLine="440"/>
              <w:jc w:val="both"/>
            </w:pPr>
            <w:r>
              <w:rPr>
                <w:sz w:val="22"/>
              </w:rPr>
              <w:t>②</w:t>
            </w:r>
            <w:r>
              <w:rPr>
                <w:sz w:val="22"/>
              </w:rPr>
              <w:t>产品具备弱口令扫描方法、装置及计算机存储介质的技术，可</w:t>
            </w:r>
            <w:r>
              <w:rPr>
                <w:sz w:val="22"/>
              </w:rPr>
              <w:t>提供针对</w:t>
            </w:r>
            <w:r>
              <w:rPr>
                <w:sz w:val="22"/>
              </w:rPr>
              <w:t>windows和linux系统类型不合规检查项的在线加固能力，可针对单一检查项加固，也可以批量加固不合规项</w:t>
            </w:r>
            <w:r>
              <w:rPr>
                <w:sz w:val="22"/>
              </w:rPr>
              <w:t>。</w:t>
            </w:r>
            <w:r>
              <w:rPr>
                <w:sz w:val="22"/>
                <w:b/>
              </w:rPr>
              <w:t>（</w:t>
            </w:r>
            <w:r>
              <w:rPr>
                <w:sz w:val="22"/>
                <w:b/>
              </w:rPr>
              <w:t>需</w:t>
            </w:r>
            <w:r>
              <w:rPr>
                <w:sz w:val="22"/>
                <w:b/>
              </w:rPr>
              <w:t>提供截图证明）</w:t>
            </w:r>
          </w:p>
        </w:tc>
      </w:tr>
      <w:tr>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任务参数</w:t>
            </w:r>
          </w:p>
        </w:tc>
        <w:tc>
          <w:tcPr>
            <w:tcW w:type="dxa" w:w="7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2"/>
              </w:rPr>
              <w:t>①扫描任务参数设置多样化，包括但不限于执行方式、执行时间段、任务模板、策略模板、扫描方法、任务优先级等</w:t>
            </w:r>
            <w:r>
              <w:rPr>
                <w:sz w:val="22"/>
                <w:b/>
              </w:rPr>
              <w:t>（提供截图证明）</w:t>
            </w:r>
            <w:r>
              <w:rPr>
                <w:sz w:val="22"/>
              </w:rPr>
              <w:t>，同时产品具备一种信息的获取方法、装置及电子设备的技术</w:t>
            </w:r>
            <w:r>
              <w:rPr>
                <w:sz w:val="22"/>
              </w:rPr>
              <w:t>。</w:t>
            </w:r>
          </w:p>
          <w:p>
            <w:pPr>
              <w:pStyle w:val="null3"/>
              <w:ind w:firstLine="400"/>
              <w:jc w:val="both"/>
            </w:pPr>
            <w:r>
              <w:rPr>
                <w:sz w:val="22"/>
              </w:rPr>
              <w:t>②支持AGENT、TELNET、SSH、SMB、RDP、WinRM的在线核查方式和串口核查方式进行安全基线配置检查</w:t>
            </w:r>
            <w:r>
              <w:rPr>
                <w:sz w:val="22"/>
                <w:b/>
              </w:rPr>
              <w:t>（</w:t>
            </w:r>
            <w:r>
              <w:rPr>
                <w:sz w:val="22"/>
                <w:b/>
              </w:rPr>
              <w:t>需</w:t>
            </w:r>
            <w:r>
              <w:rPr>
                <w:sz w:val="22"/>
                <w:b/>
              </w:rPr>
              <w:t>提供截图证明）</w:t>
            </w:r>
            <w:r>
              <w:rPr>
                <w:sz w:val="22"/>
              </w:rPr>
              <w:t>，同时</w:t>
            </w:r>
            <w:r>
              <w:rPr>
                <w:sz w:val="22"/>
              </w:rPr>
              <w:t>产品具备自动化测试方法及装置的技术</w:t>
            </w:r>
            <w:r>
              <w:rPr>
                <w:sz w:val="22"/>
              </w:rPr>
              <w:t>。</w:t>
            </w:r>
          </w:p>
        </w:tc>
      </w:tr>
      <w:tr>
        <w:tc>
          <w:tcPr>
            <w:tcW w:type="dxa" w:w="12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报表管理</w:t>
            </w:r>
          </w:p>
        </w:tc>
        <w:tc>
          <w:tcPr>
            <w:tcW w:type="dxa" w:w="70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both"/>
            </w:pPr>
            <w:r>
              <w:rPr>
                <w:sz w:val="22"/>
              </w:rPr>
              <w:t>支持扫描任务完成后自动生成指定格式和内容的报表</w:t>
            </w:r>
            <w:r>
              <w:rPr>
                <w:sz w:val="22"/>
              </w:rPr>
              <w:t>,格式包含html、pdf、word、excel、wps、xml等，内容包含封面摘要、章节目录、任务信息、统计信息、参考信息等</w:t>
            </w:r>
            <w:r>
              <w:rPr>
                <w:sz w:val="22"/>
                <w:b/>
              </w:rPr>
              <w:t>（需提供截图证明）</w:t>
            </w:r>
            <w:r>
              <w:rPr>
                <w:sz w:val="22"/>
              </w:rPr>
              <w:t>，同时产品具备一种生成漏洞传播图谱的方法、计算机存储介质及终端的技术</w:t>
            </w:r>
            <w:r>
              <w:rPr>
                <w:sz w:val="22"/>
                <w:b/>
              </w:rPr>
              <w:t>。</w:t>
            </w:r>
          </w:p>
        </w:tc>
      </w:tr>
    </w:tbl>
    <w:p>
      <w:pPr>
        <w:pStyle w:val="null3"/>
        <w:ind w:firstLine="440"/>
        <w:jc w:val="both"/>
      </w:pPr>
      <w:r>
        <w:rPr>
          <w:sz w:val="22"/>
        </w:rPr>
        <w:t>2.2移动端安全核查服务工具要求</w:t>
      </w:r>
    </w:p>
    <w:p>
      <w:pPr>
        <w:pStyle w:val="null3"/>
        <w:ind w:firstLine="440"/>
        <w:jc w:val="both"/>
      </w:pPr>
      <w:r>
        <w:rPr>
          <w:sz w:val="22"/>
        </w:rPr>
        <w:t>移动端安全核查服务需使用安全工具辅助提供实现核查，中标服务商需选择符合行业标准、质量保证，具有市场口碑的合格安全产品，以保障甲方的全面信息安全。相关标准如下：</w:t>
      </w:r>
    </w:p>
    <w:tbl>
      <w:tblPr>
        <w:tblW w:w="0" w:type="auto"/>
        <w:tblBorders>
          <w:top w:val="none" w:color="000000" w:sz="4"/>
          <w:left w:val="none" w:color="000000" w:sz="4"/>
          <w:bottom w:val="none" w:color="000000" w:sz="4"/>
          <w:right w:val="none" w:color="000000" w:sz="4"/>
          <w:insideH w:val="none"/>
          <w:insideV w:val="none"/>
        </w:tblBorders>
      </w:tblPr>
      <w:tblGrid>
        <w:gridCol w:w="2369"/>
        <w:gridCol w:w="5923"/>
      </w:tblGrid>
      <w:tr>
        <w:tc>
          <w:tcPr>
            <w:tcW w:type="dxa" w:w="23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技术指标</w:t>
            </w:r>
          </w:p>
        </w:tc>
        <w:tc>
          <w:tcPr>
            <w:tcW w:type="dxa" w:w="59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指标要求</w:t>
            </w:r>
          </w:p>
        </w:tc>
      </w:tr>
      <w:tr>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静态检测分析</w:t>
            </w:r>
          </w:p>
        </w:tc>
        <w:tc>
          <w:tcPr>
            <w:tcW w:type="dxa" w:w="5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全面扫描应用的静态代码特征，准确识别和定位风险漏洞，提供问题代码位置信息。</w:t>
            </w:r>
          </w:p>
        </w:tc>
      </w:tr>
      <w:tr>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动态检测分析</w:t>
            </w:r>
          </w:p>
        </w:tc>
        <w:tc>
          <w:tcPr>
            <w:tcW w:type="dxa" w:w="5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提供安全问题检出的动态信息，需包括动态组件、动态源代码安全、性能检测等至少</w:t>
            </w:r>
            <w:r>
              <w:rPr>
                <w:sz w:val="22"/>
                <w:color w:val="000000"/>
              </w:rPr>
              <w:t>10个动态检测内容。</w:t>
            </w:r>
          </w:p>
        </w:tc>
      </w:tr>
      <w:tr>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支持多测评项</w:t>
            </w:r>
          </w:p>
        </w:tc>
        <w:tc>
          <w:tcPr>
            <w:tcW w:type="dxa" w:w="5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支持热更新框架、权限信息、敏感内容、源代码安全、应用自身安全、算法使用安全、网络通讯安全、数据交互安全、数据存储安全、组件安全、恶意攻击防范能力、动态组件安全、动态源代码安全等多个检测项。</w:t>
            </w:r>
          </w:p>
        </w:tc>
      </w:tr>
      <w:tr>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APP信息分析</w:t>
            </w:r>
          </w:p>
        </w:tc>
        <w:tc>
          <w:tcPr>
            <w:tcW w:type="dxa" w:w="5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通过对</w:t>
            </w:r>
            <w:r>
              <w:rPr>
                <w:sz w:val="22"/>
                <w:color w:val="000000"/>
              </w:rPr>
              <w:t>APK包的分析，能够完整提取APP的基本信息，包括但不限于APK软件名、包名、文件大小、版本信息、文件MD5、第三方SDK数量、检测分数、是否存在热更新、签名信息、所有者、发布者、序列号、起始日期、截止日期、签名算法名称等。</w:t>
            </w:r>
          </w:p>
        </w:tc>
      </w:tr>
      <w:tr>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加固检测</w:t>
            </w:r>
          </w:p>
        </w:tc>
        <w:tc>
          <w:tcPr>
            <w:tcW w:type="dxa" w:w="5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检测移动应用是否使用加固，加固识别覆盖市场中至少</w:t>
            </w:r>
            <w:r>
              <w:rPr>
                <w:sz w:val="22"/>
                <w:color w:val="000000"/>
              </w:rPr>
              <w:t>10家以上的主流加固厂商。</w:t>
            </w:r>
          </w:p>
        </w:tc>
      </w:tr>
      <w:tr>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第三方</w:t>
            </w:r>
            <w:r>
              <w:rPr>
                <w:sz w:val="22"/>
                <w:color w:val="000000"/>
              </w:rPr>
              <w:t>SDK检测</w:t>
            </w:r>
          </w:p>
        </w:tc>
        <w:tc>
          <w:tcPr>
            <w:tcW w:type="dxa" w:w="5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第三方</w:t>
            </w:r>
            <w:r>
              <w:rPr>
                <w:sz w:val="22"/>
                <w:color w:val="000000"/>
              </w:rPr>
              <w:t>SDK检测需包含SDK名称、SDK分类、下载地址、功能描述、权限、描述、权限类型、调用位置、调用API。</w:t>
            </w:r>
          </w:p>
        </w:tc>
      </w:tr>
      <w:tr>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自身安全</w:t>
            </w:r>
          </w:p>
          <w:p>
            <w:pPr>
              <w:pStyle w:val="null3"/>
              <w:jc w:val="center"/>
            </w:pPr>
            <w:r>
              <w:rPr>
                <w:sz w:val="22"/>
                <w:color w:val="000000"/>
              </w:rPr>
              <w:t>（隐私合规）</w:t>
            </w:r>
          </w:p>
        </w:tc>
        <w:tc>
          <w:tcPr>
            <w:tcW w:type="dxa" w:w="5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检测应用本身行为是否符合安全规范，是否包含信息泄露，权限混乱，带有敏感内容，带有病毒或者广告等安全问题。</w:t>
            </w:r>
          </w:p>
        </w:tc>
      </w:tr>
      <w:tr>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程序源文件安全</w:t>
            </w:r>
          </w:p>
        </w:tc>
        <w:tc>
          <w:tcPr>
            <w:tcW w:type="dxa" w:w="5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检测移动应用程序的源文件可能面临的安全风险。</w:t>
            </w:r>
          </w:p>
        </w:tc>
      </w:tr>
      <w:tr>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权限检测</w:t>
            </w:r>
          </w:p>
        </w:tc>
        <w:tc>
          <w:tcPr>
            <w:tcW w:type="dxa" w:w="5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应用安全测评平台的</w:t>
            </w:r>
            <w:r>
              <w:rPr>
                <w:sz w:val="22"/>
                <w:color w:val="000000"/>
              </w:rPr>
              <w:t>Android检测中，更新了权限库信息以及权限检测逻辑，不但可以检测App申请了哪些权限，还能够识别哪些权限是App使用的。</w:t>
            </w:r>
          </w:p>
        </w:tc>
      </w:tr>
      <w:tr>
        <w:tc>
          <w:tcPr>
            <w:tcW w:type="dxa" w:w="23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行为检测</w:t>
            </w:r>
          </w:p>
        </w:tc>
        <w:tc>
          <w:tcPr>
            <w:tcW w:type="dxa" w:w="59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对应用程序进行指令码的行为分析，检测移动应用的行为信息，并提供每个行为的代码函数位置信息。</w:t>
            </w:r>
          </w:p>
        </w:tc>
      </w:tr>
    </w:tbl>
    <w:p>
      <w:pPr>
        <w:pStyle w:val="null3"/>
        <w:ind w:firstLine="442"/>
        <w:jc w:val="both"/>
      </w:pPr>
      <w:r>
        <w:rPr>
          <w:sz w:val="22"/>
          <w:b/>
        </w:rPr>
        <w:t>三、合同金额</w:t>
      </w:r>
    </w:p>
    <w:p>
      <w:pPr>
        <w:pStyle w:val="null3"/>
        <w:ind w:firstLine="440"/>
        <w:jc w:val="both"/>
      </w:pPr>
      <w:r>
        <w:rPr>
          <w:sz w:val="22"/>
        </w:rPr>
        <w:t>（一）本合同总价：人民币大写</w:t>
      </w:r>
      <w:r>
        <w:rPr>
          <w:u w:val="single"/>
        </w:rPr>
        <w:t xml:space="preserve">       </w:t>
      </w:r>
      <w:r>
        <w:rPr>
          <w:sz w:val="22"/>
        </w:rPr>
        <w:t>（￥</w:t>
      </w:r>
      <w:r>
        <w:rPr>
          <w:u w:val="single"/>
        </w:rPr>
        <w:t xml:space="preserve">       </w:t>
      </w:r>
      <w:r>
        <w:rPr>
          <w:sz w:val="22"/>
        </w:rPr>
        <w:t>元）。本合同总价应包含本项目运维服务范围内的包括但不限于系统运维、第三方服务采购、信息安全运维、平台对接、安装、集成、运行、测试、培训、验收、技术服务、税费、人工、设备、耗材、运费、保险费、资料费、以及合理的利润等合同实施过程中的一切可预见和不可预见的费用，</w:t>
      </w:r>
      <w:r>
        <w:rPr>
          <w:sz w:val="22"/>
        </w:rPr>
        <w:t>甲方</w:t>
      </w:r>
      <w:r>
        <w:rPr>
          <w:sz w:val="22"/>
        </w:rPr>
        <w:t>不再额外支付合同总价之外的任何费用。在运维期内，若经</w:t>
      </w:r>
      <w:r>
        <w:rPr>
          <w:sz w:val="22"/>
        </w:rPr>
        <w:t>甲方</w:t>
      </w:r>
      <w:r>
        <w:rPr>
          <w:sz w:val="22"/>
        </w:rPr>
        <w:t>和</w:t>
      </w:r>
      <w:r>
        <w:rPr>
          <w:sz w:val="22"/>
        </w:rPr>
        <w:t>乙方</w:t>
      </w:r>
      <w:r>
        <w:rPr>
          <w:sz w:val="22"/>
        </w:rPr>
        <w:t>确认后停止运维，相关运维费用按实际情况结算。</w:t>
      </w:r>
    </w:p>
    <w:p>
      <w:pPr>
        <w:pStyle w:val="null3"/>
        <w:ind w:firstLine="440"/>
        <w:jc w:val="both"/>
      </w:pPr>
      <w:r>
        <w:rPr>
          <w:sz w:val="22"/>
        </w:rPr>
        <w:t>（二）本合同价格为固定不变价。除本合同另有约定外，乙方不得就本合同的履行另行收取甲方其他费用。</w:t>
      </w:r>
    </w:p>
    <w:p>
      <w:pPr>
        <w:pStyle w:val="null3"/>
        <w:ind w:firstLine="440"/>
        <w:jc w:val="both"/>
      </w:pPr>
      <w:r>
        <w:rPr>
          <w:sz w:val="22"/>
        </w:rPr>
        <w:t>（</w:t>
      </w:r>
      <w:r>
        <w:rPr>
          <w:sz w:val="22"/>
        </w:rPr>
        <w:t>三</w:t>
      </w:r>
      <w:r>
        <w:rPr>
          <w:sz w:val="22"/>
        </w:rPr>
        <w:t>）</w:t>
      </w:r>
      <w:r>
        <w:rPr>
          <w:sz w:val="22"/>
        </w:rPr>
        <w:t>本合同不收取履约保证金。</w:t>
      </w:r>
    </w:p>
    <w:p>
      <w:pPr>
        <w:pStyle w:val="null3"/>
        <w:ind w:firstLine="442"/>
        <w:jc w:val="both"/>
      </w:pPr>
      <w:r>
        <w:rPr>
          <w:sz w:val="22"/>
          <w:b/>
        </w:rPr>
        <w:t>四、双方权利和义务</w:t>
      </w:r>
    </w:p>
    <w:p>
      <w:pPr>
        <w:pStyle w:val="null3"/>
        <w:ind w:firstLine="440"/>
        <w:jc w:val="both"/>
      </w:pPr>
      <w:r>
        <w:rPr>
          <w:sz w:val="22"/>
        </w:rPr>
        <w:t xml:space="preserve"> </w:t>
      </w:r>
      <w:r>
        <w:rPr>
          <w:sz w:val="22"/>
        </w:rPr>
        <w:t>（一）甲方权利义务</w:t>
      </w:r>
      <w:r>
        <w:rPr>
          <w:sz w:val="22"/>
        </w:rPr>
        <w:t>:</w:t>
      </w:r>
    </w:p>
    <w:p>
      <w:pPr>
        <w:pStyle w:val="null3"/>
        <w:ind w:firstLine="440"/>
        <w:jc w:val="both"/>
      </w:pPr>
      <w:r>
        <w:rPr>
          <w:sz w:val="22"/>
        </w:rPr>
        <w:t>1</w:t>
      </w:r>
      <w:r>
        <w:rPr>
          <w:sz w:val="22"/>
        </w:rPr>
        <w:t>.</w:t>
      </w:r>
      <w:r>
        <w:rPr>
          <w:sz w:val="22"/>
        </w:rPr>
        <w:t>有权得到本合同承诺的满足要求的服务。</w:t>
      </w:r>
    </w:p>
    <w:p>
      <w:pPr>
        <w:pStyle w:val="null3"/>
        <w:ind w:firstLine="440"/>
        <w:jc w:val="both"/>
      </w:pPr>
      <w:r>
        <w:rPr>
          <w:sz w:val="22"/>
        </w:rPr>
        <w:t>2</w:t>
      </w:r>
      <w:r>
        <w:rPr>
          <w:sz w:val="22"/>
        </w:rPr>
        <w:t>.</w:t>
      </w:r>
      <w:r>
        <w:rPr>
          <w:sz w:val="22"/>
        </w:rPr>
        <w:t>负责维护场地的准备工作，使乙方在维护实施过程中不受外来因素的阻挠和影响。</w:t>
      </w:r>
    </w:p>
    <w:p>
      <w:pPr>
        <w:pStyle w:val="null3"/>
        <w:ind w:firstLine="440"/>
        <w:jc w:val="both"/>
      </w:pPr>
      <w:r>
        <w:rPr>
          <w:sz w:val="22"/>
        </w:rPr>
        <w:t>3</w:t>
      </w:r>
      <w:r>
        <w:rPr>
          <w:sz w:val="22"/>
        </w:rPr>
        <w:t>.</w:t>
      </w:r>
      <w:r>
        <w:rPr>
          <w:sz w:val="22"/>
        </w:rPr>
        <w:t>负责协调相关部门对乙方的维护进行人员配合和协助工作。</w:t>
      </w:r>
    </w:p>
    <w:p>
      <w:pPr>
        <w:pStyle w:val="null3"/>
        <w:ind w:firstLine="440"/>
        <w:jc w:val="both"/>
      </w:pPr>
      <w:r>
        <w:rPr>
          <w:sz w:val="22"/>
        </w:rPr>
        <w:t>4</w:t>
      </w:r>
      <w:r>
        <w:rPr>
          <w:sz w:val="22"/>
        </w:rPr>
        <w:t>.</w:t>
      </w:r>
      <w:r>
        <w:rPr>
          <w:sz w:val="22"/>
        </w:rPr>
        <w:t>按本合同约定的时间及办法对服务进行验收。</w:t>
      </w:r>
    </w:p>
    <w:p>
      <w:pPr>
        <w:pStyle w:val="null3"/>
        <w:ind w:firstLine="440"/>
        <w:jc w:val="both"/>
      </w:pPr>
      <w:r>
        <w:rPr>
          <w:sz w:val="22"/>
        </w:rPr>
        <w:t>5</w:t>
      </w:r>
      <w:r>
        <w:rPr>
          <w:sz w:val="22"/>
        </w:rPr>
        <w:t>.</w:t>
      </w:r>
      <w:r>
        <w:rPr>
          <w:sz w:val="22"/>
        </w:rPr>
        <w:t>按本合同约定支付合同款项给乙方。</w:t>
      </w:r>
    </w:p>
    <w:p>
      <w:pPr>
        <w:pStyle w:val="null3"/>
        <w:ind w:firstLine="440"/>
        <w:jc w:val="both"/>
      </w:pPr>
      <w:r>
        <w:rPr>
          <w:sz w:val="22"/>
        </w:rPr>
        <w:t>（二）乙方权利义务：</w:t>
      </w:r>
    </w:p>
    <w:p>
      <w:pPr>
        <w:pStyle w:val="null3"/>
        <w:ind w:firstLine="440"/>
        <w:jc w:val="both"/>
      </w:pPr>
      <w:r>
        <w:rPr>
          <w:sz w:val="22"/>
        </w:rPr>
        <w:t>1、按本合同（含附件）约定的数量、质量、时间提供服务。</w:t>
      </w:r>
    </w:p>
    <w:p>
      <w:pPr>
        <w:pStyle w:val="null3"/>
        <w:ind w:firstLine="440"/>
        <w:jc w:val="both"/>
      </w:pPr>
      <w:r>
        <w:rPr>
          <w:sz w:val="22"/>
        </w:rPr>
        <w:t>2、在甲方指定的场地驻点，并按照甲方办公场所管理规范，严格遵守各项规章制度，包括但不限于作息时间、安全规定和环境卫生要求，积极配合甲方进行日常工作管理。</w:t>
      </w:r>
    </w:p>
    <w:p>
      <w:pPr>
        <w:pStyle w:val="null3"/>
        <w:ind w:firstLine="440"/>
        <w:jc w:val="both"/>
      </w:pPr>
      <w:r>
        <w:rPr>
          <w:sz w:val="22"/>
        </w:rPr>
        <w:t>3、安排专人与甲方指定人员进行对接和协助工作。</w:t>
      </w:r>
    </w:p>
    <w:p>
      <w:pPr>
        <w:pStyle w:val="null3"/>
        <w:ind w:firstLine="440"/>
        <w:jc w:val="both"/>
      </w:pPr>
      <w:r>
        <w:rPr>
          <w:sz w:val="22"/>
        </w:rPr>
        <w:t>4、按合同约定的要求提供阶段性的报告及相关材料。</w:t>
      </w:r>
    </w:p>
    <w:p>
      <w:pPr>
        <w:pStyle w:val="null3"/>
        <w:ind w:firstLine="440"/>
        <w:jc w:val="both"/>
      </w:pPr>
      <w:r>
        <w:rPr>
          <w:sz w:val="22"/>
        </w:rPr>
        <w:t>5、</w:t>
      </w:r>
      <w:r>
        <w:rPr>
          <w:sz w:val="22"/>
        </w:rPr>
        <w:t>按本合同约定提供发票收取甲方支付的合同款项。</w:t>
      </w:r>
    </w:p>
    <w:p>
      <w:pPr>
        <w:pStyle w:val="null3"/>
        <w:ind w:firstLine="442"/>
        <w:jc w:val="both"/>
      </w:pPr>
      <w:r>
        <w:rPr>
          <w:sz w:val="22"/>
          <w:b/>
        </w:rPr>
        <w:t>五、服务形式</w:t>
      </w:r>
    </w:p>
    <w:p>
      <w:pPr>
        <w:pStyle w:val="null3"/>
        <w:ind w:firstLine="440"/>
        <w:jc w:val="both"/>
      </w:pPr>
      <w:r>
        <w:rPr>
          <w:sz w:val="22"/>
        </w:rPr>
        <w:t>（一）驻场服务</w:t>
      </w:r>
    </w:p>
    <w:p>
      <w:pPr>
        <w:pStyle w:val="null3"/>
        <w:ind w:firstLine="440"/>
        <w:jc w:val="both"/>
      </w:pPr>
      <w:r>
        <w:rPr>
          <w:sz w:val="22"/>
        </w:rPr>
        <w:t>按照</w:t>
      </w:r>
      <w:r>
        <w:rPr>
          <w:sz w:val="22"/>
        </w:rPr>
        <w:t>甲方</w:t>
      </w:r>
      <w:r>
        <w:rPr>
          <w:sz w:val="22"/>
        </w:rPr>
        <w:t>需求提供驻场服务，按质按量按时提供日常巡检、疑难解答、故障定位、故障排除、功能调整等服务。为完成</w:t>
      </w:r>
      <w:r>
        <w:rPr>
          <w:sz w:val="22"/>
        </w:rPr>
        <w:t>甲方</w:t>
      </w:r>
      <w:r>
        <w:rPr>
          <w:sz w:val="22"/>
        </w:rPr>
        <w:t>布置的任务，</w:t>
      </w:r>
      <w:r>
        <w:rPr>
          <w:sz w:val="22"/>
        </w:rPr>
        <w:t>乙方</w:t>
      </w:r>
      <w:r>
        <w:rPr>
          <w:sz w:val="22"/>
        </w:rPr>
        <w:t>应视情况安排项目成员</w:t>
      </w:r>
      <w:r>
        <w:rPr>
          <w:sz w:val="22"/>
        </w:rPr>
        <w:t>提供相应的保障服务和服务时长</w:t>
      </w:r>
      <w:r>
        <w:rPr>
          <w:sz w:val="22"/>
        </w:rPr>
        <w:t>。</w:t>
      </w:r>
    </w:p>
    <w:p>
      <w:pPr>
        <w:pStyle w:val="null3"/>
        <w:ind w:firstLine="440"/>
        <w:jc w:val="both"/>
      </w:pPr>
      <w:r>
        <w:rPr>
          <w:sz w:val="22"/>
        </w:rPr>
        <w:t xml:space="preserve"> </w:t>
      </w:r>
      <w:r>
        <w:rPr>
          <w:sz w:val="22"/>
        </w:rPr>
        <w:t>（二）远程支持</w:t>
      </w:r>
    </w:p>
    <w:p>
      <w:pPr>
        <w:pStyle w:val="null3"/>
        <w:ind w:firstLine="440"/>
        <w:jc w:val="both"/>
      </w:pPr>
      <w:r>
        <w:rPr>
          <w:sz w:val="22"/>
        </w:rPr>
        <w:t>乙方</w:t>
      </w:r>
      <w:r>
        <w:rPr>
          <w:sz w:val="22"/>
        </w:rPr>
        <w:t>通过电话、微信、远程协助等方式为</w:t>
      </w:r>
      <w:r>
        <w:rPr>
          <w:sz w:val="22"/>
        </w:rPr>
        <w:t>甲方</w:t>
      </w:r>
      <w:r>
        <w:rPr>
          <w:sz w:val="22"/>
        </w:rPr>
        <w:t>提供每周</w:t>
      </w:r>
      <w:r>
        <w:rPr>
          <w:sz w:val="22"/>
        </w:rPr>
        <w:t>7*24小时电话技术支持服务，7*24小时微信技术咨询服务，协助</w:t>
      </w:r>
      <w:r>
        <w:rPr>
          <w:sz w:val="22"/>
        </w:rPr>
        <w:t>甲方</w:t>
      </w:r>
      <w:r>
        <w:rPr>
          <w:sz w:val="22"/>
        </w:rPr>
        <w:t>进行故障定位和故障排除。</w:t>
      </w:r>
      <w:r>
        <w:rPr>
          <w:sz w:val="22"/>
        </w:rPr>
        <w:t>甲方</w:t>
      </w:r>
      <w:r>
        <w:rPr>
          <w:sz w:val="22"/>
        </w:rPr>
        <w:t>的电话享有高度优先级，得到优先处理直到得到满意的结果。</w:t>
      </w:r>
    </w:p>
    <w:p>
      <w:pPr>
        <w:pStyle w:val="null3"/>
        <w:ind w:firstLine="440"/>
        <w:jc w:val="both"/>
      </w:pPr>
      <w:r>
        <w:rPr>
          <w:sz w:val="22"/>
        </w:rPr>
        <w:t>（三）紧急现场服务</w:t>
      </w:r>
    </w:p>
    <w:p>
      <w:pPr>
        <w:pStyle w:val="null3"/>
        <w:ind w:firstLine="440"/>
        <w:jc w:val="both"/>
      </w:pPr>
      <w:r>
        <w:rPr>
          <w:sz w:val="22"/>
        </w:rPr>
        <w:t>每天</w:t>
      </w:r>
      <w:r>
        <w:rPr>
          <w:sz w:val="22"/>
        </w:rPr>
        <w:t>（</w:t>
      </w:r>
      <w:r>
        <w:rPr>
          <w:sz w:val="22"/>
        </w:rPr>
        <w:t>含重要节假日</w:t>
      </w:r>
      <w:r>
        <w:rPr>
          <w:sz w:val="22"/>
        </w:rPr>
        <w:t>）</w:t>
      </w:r>
      <w:r>
        <w:rPr>
          <w:sz w:val="22"/>
        </w:rPr>
        <w:t>24小时，</w:t>
      </w:r>
      <w:r>
        <w:rPr>
          <w:sz w:val="22"/>
        </w:rPr>
        <w:t>乙方</w:t>
      </w:r>
      <w:r>
        <w:rPr>
          <w:sz w:val="22"/>
        </w:rPr>
        <w:t>接到</w:t>
      </w:r>
      <w:r>
        <w:rPr>
          <w:sz w:val="22"/>
        </w:rPr>
        <w:t>甲方</w:t>
      </w:r>
      <w:r>
        <w:rPr>
          <w:sz w:val="22"/>
        </w:rPr>
        <w:t>单位的维护需求后，属于维护服务范围的，指派具备相应能力的技术工程师在约定时间内到达故障现场，处理在运维服务期内出现的重大故障或重大事件。</w:t>
      </w:r>
    </w:p>
    <w:p>
      <w:pPr>
        <w:pStyle w:val="null3"/>
        <w:ind w:firstLine="440"/>
        <w:jc w:val="both"/>
      </w:pPr>
      <w:r>
        <w:rPr>
          <w:sz w:val="22"/>
        </w:rPr>
        <w:t>（四）故障处理服务</w:t>
      </w:r>
    </w:p>
    <w:p>
      <w:pPr>
        <w:pStyle w:val="null3"/>
        <w:ind w:firstLine="440"/>
        <w:jc w:val="both"/>
      </w:pPr>
      <w:r>
        <w:rPr>
          <w:sz w:val="22"/>
        </w:rPr>
        <w:t>甲方</w:t>
      </w:r>
      <w:r>
        <w:rPr>
          <w:sz w:val="22"/>
        </w:rPr>
        <w:t>在使用软件系统中遇到疑难问题或系统出现不稳定情况，</w:t>
      </w:r>
      <w:r>
        <w:rPr>
          <w:sz w:val="22"/>
        </w:rPr>
        <w:t>乙方</w:t>
      </w:r>
      <w:r>
        <w:rPr>
          <w:sz w:val="22"/>
        </w:rPr>
        <w:t>提供每周</w:t>
      </w:r>
      <w:r>
        <w:rPr>
          <w:sz w:val="22"/>
        </w:rPr>
        <w:t>7*24小时故障处理服务，并在规定时间内进行故障排除，及时定位故障并进行故障处理，避免或减少由于系统故障导致的损失。</w:t>
      </w:r>
    </w:p>
    <w:p>
      <w:pPr>
        <w:pStyle w:val="null3"/>
        <w:ind w:firstLine="440"/>
        <w:jc w:val="both"/>
      </w:pPr>
      <w:r>
        <w:rPr>
          <w:sz w:val="22"/>
        </w:rPr>
        <w:t>（五）值守服务</w:t>
      </w:r>
    </w:p>
    <w:p>
      <w:pPr>
        <w:pStyle w:val="null3"/>
        <w:ind w:firstLine="440"/>
        <w:jc w:val="both"/>
      </w:pPr>
      <w:r>
        <w:rPr>
          <w:sz w:val="22"/>
        </w:rPr>
        <w:t>重要节假日、活动</w:t>
      </w:r>
      <w:r>
        <w:rPr>
          <w:sz w:val="22"/>
        </w:rPr>
        <w:t>(重大会议、重大活动、敏感时间段)、攻防演练期间，若</w:t>
      </w:r>
      <w:r>
        <w:rPr>
          <w:sz w:val="22"/>
        </w:rPr>
        <w:t>甲方</w:t>
      </w:r>
      <w:r>
        <w:rPr>
          <w:sz w:val="22"/>
        </w:rPr>
        <w:t>单位提出项目</w:t>
      </w:r>
      <w:r>
        <w:rPr>
          <w:sz w:val="22"/>
        </w:rPr>
        <w:t>24小时值守需求，</w:t>
      </w:r>
      <w:r>
        <w:rPr>
          <w:sz w:val="22"/>
        </w:rPr>
        <w:t>乙方</w:t>
      </w:r>
      <w:r>
        <w:rPr>
          <w:sz w:val="22"/>
        </w:rPr>
        <w:t>需按</w:t>
      </w:r>
      <w:r>
        <w:rPr>
          <w:sz w:val="22"/>
        </w:rPr>
        <w:t>甲方</w:t>
      </w:r>
      <w:r>
        <w:rPr>
          <w:sz w:val="22"/>
        </w:rPr>
        <w:t>需求作出响应。</w:t>
      </w:r>
    </w:p>
    <w:p>
      <w:pPr>
        <w:pStyle w:val="null3"/>
        <w:ind w:firstLine="442"/>
        <w:jc w:val="both"/>
      </w:pPr>
      <w:r>
        <w:rPr>
          <w:sz w:val="22"/>
          <w:b/>
        </w:rPr>
        <w:t>六、</w:t>
      </w:r>
      <w:r>
        <w:rPr>
          <w:sz w:val="22"/>
          <w:b/>
        </w:rPr>
        <w:t>人员</w:t>
      </w:r>
      <w:r>
        <w:rPr>
          <w:sz w:val="22"/>
          <w:b/>
        </w:rPr>
        <w:t>要求</w:t>
      </w:r>
    </w:p>
    <w:p>
      <w:pPr>
        <w:pStyle w:val="null3"/>
        <w:ind w:firstLine="440"/>
        <w:jc w:val="both"/>
      </w:pPr>
      <w:r>
        <w:rPr>
          <w:sz w:val="22"/>
        </w:rPr>
        <w:t>（一）</w:t>
      </w:r>
      <w:r>
        <w:rPr>
          <w:sz w:val="22"/>
        </w:rPr>
        <w:t>综合管理</w:t>
      </w:r>
      <w:r>
        <w:rPr>
          <w:sz w:val="22"/>
        </w:rPr>
        <w:t>人员要求</w:t>
      </w:r>
    </w:p>
    <w:p>
      <w:pPr>
        <w:pStyle w:val="null3"/>
        <w:ind w:firstLine="440"/>
        <w:jc w:val="both"/>
      </w:pPr>
      <w:r>
        <w:rPr>
          <w:sz w:val="22"/>
        </w:rPr>
        <w:t>为综合管理人员由</w:t>
      </w:r>
      <w:r>
        <w:rPr>
          <w:sz w:val="22"/>
        </w:rPr>
        <w:t>1名项目经理与2名综合服务人员共3人组成，作为运维团队和</w:t>
      </w:r>
      <w:r>
        <w:rPr>
          <w:sz w:val="22"/>
        </w:rPr>
        <w:t>甲方</w:t>
      </w:r>
      <w:r>
        <w:rPr>
          <w:sz w:val="22"/>
        </w:rPr>
        <w:t>友好沟通的桥梁，要求综合管理人员熟悉信息化项目建设管理和系统运维相关工作，具备丰富的网站管理技术、信息安全等综合管理能力和经验，为</w:t>
      </w:r>
      <w:r>
        <w:rPr>
          <w:sz w:val="22"/>
        </w:rPr>
        <w:t>甲方</w:t>
      </w:r>
      <w:r>
        <w:rPr>
          <w:sz w:val="22"/>
        </w:rPr>
        <w:t>提供日常运维服务支撑。</w:t>
      </w:r>
    </w:p>
    <w:p>
      <w:pPr>
        <w:pStyle w:val="null3"/>
        <w:ind w:firstLine="440"/>
        <w:jc w:val="both"/>
      </w:pPr>
      <w:r>
        <w:rPr>
          <w:sz w:val="22"/>
        </w:rPr>
        <w:t>（</w:t>
      </w:r>
      <w:r>
        <w:rPr>
          <w:sz w:val="22"/>
        </w:rPr>
        <w:t>二</w:t>
      </w:r>
      <w:r>
        <w:rPr>
          <w:sz w:val="22"/>
        </w:rPr>
        <w:t>）</w:t>
      </w:r>
      <w:r>
        <w:rPr>
          <w:sz w:val="22"/>
        </w:rPr>
        <w:t>技术维护</w:t>
      </w:r>
      <w:r>
        <w:rPr>
          <w:sz w:val="22"/>
        </w:rPr>
        <w:t>人员要求</w:t>
      </w:r>
    </w:p>
    <w:p>
      <w:pPr>
        <w:pStyle w:val="null3"/>
        <w:ind w:firstLine="440"/>
        <w:jc w:val="both"/>
      </w:pPr>
      <w:r>
        <w:rPr>
          <w:sz w:val="22"/>
        </w:rPr>
        <w:t>由于项目的特殊性，部分系统需提供驻点维护服务。服务驻点人员需为项目核心建设的人员，同时提供二线远程支撑，对现场驻点人员进行补充和工作配合。为满足运维要求在合同运维服务期内，</w:t>
      </w:r>
      <w:r>
        <w:rPr>
          <w:sz w:val="22"/>
        </w:rPr>
        <w:t>乙方</w:t>
      </w:r>
      <w:r>
        <w:rPr>
          <w:sz w:val="22"/>
        </w:rPr>
        <w:t>需提供不少于</w:t>
      </w:r>
      <w:r>
        <w:rPr>
          <w:sz w:val="22"/>
        </w:rPr>
        <w:t>13名驻点人员,为运维项目提供日常巡检、应急预演、系统故障处置、功能优化及修改、建议咨询、系统安全保障、系统监控等技术支持服务，</w:t>
      </w:r>
      <w:r>
        <w:rPr>
          <w:sz w:val="22"/>
        </w:rPr>
        <w:t>乙方</w:t>
      </w:r>
      <w:r>
        <w:rPr>
          <w:sz w:val="22"/>
        </w:rPr>
        <w:t>可根据运维项目的实际需求安排远程运维工程师（</w:t>
      </w:r>
      <w:r>
        <w:rPr>
          <w:sz w:val="22"/>
        </w:rPr>
        <w:t>38名远程（二线）支撑人员），由项目经理进行统一管理。</w:t>
      </w:r>
    </w:p>
    <w:p>
      <w:pPr>
        <w:pStyle w:val="null3"/>
        <w:ind w:firstLine="440"/>
        <w:jc w:val="both"/>
      </w:pPr>
      <w:r>
        <w:rPr>
          <w:sz w:val="22"/>
        </w:rPr>
        <w:t>根据各系统的运维工作要求，各系统维护人员的驻点人数和远程服务人数拟作以下安排，相关工作分工如下表：</w:t>
      </w:r>
    </w:p>
    <w:tbl>
      <w:tblPr>
        <w:tblW w:w="0" w:type="auto"/>
        <w:tblBorders>
          <w:top w:val="none" w:color="000000" w:sz="4"/>
          <w:left w:val="none" w:color="000000" w:sz="4"/>
          <w:bottom w:val="none" w:color="000000" w:sz="4"/>
          <w:right w:val="none" w:color="000000" w:sz="4"/>
          <w:insideH w:val="none"/>
          <w:insideV w:val="none"/>
        </w:tblBorders>
      </w:tblPr>
      <w:tblGrid>
        <w:gridCol w:w="646"/>
        <w:gridCol w:w="1307"/>
        <w:gridCol w:w="675"/>
        <w:gridCol w:w="2232"/>
        <w:gridCol w:w="646"/>
        <w:gridCol w:w="2760"/>
      </w:tblGrid>
      <w:tr>
        <w:tc>
          <w:tcPr>
            <w:tcW w:type="dxa" w:w="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序号</w:t>
            </w:r>
          </w:p>
        </w:tc>
        <w:tc>
          <w:tcPr>
            <w:tcW w:type="dxa" w:w="13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系统名称</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驻点人员</w:t>
            </w:r>
          </w:p>
        </w:tc>
        <w:tc>
          <w:tcPr>
            <w:tcW w:type="dxa" w:w="2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工作内容</w:t>
            </w:r>
          </w:p>
        </w:tc>
        <w:tc>
          <w:tcPr>
            <w:tcW w:type="dxa" w:w="6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二线人员</w:t>
            </w:r>
          </w:p>
        </w:tc>
        <w:tc>
          <w:tcPr>
            <w:tcW w:type="dxa" w:w="27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color w:val="000000"/>
              </w:rPr>
              <w:t>工作内容</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广东省市场准入信息系统</w:t>
            </w:r>
          </w:p>
          <w:p>
            <w:pPr>
              <w:pStyle w:val="null3"/>
              <w:jc w:val="center"/>
            </w:pPr>
            <w:r>
              <w:rPr>
                <w:sz w:val="22"/>
                <w:color w:val="000000"/>
              </w:rPr>
              <w:t>（中山）</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日常维护、系统优化、数据服务、文档服务、个性化服务</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w:t>
            </w:r>
            <w:r>
              <w:rPr>
                <w:sz w:val="22"/>
                <w:color w:val="000000"/>
              </w:rPr>
              <w:t>“一照通行”服务</w:t>
            </w:r>
          </w:p>
          <w:p>
            <w:pPr>
              <w:pStyle w:val="null3"/>
              <w:jc w:val="center"/>
            </w:pPr>
            <w:r>
              <w:rPr>
                <w:sz w:val="22"/>
                <w:color w:val="000000"/>
              </w:rPr>
              <w:t>平台</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日常维护、文档服务</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12</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系统优化、数据服务、接口运维、个性化服务</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中山市个体工商户转型升级服务平台</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日常维护、系统优化、数据服务、文档服务</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中山市商事登记全程电子化智能申报审批平台</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日常维护、系统优化、数据服务、文档服务</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中山市市场监督管理局个体集群智能申报审批服务平台</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日常维护、系统优化、数据服务、文档服务</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6</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中山市涉企信息统一归集公示数据管理平台（含一二期）</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日常维护、系统优化、数据服务、文档服务等工作</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远程支撑驻点服务人员，提供技术支持，定位问题，排除故障等工作</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中山市市场监督管理局智慧监管服务平台项目</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7</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1.按专题系统分组，驻点服务人员负责本专题组的所有工作，包括日常维护、系统优化、数据服务、文档服务等</w:t>
            </w:r>
          </w:p>
          <w:p>
            <w:pPr>
              <w:pStyle w:val="null3"/>
              <w:jc w:val="left"/>
            </w:pPr>
            <w:r>
              <w:rPr>
                <w:sz w:val="22"/>
                <w:color w:val="000000"/>
              </w:rPr>
              <w:t>2.根据</w:t>
            </w:r>
            <w:r>
              <w:rPr>
                <w:sz w:val="22"/>
                <w:color w:val="000000"/>
              </w:rPr>
              <w:t>甲方</w:t>
            </w:r>
            <w:r>
              <w:rPr>
                <w:sz w:val="22"/>
                <w:color w:val="000000"/>
              </w:rPr>
              <w:t>要求开展相关系统个性化服务</w:t>
            </w: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远程运维支撑人员对维护工作进行紧密跟踪和管理，协调与</w:t>
            </w:r>
            <w:r>
              <w:rPr>
                <w:sz w:val="22"/>
                <w:color w:val="000000"/>
              </w:rPr>
              <w:t>甲方</w:t>
            </w:r>
            <w:r>
              <w:rPr>
                <w:sz w:val="22"/>
                <w:color w:val="000000"/>
              </w:rPr>
              <w:t>之间的重大问题。</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中山市全国</w:t>
            </w:r>
            <w:r>
              <w:rPr>
                <w:sz w:val="22"/>
                <w:color w:val="000000"/>
              </w:rPr>
              <w:t>12315平台话务平台信息录入应用系统</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日常维护、系统优化、数据服务、文档服务</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9</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中山市市场监督管理局知识产权一体化系统</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日常维护、系统优化、数据服务、文档服务</w:t>
            </w:r>
          </w:p>
        </w:tc>
      </w:tr>
      <w:tr>
        <w:tc>
          <w:tcPr>
            <w:tcW w:type="dxa" w:w="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10</w:t>
            </w:r>
          </w:p>
        </w:tc>
        <w:tc>
          <w:tcPr>
            <w:tcW w:type="dxa" w:w="13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中山市</w:t>
            </w:r>
            <w:r>
              <w:rPr>
                <w:sz w:val="22"/>
                <w:color w:val="000000"/>
              </w:rPr>
              <w:t>“香山新街市”智慧农贸平台</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日常维护、系统优化、数据服务、文档服务</w:t>
            </w:r>
          </w:p>
        </w:tc>
      </w:tr>
      <w:tr>
        <w:tc>
          <w:tcPr>
            <w:tcW w:type="dxa" w:w="19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合计</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13</w:t>
            </w:r>
          </w:p>
        </w:tc>
        <w:tc>
          <w:tcPr>
            <w:tcW w:type="dxa" w:w="2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38</w:t>
            </w:r>
          </w:p>
        </w:tc>
        <w:tc>
          <w:tcPr>
            <w:tcW w:type="dxa" w:w="27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both"/>
      </w:pPr>
      <w:r>
        <w:rPr>
          <w:sz w:val="22"/>
        </w:rPr>
        <w:t>（三）安全服务人员</w:t>
      </w:r>
    </w:p>
    <w:p>
      <w:pPr>
        <w:pStyle w:val="null3"/>
        <w:ind w:firstLine="440"/>
        <w:jc w:val="both"/>
      </w:pPr>
      <w:r>
        <w:rPr>
          <w:sz w:val="22"/>
        </w:rPr>
        <w:t>安全专业人员现场驻点</w:t>
      </w:r>
      <w:r>
        <w:rPr>
          <w:sz w:val="22"/>
        </w:rPr>
        <w:t>1名，负责协调相关资源支撑工作，同时</w:t>
      </w:r>
      <w:r>
        <w:rPr>
          <w:sz w:val="22"/>
        </w:rPr>
        <w:t>乙方</w:t>
      </w:r>
      <w:r>
        <w:rPr>
          <w:sz w:val="22"/>
        </w:rPr>
        <w:t>安排一个二线安全服务团队（不少于</w:t>
      </w:r>
      <w:r>
        <w:rPr>
          <w:sz w:val="22"/>
        </w:rPr>
        <w:t>3名安全专业人员组成）；另在重大活动网络安保期间，增加1名支撑专家在现场值守。</w:t>
      </w:r>
    </w:p>
    <w:p>
      <w:pPr>
        <w:pStyle w:val="null3"/>
        <w:ind w:firstLine="440"/>
        <w:jc w:val="both"/>
      </w:pPr>
      <w:r>
        <w:rPr>
          <w:sz w:val="22"/>
        </w:rPr>
        <w:t>（四）运维人员服务要求</w:t>
      </w:r>
    </w:p>
    <w:p>
      <w:pPr>
        <w:pStyle w:val="null3"/>
        <w:ind w:firstLine="440"/>
        <w:jc w:val="both"/>
      </w:pPr>
      <w:r>
        <w:rPr>
          <w:sz w:val="22"/>
        </w:rPr>
        <w:t>运维服务人员由</w:t>
      </w:r>
      <w:r>
        <w:rPr>
          <w:sz w:val="22"/>
        </w:rPr>
        <w:t>甲方</w:t>
      </w:r>
      <w:r>
        <w:rPr>
          <w:sz w:val="22"/>
        </w:rPr>
        <w:t>实行管理，同时需遵从和配合全市统一运维管理工作，接受统一运维管理平台人员考勤、服务评价等管理，无条件响应重大节假日、重要活动等重保工作期间的值班值守工作。运维服务人员需具备包括但不限于以下专业素质：</w:t>
      </w:r>
    </w:p>
    <w:p>
      <w:pPr>
        <w:pStyle w:val="null3"/>
        <w:ind w:firstLine="440"/>
        <w:jc w:val="both"/>
      </w:pPr>
      <w:r>
        <w:rPr>
          <w:sz w:val="22"/>
        </w:rPr>
        <w:t>1.具备良好的沟通协调能力；</w:t>
      </w:r>
    </w:p>
    <w:p>
      <w:pPr>
        <w:pStyle w:val="null3"/>
        <w:ind w:firstLine="440"/>
        <w:jc w:val="both"/>
      </w:pPr>
      <w:r>
        <w:rPr>
          <w:sz w:val="22"/>
        </w:rPr>
        <w:t>2.熟悉掌握常用办公软件的使用；</w:t>
      </w:r>
    </w:p>
    <w:p>
      <w:pPr>
        <w:pStyle w:val="null3"/>
        <w:ind w:firstLine="440"/>
        <w:jc w:val="both"/>
      </w:pPr>
      <w:r>
        <w:rPr>
          <w:sz w:val="22"/>
        </w:rPr>
        <w:t>3.熟悉操作系统及软硬件的安装、诊断和维护；</w:t>
      </w:r>
    </w:p>
    <w:p>
      <w:pPr>
        <w:pStyle w:val="null3"/>
        <w:ind w:firstLine="440"/>
        <w:jc w:val="both"/>
      </w:pPr>
      <w:r>
        <w:rPr>
          <w:sz w:val="22"/>
        </w:rPr>
        <w:t>4.熟悉服务器及主流数据库的安装及配置维护；</w:t>
      </w:r>
    </w:p>
    <w:p>
      <w:pPr>
        <w:pStyle w:val="null3"/>
        <w:ind w:firstLine="440"/>
        <w:jc w:val="both"/>
      </w:pPr>
      <w:r>
        <w:rPr>
          <w:sz w:val="22"/>
        </w:rPr>
        <w:t>5.熟悉常用编程语言，能够对数据库进行操作；</w:t>
      </w:r>
    </w:p>
    <w:p>
      <w:pPr>
        <w:pStyle w:val="null3"/>
        <w:ind w:firstLine="440"/>
        <w:jc w:val="both"/>
      </w:pPr>
      <w:r>
        <w:rPr>
          <w:sz w:val="22"/>
        </w:rPr>
        <w:t>6.遵守</w:t>
      </w:r>
      <w:r>
        <w:rPr>
          <w:sz w:val="22"/>
        </w:rPr>
        <w:t>甲方</w:t>
      </w:r>
      <w:r>
        <w:rPr>
          <w:sz w:val="22"/>
        </w:rPr>
        <w:t>的工作纪律，服从</w:t>
      </w:r>
      <w:r>
        <w:rPr>
          <w:sz w:val="22"/>
        </w:rPr>
        <w:t>甲方</w:t>
      </w:r>
      <w:r>
        <w:rPr>
          <w:sz w:val="22"/>
        </w:rPr>
        <w:t>的工作安排；</w:t>
      </w:r>
    </w:p>
    <w:p>
      <w:pPr>
        <w:pStyle w:val="null3"/>
        <w:ind w:firstLine="440"/>
        <w:jc w:val="both"/>
      </w:pPr>
      <w:r>
        <w:rPr>
          <w:sz w:val="22"/>
        </w:rPr>
        <w:t>7.运维人员资质须经</w:t>
      </w:r>
      <w:r>
        <w:rPr>
          <w:sz w:val="22"/>
        </w:rPr>
        <w:t>甲方</w:t>
      </w:r>
      <w:r>
        <w:rPr>
          <w:sz w:val="22"/>
        </w:rPr>
        <w:t>审核合格后（提供复印件备查），才可上岗工作；</w:t>
      </w:r>
    </w:p>
    <w:p>
      <w:pPr>
        <w:pStyle w:val="null3"/>
        <w:ind w:firstLine="440"/>
        <w:jc w:val="both"/>
      </w:pPr>
      <w:r>
        <w:rPr>
          <w:sz w:val="22"/>
        </w:rPr>
        <w:t>8.若实际运维人员不符合工作要求，</w:t>
      </w:r>
      <w:r>
        <w:rPr>
          <w:sz w:val="22"/>
        </w:rPr>
        <w:t>甲方</w:t>
      </w:r>
      <w:r>
        <w:rPr>
          <w:sz w:val="22"/>
        </w:rPr>
        <w:t>有权要求更换；若运维人员有变更，需提前</w:t>
      </w:r>
      <w:r>
        <w:rPr>
          <w:sz w:val="22"/>
        </w:rPr>
        <w:t>1个月书面通知</w:t>
      </w:r>
      <w:r>
        <w:rPr>
          <w:sz w:val="22"/>
        </w:rPr>
        <w:t>甲方</w:t>
      </w:r>
      <w:r>
        <w:rPr>
          <w:sz w:val="22"/>
        </w:rPr>
        <w:t>，经</w:t>
      </w:r>
      <w:r>
        <w:rPr>
          <w:sz w:val="22"/>
        </w:rPr>
        <w:t>甲方</w:t>
      </w:r>
      <w:r>
        <w:rPr>
          <w:sz w:val="22"/>
        </w:rPr>
        <w:t>审核同意后才可更换；</w:t>
      </w:r>
    </w:p>
    <w:p>
      <w:pPr>
        <w:pStyle w:val="null3"/>
        <w:ind w:firstLine="440"/>
        <w:jc w:val="both"/>
      </w:pPr>
      <w:r>
        <w:rPr>
          <w:sz w:val="22"/>
        </w:rPr>
        <w:t>9.运维人员须签订保密协议，不得泄露系统数据、操作用户密码、系统设计思路、软件工作模式、系统设计、操作资料等内容；</w:t>
      </w:r>
    </w:p>
    <w:p>
      <w:pPr>
        <w:pStyle w:val="null3"/>
        <w:ind w:firstLine="440"/>
        <w:jc w:val="both"/>
      </w:pPr>
      <w:r>
        <w:rPr>
          <w:sz w:val="22"/>
        </w:rPr>
        <w:t>10.驻场运维人员的办公环境、场地、桌椅由</w:t>
      </w:r>
      <w:r>
        <w:rPr>
          <w:sz w:val="22"/>
        </w:rPr>
        <w:t>甲方</w:t>
      </w:r>
      <w:r>
        <w:rPr>
          <w:sz w:val="22"/>
        </w:rPr>
        <w:t>提供，其余办公所用设备及资料，如办公电脑、交通工具等由</w:t>
      </w:r>
      <w:r>
        <w:rPr>
          <w:sz w:val="22"/>
        </w:rPr>
        <w:t>乙方</w:t>
      </w:r>
      <w:r>
        <w:rPr>
          <w:sz w:val="22"/>
        </w:rPr>
        <w:t>自行承担；</w:t>
      </w:r>
    </w:p>
    <w:p>
      <w:pPr>
        <w:pStyle w:val="null3"/>
        <w:ind w:firstLine="440"/>
        <w:jc w:val="both"/>
      </w:pPr>
      <w:r>
        <w:rPr>
          <w:sz w:val="22"/>
        </w:rPr>
        <w:t>11.驻场运维人员需自备电脑（本条所称的电脑主要指：主机、显示器、打印机、以及所有的电脑网络产品和附属设备，各类应用软件等），并按</w:t>
      </w:r>
      <w:r>
        <w:rPr>
          <w:sz w:val="22"/>
        </w:rPr>
        <w:t>甲方</w:t>
      </w:r>
      <w:r>
        <w:rPr>
          <w:sz w:val="22"/>
        </w:rPr>
        <w:t>网络信息安全和业务设备管理的要求进行管理，当驻场运维人员调岗或离职时需移交个人电脑中与本项目相关的全部运维资料，未经允许不得对任何人和机构透露因运维过程知悉的包括但不限于代码、业务等。</w:t>
      </w:r>
    </w:p>
    <w:p>
      <w:pPr>
        <w:pStyle w:val="null3"/>
        <w:ind w:firstLine="442"/>
        <w:jc w:val="both"/>
      </w:pPr>
      <w:r>
        <w:rPr>
          <w:sz w:val="22"/>
          <w:b/>
        </w:rPr>
        <w:t>七、项目文档要求</w:t>
      </w:r>
    </w:p>
    <w:p>
      <w:pPr>
        <w:pStyle w:val="null3"/>
        <w:ind w:firstLine="440"/>
        <w:jc w:val="both"/>
      </w:pPr>
      <w:r>
        <w:rPr>
          <w:sz w:val="22"/>
        </w:rPr>
        <w:t>乙方必须按要求提交服务工作文档，服务工作文档将作为合同验收的交付材料。最终产出的文档将根据实际情况进行调整。本项目需要出具以下工作文档：</w:t>
      </w:r>
    </w:p>
    <w:p>
      <w:pPr>
        <w:pStyle w:val="null3"/>
        <w:ind w:firstLine="440"/>
        <w:jc w:val="both"/>
      </w:pPr>
      <w:r>
        <w:rPr>
          <w:sz w:val="22"/>
        </w:rPr>
        <w:t>（</w:t>
      </w:r>
      <w:r>
        <w:rPr>
          <w:sz w:val="22"/>
        </w:rPr>
        <w:t>1）项目运维月报</w:t>
      </w:r>
    </w:p>
    <w:p>
      <w:pPr>
        <w:pStyle w:val="null3"/>
        <w:ind w:firstLine="440"/>
        <w:jc w:val="both"/>
      </w:pPr>
      <w:r>
        <w:rPr>
          <w:sz w:val="22"/>
        </w:rPr>
        <w:t>（</w:t>
      </w:r>
      <w:r>
        <w:rPr>
          <w:sz w:val="22"/>
        </w:rPr>
        <w:t>2）项目运维年报</w:t>
      </w:r>
    </w:p>
    <w:p>
      <w:pPr>
        <w:pStyle w:val="null3"/>
        <w:ind w:firstLine="440"/>
        <w:jc w:val="both"/>
      </w:pPr>
      <w:r>
        <w:rPr>
          <w:sz w:val="22"/>
        </w:rPr>
        <w:t>（</w:t>
      </w:r>
      <w:r>
        <w:rPr>
          <w:sz w:val="22"/>
        </w:rPr>
        <w:t>3）项目总结报告（含项目建议）</w:t>
      </w:r>
    </w:p>
    <w:p>
      <w:pPr>
        <w:pStyle w:val="null3"/>
        <w:ind w:firstLine="440"/>
        <w:jc w:val="both"/>
      </w:pPr>
      <w:r>
        <w:rPr>
          <w:sz w:val="22"/>
        </w:rPr>
        <w:t>（</w:t>
      </w:r>
      <w:r>
        <w:rPr>
          <w:sz w:val="22"/>
        </w:rPr>
        <w:t>4）其他文档：包括但不限于重大事件处理文档、安全整改文档、知识库、培训文档等，视情况根据甲方需求提供。</w:t>
      </w:r>
    </w:p>
    <w:p>
      <w:pPr>
        <w:pStyle w:val="null3"/>
        <w:ind w:firstLine="440"/>
        <w:jc w:val="both"/>
      </w:pPr>
      <w:r>
        <w:rPr>
          <w:sz w:val="22"/>
        </w:rPr>
        <w:t>1</w:t>
      </w:r>
      <w:r>
        <w:rPr>
          <w:sz w:val="22"/>
        </w:rPr>
        <w:t>.</w:t>
      </w:r>
      <w:r>
        <w:rPr>
          <w:sz w:val="22"/>
        </w:rPr>
        <w:t>文档内容要求</w:t>
      </w:r>
    </w:p>
    <w:p>
      <w:pPr>
        <w:pStyle w:val="null3"/>
        <w:ind w:firstLine="440"/>
        <w:jc w:val="both"/>
      </w:pPr>
      <w:r>
        <w:rPr>
          <w:sz w:val="22"/>
        </w:rPr>
        <w:t>（</w:t>
      </w:r>
      <w:r>
        <w:rPr>
          <w:sz w:val="22"/>
        </w:rPr>
        <w:t>1）项目运维月报。报告内容包括但不限于：本月运维工作、工单跟踪情况、工作总结及建议、运维事件记录和事件问题分析、遗留未决问题的解决进度、预防性运维措施、故障处理进度等。要求每月一报。</w:t>
      </w:r>
    </w:p>
    <w:p>
      <w:pPr>
        <w:pStyle w:val="null3"/>
        <w:ind w:firstLine="440"/>
        <w:jc w:val="both"/>
      </w:pPr>
      <w:r>
        <w:rPr>
          <w:sz w:val="22"/>
        </w:rPr>
        <w:t>（</w:t>
      </w:r>
      <w:r>
        <w:rPr>
          <w:sz w:val="22"/>
        </w:rPr>
        <w:t>2）项目运维年报。对一年内运维活动的全面总结，包括问题与挑战、性能与安全状况、用户反馈、实践与改进建议，以及未来计划和结论。此外，还需附录所有重要附加信息，确保报告的完整性和准确性。</w:t>
      </w:r>
    </w:p>
    <w:p>
      <w:pPr>
        <w:pStyle w:val="null3"/>
        <w:ind w:firstLine="440"/>
        <w:jc w:val="both"/>
      </w:pPr>
      <w:r>
        <w:rPr>
          <w:sz w:val="22"/>
        </w:rPr>
        <w:t>（</w:t>
      </w:r>
      <w:r>
        <w:rPr>
          <w:sz w:val="22"/>
        </w:rPr>
        <w:t>3）项目总结报告（含项目建议）：简述运维项目的目标、背景和重要性，对项目实施过程进行总结，展示项目成果，提出项目问题与挑战，基于项目执行的经验和教训，提出对未来运维项目的改进建议和优化措施。</w:t>
      </w:r>
    </w:p>
    <w:p>
      <w:pPr>
        <w:pStyle w:val="null3"/>
        <w:ind w:firstLine="440"/>
        <w:jc w:val="both"/>
      </w:pPr>
      <w:r>
        <w:rPr>
          <w:sz w:val="22"/>
        </w:rPr>
        <w:t>2</w:t>
      </w:r>
      <w:r>
        <w:rPr>
          <w:sz w:val="22"/>
        </w:rPr>
        <w:t>.</w:t>
      </w:r>
      <w:r>
        <w:rPr>
          <w:sz w:val="22"/>
        </w:rPr>
        <w:t>提交时间要求</w:t>
      </w:r>
    </w:p>
    <w:p>
      <w:pPr>
        <w:pStyle w:val="null3"/>
        <w:ind w:firstLine="440"/>
        <w:jc w:val="both"/>
      </w:pPr>
      <w:r>
        <w:rPr>
          <w:sz w:val="22"/>
        </w:rPr>
        <w:t>（</w:t>
      </w:r>
      <w:r>
        <w:rPr>
          <w:sz w:val="22"/>
        </w:rPr>
        <w:t>1）项目运维月报：每月服务完成后的第5个工作日前，乙方将加盖公章的上一月度的《运维服务月报》报甲方审核签字。</w:t>
      </w:r>
    </w:p>
    <w:p>
      <w:pPr>
        <w:pStyle w:val="null3"/>
        <w:ind w:firstLine="440"/>
        <w:jc w:val="both"/>
      </w:pPr>
      <w:r>
        <w:rPr>
          <w:sz w:val="22"/>
        </w:rPr>
        <w:t>（</w:t>
      </w:r>
      <w:r>
        <w:rPr>
          <w:sz w:val="22"/>
        </w:rPr>
        <w:t>2）项目运维年报：每年服务完成后的第一个月内，乙方将加盖公章的上一年度的《运维服务年报》报甲方审核签字。</w:t>
      </w:r>
    </w:p>
    <w:p>
      <w:pPr>
        <w:pStyle w:val="null3"/>
        <w:ind w:firstLine="440"/>
        <w:jc w:val="both"/>
      </w:pPr>
      <w:r>
        <w:rPr>
          <w:sz w:val="22"/>
        </w:rPr>
        <w:t>（</w:t>
      </w:r>
      <w:r>
        <w:rPr>
          <w:sz w:val="22"/>
        </w:rPr>
        <w:t>3）项目总结报告（含项目建议）：项目综合验收前，乙方将加盖公章的《项目总结报告（含项目建议）》报甲方审核签字。</w:t>
      </w:r>
    </w:p>
    <w:p>
      <w:pPr>
        <w:pStyle w:val="null3"/>
        <w:ind w:firstLine="442"/>
        <w:jc w:val="both"/>
      </w:pPr>
      <w:r>
        <w:rPr>
          <w:sz w:val="22"/>
          <w:b/>
        </w:rPr>
        <w:t>八、</w:t>
      </w:r>
      <w:r>
        <w:rPr>
          <w:sz w:val="22"/>
          <w:b/>
        </w:rPr>
        <w:t>其他</w:t>
      </w:r>
      <w:r>
        <w:rPr>
          <w:sz w:val="22"/>
          <w:b/>
        </w:rPr>
        <w:t>要求</w:t>
      </w:r>
    </w:p>
    <w:p>
      <w:pPr>
        <w:pStyle w:val="null3"/>
        <w:ind w:firstLine="440"/>
        <w:jc w:val="both"/>
      </w:pPr>
      <w:r>
        <w:rPr>
          <w:sz w:val="22"/>
        </w:rPr>
        <w:t>（一）若本项目运维的某个系统在运维期间开展国产化改造，在新的系统成功上线后，原来的系统将会下线，</w:t>
      </w:r>
      <w:r>
        <w:rPr>
          <w:sz w:val="22"/>
        </w:rPr>
        <w:t>甲方</w:t>
      </w:r>
      <w:r>
        <w:rPr>
          <w:sz w:val="22"/>
        </w:rPr>
        <w:t>有权终止该系统的运维服务，从下线之日起，次月将对应停止支付该系统到</w:t>
      </w:r>
      <w:r>
        <w:rPr>
          <w:sz w:val="22"/>
        </w:rPr>
        <w:t>2027年6月30日对应的运维费用，同时CA证书也同步停止，不再续费。</w:t>
      </w:r>
    </w:p>
    <w:p>
      <w:pPr>
        <w:pStyle w:val="null3"/>
        <w:ind w:firstLine="440"/>
        <w:jc w:val="both"/>
      </w:pPr>
      <w:r>
        <w:rPr>
          <w:sz w:val="22"/>
        </w:rPr>
        <w:t>（二）</w:t>
      </w:r>
      <w:r>
        <w:rPr>
          <w:sz w:val="22"/>
        </w:rPr>
        <w:t>乙方</w:t>
      </w:r>
      <w:r>
        <w:rPr>
          <w:sz w:val="22"/>
        </w:rPr>
        <w:t>需使用中山市政务服务和数据管理局提供的全市统一运维平台开展日常的运维服务工作。本项目的智慧监管服务平台中的运维工作模块需与全市统一运维平台对接，实现应用系统用户使用量、访问量等使用效益指标及时推送，实现系统部署资源运行情况的监测、告警。</w:t>
      </w:r>
    </w:p>
    <w:p>
      <w:pPr>
        <w:pStyle w:val="null3"/>
        <w:ind w:firstLine="440"/>
        <w:jc w:val="both"/>
      </w:pPr>
      <w:r>
        <w:rPr>
          <w:sz w:val="22"/>
        </w:rPr>
        <w:t>如</w:t>
      </w:r>
      <w:r>
        <w:rPr>
          <w:sz w:val="22"/>
        </w:rPr>
        <w:t>甲方</w:t>
      </w:r>
      <w:r>
        <w:rPr>
          <w:sz w:val="22"/>
        </w:rPr>
        <w:t>上级部门的运维统管平台需与全市统一运维平台对接，如报障工单提交、结单处置数据对接等工作要求，</w:t>
      </w:r>
      <w:r>
        <w:rPr>
          <w:sz w:val="22"/>
        </w:rPr>
        <w:t>乙方</w:t>
      </w:r>
      <w:r>
        <w:rPr>
          <w:sz w:val="22"/>
        </w:rPr>
        <w:t>需无条件负责实现对接。</w:t>
      </w:r>
    </w:p>
    <w:p>
      <w:pPr>
        <w:pStyle w:val="null3"/>
        <w:ind w:firstLine="440"/>
        <w:jc w:val="both"/>
      </w:pPr>
      <w:r>
        <w:rPr>
          <w:sz w:val="22"/>
        </w:rPr>
        <w:t>（三）</w:t>
      </w:r>
      <w:r>
        <w:rPr>
          <w:sz w:val="22"/>
        </w:rPr>
        <w:t>乙方</w:t>
      </w:r>
      <w:r>
        <w:rPr>
          <w:sz w:val="22"/>
        </w:rPr>
        <w:t>需负责将</w:t>
      </w:r>
      <w:r>
        <w:rPr>
          <w:sz w:val="22"/>
        </w:rPr>
        <w:t>甲方</w:t>
      </w:r>
      <w:r>
        <w:rPr>
          <w:sz w:val="22"/>
        </w:rPr>
        <w:t>机房视频监控需汇聚接入到全市统一运维平台，实现应用统一监控、统一管理、统一调度。</w:t>
      </w:r>
    </w:p>
    <w:p>
      <w:pPr>
        <w:pStyle w:val="null3"/>
        <w:ind w:firstLine="440"/>
        <w:jc w:val="both"/>
      </w:pPr>
      <w:r>
        <w:rPr>
          <w:sz w:val="22"/>
        </w:rPr>
        <w:t>（四）根据《中山市政务信息化系统安全认证登录工作方案》的要求，升级优化系统登录方式，优先选择对接广东省统一身份认证平台（公众侧或政务侧）完成安全认证登录改造，其次选择</w:t>
      </w:r>
      <w:r>
        <w:rPr>
          <w:sz w:val="22"/>
        </w:rPr>
        <w:t>“用户名+口令+短信校验码”等多因子认证方式完成安全认证登录改造。</w:t>
      </w:r>
    </w:p>
    <w:p>
      <w:pPr>
        <w:pStyle w:val="null3"/>
        <w:ind w:firstLine="440"/>
        <w:jc w:val="both"/>
      </w:pPr>
      <w:r>
        <w:rPr>
          <w:sz w:val="22"/>
        </w:rPr>
        <w:t>（五）运维服务期内，在各系统的运维过程中，属于系统优化类的涉及已有模块或功能进行的适应性修改完善或接口升级优化的，包括但不限于如系统安全认证登录改造、登录密码策略调整、系统</w:t>
      </w:r>
      <w:r>
        <w:rPr>
          <w:sz w:val="22"/>
        </w:rPr>
        <w:t>IPv4、IPv6应用改造等，必须按照</w:t>
      </w:r>
      <w:r>
        <w:rPr>
          <w:sz w:val="22"/>
        </w:rPr>
        <w:t>甲方</w:t>
      </w:r>
      <w:r>
        <w:rPr>
          <w:sz w:val="22"/>
        </w:rPr>
        <w:t>要求的时间内完成，此类完善、优化所涉及的所有费用均已包含在本项目费用中，</w:t>
      </w:r>
      <w:r>
        <w:rPr>
          <w:sz w:val="22"/>
        </w:rPr>
        <w:t>甲方</w:t>
      </w:r>
      <w:r>
        <w:rPr>
          <w:sz w:val="22"/>
        </w:rPr>
        <w:t>不再另行支付费用。</w:t>
      </w:r>
    </w:p>
    <w:p>
      <w:pPr>
        <w:pStyle w:val="null3"/>
        <w:ind w:firstLine="440"/>
        <w:jc w:val="both"/>
      </w:pPr>
      <w:r>
        <w:rPr>
          <w:sz w:val="22"/>
        </w:rPr>
        <w:t>（六）运维服务期内，在各系统的运维过程中，基于原有系统基础上的软件迭代的成果版权属于</w:t>
      </w:r>
      <w:r>
        <w:rPr>
          <w:sz w:val="22"/>
        </w:rPr>
        <w:t>甲方</w:t>
      </w:r>
      <w:r>
        <w:rPr>
          <w:sz w:val="22"/>
        </w:rPr>
        <w:t>。</w:t>
      </w:r>
    </w:p>
    <w:p>
      <w:pPr>
        <w:pStyle w:val="null3"/>
        <w:ind w:firstLine="440"/>
        <w:jc w:val="both"/>
      </w:pPr>
      <w:r>
        <w:rPr>
          <w:sz w:val="22"/>
        </w:rPr>
        <w:t>（七）对于在运维服务期内延迟终验的系统，应在运维服务结算费中对该系统延迟运维对应部份的费用予以剔除。</w:t>
      </w:r>
    </w:p>
    <w:p>
      <w:pPr>
        <w:pStyle w:val="null3"/>
        <w:ind w:firstLine="442"/>
        <w:jc w:val="both"/>
      </w:pPr>
      <w:r>
        <w:rPr>
          <w:sz w:val="22"/>
          <w:b/>
        </w:rPr>
        <w:t>九、服务考核标准</w:t>
      </w:r>
    </w:p>
    <w:p>
      <w:pPr>
        <w:pStyle w:val="null3"/>
        <w:ind w:firstLine="440"/>
        <w:jc w:val="both"/>
      </w:pPr>
      <w:r>
        <w:rPr>
          <w:sz w:val="22"/>
        </w:rPr>
        <w:t>（一）基础考核</w:t>
      </w:r>
    </w:p>
    <w:p>
      <w:pPr>
        <w:pStyle w:val="null3"/>
        <w:ind w:firstLine="482"/>
        <w:jc w:val="left"/>
      </w:pPr>
      <w:r>
        <w:rPr>
          <w:sz w:val="22"/>
        </w:rPr>
        <w:t>由</w:t>
      </w:r>
      <w:r>
        <w:rPr>
          <w:sz w:val="22"/>
        </w:rPr>
        <w:t>甲方</w:t>
      </w:r>
      <w:r>
        <w:rPr>
          <w:sz w:val="22"/>
        </w:rPr>
        <w:t>成立质量考核小组，负责对</w:t>
      </w:r>
      <w:r>
        <w:rPr>
          <w:sz w:val="22"/>
        </w:rPr>
        <w:t>乙方</w:t>
      </w:r>
      <w:r>
        <w:rPr>
          <w:sz w:val="22"/>
        </w:rPr>
        <w:t>服务质量进行考核评分。中山市市场监督管理局信息化主管科室</w:t>
      </w:r>
      <w:r>
        <w:rPr>
          <w:sz w:val="22"/>
          <w:color w:val="000000"/>
        </w:rPr>
        <w:t>根据《中山市市</w:t>
      </w:r>
      <w:r>
        <w:rPr>
          <w:sz w:val="22"/>
        </w:rPr>
        <w:t>监局</w:t>
      </w:r>
      <w:r>
        <w:rPr>
          <w:sz w:val="22"/>
          <w:color w:val="000000"/>
        </w:rPr>
        <w:t>运维服务工作服务考核表（</w:t>
      </w:r>
      <w:r>
        <w:rPr>
          <w:sz w:val="22"/>
        </w:rPr>
        <w:t>信息化主管科室</w:t>
      </w:r>
      <w:r>
        <w:rPr>
          <w:sz w:val="22"/>
          <w:color w:val="000000"/>
        </w:rPr>
        <w:t>）》对</w:t>
      </w:r>
      <w:r>
        <w:rPr>
          <w:sz w:val="22"/>
          <w:color w:val="000000"/>
        </w:rPr>
        <w:t>乙方</w:t>
      </w:r>
      <w:r>
        <w:rPr>
          <w:sz w:val="22"/>
          <w:color w:val="000000"/>
        </w:rPr>
        <w:t>进行服务质量的评估，</w:t>
      </w:r>
      <w:r>
        <w:rPr>
          <w:sz w:val="22"/>
        </w:rPr>
        <w:t>各系统使用科室</w:t>
      </w:r>
      <w:r>
        <w:rPr>
          <w:sz w:val="22"/>
          <w:color w:val="000000"/>
        </w:rPr>
        <w:t>根据《中山市</w:t>
      </w:r>
      <w:r>
        <w:rPr>
          <w:sz w:val="22"/>
        </w:rPr>
        <w:t>市监理局</w:t>
      </w:r>
      <w:r>
        <w:rPr>
          <w:sz w:val="22"/>
          <w:color w:val="000000"/>
        </w:rPr>
        <w:t>运维服务工作服务考核表（</w:t>
      </w:r>
      <w:r>
        <w:rPr>
          <w:sz w:val="22"/>
        </w:rPr>
        <w:t>科室</w:t>
      </w:r>
      <w:r>
        <w:rPr>
          <w:sz w:val="22"/>
          <w:color w:val="000000"/>
        </w:rPr>
        <w:t>用）》对</w:t>
      </w:r>
      <w:r>
        <w:rPr>
          <w:sz w:val="22"/>
          <w:color w:val="000000"/>
        </w:rPr>
        <w:t>乙方</w:t>
      </w:r>
      <w:r>
        <w:rPr>
          <w:sz w:val="22"/>
          <w:color w:val="000000"/>
        </w:rPr>
        <w:t>进行服务质量的评估。</w:t>
      </w:r>
    </w:p>
    <w:p>
      <w:pPr>
        <w:pStyle w:val="null3"/>
        <w:ind w:firstLine="482"/>
        <w:jc w:val="left"/>
      </w:pPr>
      <w:r>
        <w:rPr>
          <w:sz w:val="22"/>
        </w:rPr>
        <w:t>项目考核得分为</w:t>
      </w:r>
      <w:r>
        <w:rPr>
          <w:sz w:val="22"/>
        </w:rPr>
        <w:t>100分制，信息化主管科室评价占60分，其他科室部分占40分（如某系统使用涉及多个科室，则由各科室分别考核，最后取平均数）。</w:t>
      </w:r>
    </w:p>
    <w:p>
      <w:pPr>
        <w:pStyle w:val="null3"/>
        <w:ind w:firstLine="482"/>
        <w:jc w:val="left"/>
      </w:pPr>
      <w:r>
        <w:rPr>
          <w:sz w:val="22"/>
        </w:rPr>
        <w:t>统一运维服务期内每次付款前组织考核一次，处罚金在当期运维服务费中扣除，处罚金具体计算方式如下：</w:t>
      </w:r>
    </w:p>
    <w:p>
      <w:pPr>
        <w:pStyle w:val="null3"/>
        <w:ind w:firstLine="440"/>
        <w:jc w:val="both"/>
      </w:pPr>
      <w:r>
        <w:rPr>
          <w:sz w:val="22"/>
        </w:rPr>
        <w:t>考核处罚金</w:t>
      </w:r>
      <w:r>
        <w:rPr>
          <w:sz w:val="22"/>
        </w:rPr>
        <w:t>=当期运维服务款×扣款系数</w:t>
      </w:r>
    </w:p>
    <w:p>
      <w:pPr>
        <w:pStyle w:val="null3"/>
        <w:ind w:firstLine="482"/>
        <w:jc w:val="left"/>
      </w:pPr>
      <w:r>
        <w:rPr>
          <w:sz w:val="22"/>
        </w:rPr>
        <w:t>扣款系数按考核表（详见表</w:t>
      </w:r>
      <w:r>
        <w:rPr>
          <w:sz w:val="22"/>
        </w:rPr>
        <w:t>1、表2）的综合得分，按5个档次设置扣除款项，扣款系数具体如下：</w:t>
      </w:r>
    </w:p>
    <w:p>
      <w:pPr>
        <w:pStyle w:val="null3"/>
        <w:ind w:firstLine="482"/>
        <w:jc w:val="left"/>
      </w:pPr>
      <w:r>
        <w:rPr>
          <w:sz w:val="22"/>
        </w:rPr>
        <w:t>（</w:t>
      </w:r>
      <w:r>
        <w:rPr>
          <w:sz w:val="22"/>
        </w:rPr>
        <w:t>1）85分（含）及以上，无需扣除；</w:t>
      </w:r>
    </w:p>
    <w:p>
      <w:pPr>
        <w:pStyle w:val="null3"/>
        <w:ind w:firstLine="482"/>
        <w:jc w:val="left"/>
      </w:pPr>
      <w:r>
        <w:rPr>
          <w:sz w:val="22"/>
        </w:rPr>
        <w:t>（</w:t>
      </w:r>
      <w:r>
        <w:rPr>
          <w:sz w:val="22"/>
        </w:rPr>
        <w:t>2）80（含）-85分（不含），扣款系数为5%；</w:t>
      </w:r>
    </w:p>
    <w:p>
      <w:pPr>
        <w:pStyle w:val="null3"/>
        <w:ind w:firstLine="482"/>
        <w:jc w:val="left"/>
      </w:pPr>
      <w:r>
        <w:rPr>
          <w:sz w:val="22"/>
        </w:rPr>
        <w:t>（</w:t>
      </w:r>
      <w:r>
        <w:rPr>
          <w:sz w:val="22"/>
        </w:rPr>
        <w:t>3）70（含）-80分（不含），扣款系数为10%；</w:t>
      </w:r>
    </w:p>
    <w:p>
      <w:pPr>
        <w:pStyle w:val="null3"/>
        <w:ind w:firstLine="440"/>
        <w:jc w:val="left"/>
      </w:pPr>
      <w:r>
        <w:rPr>
          <w:sz w:val="22"/>
        </w:rPr>
        <w:t>（</w:t>
      </w:r>
      <w:r>
        <w:rPr>
          <w:sz w:val="22"/>
        </w:rPr>
        <w:t>4）60（含）-70分（不含），扣款系数为20%；</w:t>
      </w:r>
    </w:p>
    <w:p>
      <w:pPr>
        <w:pStyle w:val="null3"/>
        <w:ind w:firstLine="440"/>
      </w:pPr>
      <w:r>
        <w:rPr>
          <w:sz w:val="22"/>
        </w:rPr>
        <w:t>（</w:t>
      </w:r>
      <w:r>
        <w:rPr>
          <w:sz w:val="22"/>
        </w:rPr>
        <w:t>5）60分（不含）以下，扣款系数为30%，</w:t>
      </w:r>
      <w:r>
        <w:rPr>
          <w:sz w:val="22"/>
        </w:rPr>
        <w:t>甲方</w:t>
      </w:r>
      <w:r>
        <w:rPr>
          <w:sz w:val="22"/>
        </w:rPr>
        <w:t>有权视考核情况决定是否终止合同，除按上述扣罚系数支付费用外，</w:t>
      </w:r>
      <w:r>
        <w:rPr>
          <w:sz w:val="22"/>
        </w:rPr>
        <w:t>乙方</w:t>
      </w:r>
      <w:r>
        <w:rPr>
          <w:sz w:val="22"/>
        </w:rPr>
        <w:t>给</w:t>
      </w:r>
      <w:r>
        <w:rPr>
          <w:sz w:val="22"/>
        </w:rPr>
        <w:t>甲方</w:t>
      </w:r>
      <w:r>
        <w:rPr>
          <w:sz w:val="22"/>
        </w:rPr>
        <w:t>造成的损失由</w:t>
      </w:r>
      <w:r>
        <w:rPr>
          <w:sz w:val="22"/>
        </w:rPr>
        <w:t>乙方</w:t>
      </w:r>
      <w:r>
        <w:rPr>
          <w:sz w:val="22"/>
        </w:rPr>
        <w:t>负责赔偿，该考核周期结束之日起至终止合同之日止，已服务但尚未支付的项目运维费不再支付。</w:t>
      </w:r>
    </w:p>
    <w:p>
      <w:pPr>
        <w:pStyle w:val="null3"/>
        <w:ind w:firstLine="440"/>
        <w:jc w:val="both"/>
      </w:pPr>
      <w:r>
        <w:rPr>
          <w:sz w:val="22"/>
        </w:rPr>
        <w:t>1.信息化主管科室运维服务服务考核表</w:t>
      </w:r>
    </w:p>
    <w:p>
      <w:pPr>
        <w:pStyle w:val="null3"/>
      </w:pPr>
      <w:r>
        <w:rPr>
          <w:sz w:val="22"/>
        </w:rPr>
        <w:t>表</w:t>
      </w:r>
      <w:r>
        <w:rPr>
          <w:sz w:val="22"/>
        </w:rPr>
        <w:t>1</w:t>
      </w:r>
      <w:r>
        <w:rPr>
          <w:sz w:val="22"/>
        </w:rPr>
        <w:t>中山市市监局运维服务工作服务考核表（信息化主管科室用）</w:t>
      </w:r>
    </w:p>
    <w:tbl>
      <w:tblPr>
        <w:tblW w:w="0" w:type="auto"/>
        <w:tblBorders>
          <w:top w:val="none" w:color="000000" w:sz="4"/>
          <w:left w:val="none" w:color="000000" w:sz="4"/>
          <w:bottom w:val="none" w:color="000000" w:sz="4"/>
          <w:right w:val="none" w:color="000000" w:sz="4"/>
          <w:insideH w:val="none"/>
          <w:insideV w:val="none"/>
        </w:tblBorders>
      </w:tblPr>
      <w:tblGrid>
        <w:gridCol w:w="716"/>
        <w:gridCol w:w="1198"/>
        <w:gridCol w:w="1267"/>
        <w:gridCol w:w="1942"/>
        <w:gridCol w:w="1942"/>
        <w:gridCol w:w="619"/>
        <w:gridCol w:w="578"/>
      </w:tblGrid>
      <w:tr>
        <w:tc>
          <w:tcPr>
            <w:tcW w:type="dxa" w:w="716"/>
            <w:tcBorders>
              <w:top w:val="singl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b/>
              </w:rPr>
              <w:t>序号</w:t>
            </w:r>
          </w:p>
        </w:tc>
        <w:tc>
          <w:tcPr>
            <w:tcW w:type="dxa" w:w="1198"/>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b/>
              </w:rPr>
              <w:t>考核类别</w:t>
            </w:r>
          </w:p>
        </w:tc>
        <w:tc>
          <w:tcPr>
            <w:tcW w:type="dxa" w:w="1267"/>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b/>
              </w:rPr>
              <w:t>考核项目</w:t>
            </w:r>
          </w:p>
        </w:tc>
        <w:tc>
          <w:tcPr>
            <w:tcW w:type="dxa" w:w="3884"/>
            <w:gridSpan w:val="2"/>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b/>
              </w:rPr>
              <w:t>考核内容</w:t>
            </w:r>
          </w:p>
        </w:tc>
        <w:tc>
          <w:tcPr>
            <w:tcW w:type="dxa" w:w="619"/>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b/>
              </w:rPr>
              <w:t>分值</w:t>
            </w:r>
          </w:p>
        </w:tc>
        <w:tc>
          <w:tcPr>
            <w:tcW w:type="dxa" w:w="578"/>
            <w:tcBorders>
              <w:top w:val="singl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b/>
              </w:rPr>
              <w:t>得分</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w:t>
            </w:r>
          </w:p>
        </w:tc>
        <w:tc>
          <w:tcPr>
            <w:tcW w:type="dxa" w:w="1198"/>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服务人员</w:t>
            </w:r>
          </w:p>
          <w:p>
            <w:pPr>
              <w:pStyle w:val="null3"/>
              <w:jc w:val="center"/>
            </w:pPr>
            <w:r>
              <w:rPr>
                <w:sz w:val="22"/>
              </w:rPr>
              <w:t>考核</w:t>
            </w: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人员岗位</w:t>
            </w:r>
          </w:p>
          <w:p>
            <w:pPr>
              <w:pStyle w:val="null3"/>
              <w:jc w:val="center"/>
            </w:pPr>
            <w:r>
              <w:rPr>
                <w:sz w:val="22"/>
              </w:rPr>
              <w:t>设置</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符合要求实际驻场人数</w:t>
            </w:r>
            <w:r>
              <w:rPr>
                <w:sz w:val="22"/>
              </w:rPr>
              <w:t>/合同要求人数，不满足要求人数，每人次扣1分。</w:t>
            </w:r>
          </w:p>
        </w:tc>
        <w:tc>
          <w:tcPr>
            <w:tcW w:type="dxa" w:w="619"/>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color w:val="000000"/>
              </w:rPr>
              <w:t>10</w:t>
            </w:r>
          </w:p>
        </w:tc>
        <w:tc>
          <w:tcPr>
            <w:tcW w:type="dxa" w:w="578"/>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人员稳定性</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服务团队人员在服务期间未经</w:t>
            </w:r>
            <w:r>
              <w:rPr>
                <w:sz w:val="22"/>
              </w:rPr>
              <w:t>甲方</w:t>
            </w:r>
            <w:r>
              <w:rPr>
                <w:sz w:val="22"/>
              </w:rPr>
              <w:t>单位许可出现离职更换，属于现场服务人员的，在季度考核结果中每人次扣</w:t>
            </w:r>
            <w:r>
              <w:rPr>
                <w:sz w:val="22"/>
              </w:rPr>
              <w:t>1分，属于其他服务人员的，在季度考核结果中每人次扣0.5分。</w:t>
            </w:r>
          </w:p>
        </w:tc>
      </w:tr>
      <w:tr>
        <w:tc>
          <w:tcPr>
            <w:tcW w:type="dxa" w:w="716"/>
            <w:vMerge w:val="restart"/>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3</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人员工作满意度</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客户投诉每次扣</w:t>
            </w:r>
            <w:r>
              <w:rPr>
                <w:sz w:val="22"/>
              </w:rPr>
              <w:t>3分，书面警告每次扣2分。</w:t>
            </w:r>
          </w:p>
        </w:tc>
      </w:tr>
      <w:tr>
        <w:tc>
          <w:tcPr>
            <w:tcW w:type="dxa" w:w="716"/>
            <w:vMerge/>
            <w:tcBorders>
              <w:top w:val="none" w:color="000000" w:sz="4"/>
              <w:left w:val="single" w:color="000000" w:sz="4"/>
              <w:bottom w:val="single" w:color="000000" w:sz="4"/>
              <w:right w:val="single" w:color="000000" w:sz="4"/>
            </w:tcBorders>
          </w:tcP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考勤管理</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color w:val="000000"/>
              </w:rPr>
              <w:t>一个月内出现</w:t>
            </w:r>
            <w:r>
              <w:rPr>
                <w:sz w:val="22"/>
                <w:color w:val="000000"/>
              </w:rPr>
              <w:t>10人/次以上未打卡或者迟到、早退的，扣1分；出现10-25人/次未打卡或者迟到、早退的，扣3分；出现共25人/次以上未打卡或者迟到、早退，扣5分。</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4</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人员业务</w:t>
            </w:r>
          </w:p>
          <w:p>
            <w:pPr>
              <w:pStyle w:val="null3"/>
              <w:jc w:val="center"/>
            </w:pPr>
            <w:r>
              <w:rPr>
                <w:sz w:val="22"/>
              </w:rPr>
              <w:t>水平</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考核工程师对业务的熟悉程度、相关知识掌握程度、运维项目保密工作等的考核。出现误操作事件每人次扣</w:t>
            </w:r>
            <w:r>
              <w:rPr>
                <w:sz w:val="22"/>
              </w:rPr>
              <w:t>2分。</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5</w:t>
            </w:r>
          </w:p>
        </w:tc>
        <w:tc>
          <w:tcPr>
            <w:tcW w:type="dxa" w:w="1198"/>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日常维护</w:t>
            </w: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巡检和应急支持</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按要求完成日常运维任务，未按时进行巡检的，扣</w:t>
            </w:r>
            <w:r>
              <w:rPr>
                <w:sz w:val="22"/>
              </w:rPr>
              <w:t>0.5分/次；未按要求响应支持应急和处理事件的，扣1分/次。</w:t>
            </w:r>
          </w:p>
        </w:tc>
        <w:tc>
          <w:tcPr>
            <w:tcW w:type="dxa" w:w="619"/>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color w:val="000000"/>
              </w:rPr>
              <w:t>15</w:t>
            </w:r>
          </w:p>
        </w:tc>
        <w:tc>
          <w:tcPr>
            <w:tcW w:type="dxa" w:w="578"/>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6</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报告提交</w:t>
            </w:r>
          </w:p>
          <w:p>
            <w:pPr>
              <w:pStyle w:val="null3"/>
              <w:jc w:val="center"/>
            </w:pPr>
            <w:r>
              <w:rPr>
                <w:sz w:val="22"/>
              </w:rPr>
              <w:t>情况</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按要求准时提交相关日报、月报、周报、季度报告、重大故障报告等相关报告。违规一次扣</w:t>
            </w:r>
            <w:r>
              <w:rPr>
                <w:sz w:val="22"/>
              </w:rPr>
              <w:t>1分。</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7</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软硬件升级</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软硬件升级前没有事先向</w:t>
            </w:r>
            <w:r>
              <w:rPr>
                <w:sz w:val="22"/>
              </w:rPr>
              <w:t>甲方</w:t>
            </w:r>
            <w:r>
              <w:rPr>
                <w:sz w:val="22"/>
              </w:rPr>
              <w:t>申请或沟通而造成不良影响的，扣</w:t>
            </w:r>
            <w:r>
              <w:rPr>
                <w:sz w:val="22"/>
              </w:rPr>
              <w:t>1分/次。</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8</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故障处理</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出现故障后没按故障正确的处理流程操作导致重大损失和造成恶劣影响的，扣</w:t>
            </w:r>
            <w:r>
              <w:rPr>
                <w:sz w:val="22"/>
              </w:rPr>
              <w:t>5分/次；故障报告不及时提交给</w:t>
            </w:r>
            <w:r>
              <w:rPr>
                <w:sz w:val="22"/>
              </w:rPr>
              <w:t>甲方</w:t>
            </w:r>
            <w:r>
              <w:rPr>
                <w:sz w:val="22"/>
              </w:rPr>
              <w:t>的，扣</w:t>
            </w:r>
            <w:r>
              <w:rPr>
                <w:sz w:val="22"/>
              </w:rPr>
              <w:t>2分/次。</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9</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监控管理</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监控产生的告警信息未按时处理的，扣</w:t>
            </w:r>
            <w:r>
              <w:rPr>
                <w:sz w:val="22"/>
              </w:rPr>
              <w:t>1分/次，如由此产生恶劣影响的，扣5分/次。</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10</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功能变更</w:t>
            </w:r>
          </w:p>
          <w:p>
            <w:pPr>
              <w:pStyle w:val="null3"/>
              <w:jc w:val="center"/>
            </w:pPr>
            <w:r>
              <w:rPr>
                <w:sz w:val="22"/>
              </w:rPr>
              <w:t>管理</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未经</w:t>
            </w:r>
            <w:r>
              <w:rPr>
                <w:sz w:val="22"/>
              </w:rPr>
              <w:t>甲方</w:t>
            </w:r>
            <w:r>
              <w:rPr>
                <w:sz w:val="22"/>
              </w:rPr>
              <w:t>私自进行功能变更的，扣</w:t>
            </w:r>
            <w:r>
              <w:rPr>
                <w:sz w:val="22"/>
              </w:rPr>
              <w:t>1分/次，未按时按质完成功能变更的，扣1分/次。</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11</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安全管理</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违反安全管理制度，人为造成严重、重大故障的，扣</w:t>
            </w:r>
            <w:r>
              <w:rPr>
                <w:sz w:val="22"/>
              </w:rPr>
              <w:t>15分/次。</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12</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任务管理</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未按时完成其他交办的维护任务的，扣</w:t>
            </w:r>
            <w:r>
              <w:rPr>
                <w:sz w:val="22"/>
              </w:rPr>
              <w:t>0.5分/个。</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13</w:t>
            </w:r>
          </w:p>
        </w:tc>
        <w:tc>
          <w:tcPr>
            <w:tcW w:type="dxa" w:w="1198"/>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运行质量</w:t>
            </w:r>
          </w:p>
        </w:tc>
        <w:tc>
          <w:tcPr>
            <w:tcW w:type="dxa" w:w="1267"/>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总体可用率</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要求</w:t>
            </w:r>
            <w:r>
              <w:rPr>
                <w:sz w:val="22"/>
              </w:rPr>
              <w:t>&gt;99%（每月不可用时间累计&lt;7小时，每季度不可用事件累计&lt;21小时），每下降0.2%扣2分。此项不包括因网络、硬件问题造成的故障及有计划的系统升级、维护时间。</w:t>
            </w:r>
          </w:p>
        </w:tc>
        <w:tc>
          <w:tcPr>
            <w:tcW w:type="dxa" w:w="619"/>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10</w:t>
            </w:r>
          </w:p>
        </w:tc>
        <w:tc>
          <w:tcPr>
            <w:tcW w:type="dxa" w:w="57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14</w:t>
            </w:r>
          </w:p>
        </w:tc>
        <w:tc>
          <w:tcPr>
            <w:tcW w:type="dxa" w:w="1198"/>
            <w:vMerge/>
            <w:tcBorders>
              <w:top w:val="none" w:color="000000" w:sz="4"/>
              <w:left w:val="none" w:color="000000" w:sz="4"/>
              <w:bottom w:val="single" w:color="000000" w:sz="4"/>
              <w:right w:val="single" w:color="000000" w:sz="4"/>
            </w:tcBorders>
          </w:tcPr>
          <w:p/>
        </w:tc>
        <w:tc>
          <w:tcPr>
            <w:tcW w:type="dxa" w:w="1267"/>
            <w:vMerge/>
            <w:tcBorders>
              <w:top w:val="none" w:color="000000" w:sz="4"/>
              <w:left w:val="none" w:color="000000" w:sz="4"/>
              <w:bottom w:val="single" w:color="000000" w:sz="4"/>
              <w:right w:val="single" w:color="000000" w:sz="4"/>
            </w:tcBorders>
          </w:tcP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硬件要求</w:t>
            </w:r>
            <w:r>
              <w:rPr>
                <w:sz w:val="22"/>
              </w:rPr>
              <w:t>&gt;99%（每月不可用时间累计&lt;7小时，每季度不可用事件累计&lt;21小时），每下降0.2%扣2分。</w:t>
            </w:r>
          </w:p>
        </w:tc>
        <w:tc>
          <w:tcPr>
            <w:tcW w:type="dxa" w:w="619"/>
            <w:vMerge/>
            <w:tcBorders>
              <w:top w:val="none" w:color="000000" w:sz="4"/>
              <w:left w:val="none" w:color="000000" w:sz="4"/>
              <w:bottom w:val="single" w:color="000000" w:sz="4"/>
              <w:right w:val="single" w:color="000000" w:sz="4"/>
            </w:tcBorders>
          </w:tcPr>
          <w:p/>
        </w:tc>
        <w:tc>
          <w:tcPr>
            <w:tcW w:type="dxa" w:w="57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15</w:t>
            </w:r>
          </w:p>
        </w:tc>
        <w:tc>
          <w:tcPr>
            <w:tcW w:type="dxa" w:w="1198"/>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运维工作产出物质量</w:t>
            </w: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周期性报告质量</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包括季报、月报、周报、日报等应简洁清晰、重点突出、分析深入、建议或解决措施科学、合理，不符合或不满足的视情况扣分。</w:t>
            </w:r>
          </w:p>
        </w:tc>
        <w:tc>
          <w:tcPr>
            <w:tcW w:type="dxa" w:w="619"/>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color w:val="000000"/>
              </w:rPr>
              <w:t>5</w:t>
            </w:r>
          </w:p>
        </w:tc>
        <w:tc>
          <w:tcPr>
            <w:tcW w:type="dxa" w:w="578"/>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16</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非周期性产出物质量</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如事件解决方案、评估报告、专题报告等应简洁清晰、重点突出、分析深入、建议或解决措施科学、合理，不符合或不满足的视情况扣分。</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17</w:t>
            </w:r>
          </w:p>
        </w:tc>
        <w:tc>
          <w:tcPr>
            <w:tcW w:type="dxa" w:w="1198"/>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响应型服务质量</w:t>
            </w: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事件响应时间达标率</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达标率低于</w:t>
            </w:r>
            <w:r>
              <w:rPr>
                <w:sz w:val="22"/>
              </w:rPr>
              <w:t>70%（不含）的扣5分；低于80%（不含）的扣4分；低于90%（不含）的扣2分；低于100%（不含）的扣0.5分。</w:t>
            </w:r>
          </w:p>
        </w:tc>
        <w:tc>
          <w:tcPr>
            <w:tcW w:type="dxa" w:w="619"/>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10</w:t>
            </w:r>
          </w:p>
        </w:tc>
        <w:tc>
          <w:tcPr>
            <w:tcW w:type="dxa" w:w="578"/>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18</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事件处理时间达标率</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达标率低于</w:t>
            </w:r>
            <w:r>
              <w:rPr>
                <w:sz w:val="22"/>
              </w:rPr>
              <w:t>70%（不含）的扣5分；低于80%（不含）的扣4分；低于90%（不含）的扣2分；低于100%（不含）的扣0.5分。</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19</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事件完成率（已经完成的事件数</w:t>
            </w:r>
            <w:r>
              <w:rPr>
                <w:sz w:val="22"/>
              </w:rPr>
              <w:t>/事件总数）</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完成率低于</w:t>
            </w:r>
            <w:r>
              <w:rPr>
                <w:sz w:val="22"/>
              </w:rPr>
              <w:t>70%（不含）的扣5分；低于80%（不含）的扣4分；低于90%（不含）的扣2分；低于100%（不含）的扣0.5分。</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20</w:t>
            </w:r>
          </w:p>
        </w:tc>
        <w:tc>
          <w:tcPr>
            <w:tcW w:type="dxa" w:w="1198"/>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服务评价</w:t>
            </w: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数据准确度</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出现某类业务数据不准确的，扣</w:t>
            </w:r>
            <w:r>
              <w:rPr>
                <w:sz w:val="22"/>
              </w:rPr>
              <w:t>0.5分/项。</w:t>
            </w:r>
          </w:p>
        </w:tc>
        <w:tc>
          <w:tcPr>
            <w:tcW w:type="dxa" w:w="619"/>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10</w:t>
            </w:r>
          </w:p>
        </w:tc>
        <w:tc>
          <w:tcPr>
            <w:tcW w:type="dxa" w:w="578"/>
            <w:vMerge w:val="restart"/>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21</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系统可</w:t>
            </w:r>
          </w:p>
          <w:p>
            <w:pPr>
              <w:pStyle w:val="null3"/>
              <w:jc w:val="center"/>
            </w:pPr>
            <w:r>
              <w:rPr>
                <w:sz w:val="22"/>
              </w:rPr>
              <w:t>操作性</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由于系统原因，造成操作失效、容易出错、甚至导致终端出行死锁情况的，扣</w:t>
            </w:r>
            <w:r>
              <w:rPr>
                <w:sz w:val="22"/>
              </w:rPr>
              <w:t>0.5分/项。</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22</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响应速度</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对系统故障处理、业务沟通的响应速度不达标，被投诉的，扣</w:t>
            </w:r>
            <w:r>
              <w:rPr>
                <w:sz w:val="22"/>
              </w:rPr>
              <w:t>1分/次。</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23</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配合程度</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对业务实现要求的理解和沟通能力。</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24</w:t>
            </w:r>
          </w:p>
        </w:tc>
        <w:tc>
          <w:tcPr>
            <w:tcW w:type="dxa" w:w="1198"/>
            <w:vMerge/>
            <w:tcBorders>
              <w:top w:val="none" w:color="000000" w:sz="4"/>
              <w:left w:val="none" w:color="000000" w:sz="4"/>
              <w:bottom w:val="single" w:color="000000" w:sz="4"/>
              <w:right w:val="single" w:color="000000" w:sz="4"/>
            </w:tcBorders>
          </w:tcPr>
          <w:p/>
        </w:tc>
        <w:tc>
          <w:tcPr>
            <w:tcW w:type="dxa" w:w="1267"/>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总体效果</w:t>
            </w:r>
          </w:p>
        </w:tc>
        <w:tc>
          <w:tcPr>
            <w:tcW w:type="dxa" w:w="3884"/>
            <w:gridSpan w:val="2"/>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left"/>
            </w:pPr>
            <w:r>
              <w:rPr>
                <w:sz w:val="22"/>
              </w:rPr>
              <w:t>对业务实现和系统应用效果的综合评价。</w:t>
            </w:r>
          </w:p>
        </w:tc>
      </w:tr>
      <w:tr>
        <w:tc>
          <w:tcPr>
            <w:tcW w:type="dxa" w:w="716"/>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25</w:t>
            </w:r>
          </w:p>
        </w:tc>
        <w:tc>
          <w:tcPr>
            <w:tcW w:type="dxa" w:w="6349"/>
            <w:gridSpan w:val="4"/>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总分</w:t>
            </w:r>
          </w:p>
        </w:tc>
        <w:tc>
          <w:tcPr>
            <w:tcW w:type="dxa" w:w="619"/>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r>
              <w:rPr>
                <w:sz w:val="22"/>
              </w:rPr>
              <w:t>60</w:t>
            </w:r>
          </w:p>
        </w:tc>
        <w:tc>
          <w:tcPr>
            <w:tcW w:type="dxa" w:w="578"/>
            <w:tcBorders>
              <w:top w:val="none" w:color="000000" w:sz="4"/>
              <w:left w:val="none" w:color="000000" w:sz="4"/>
              <w:bottom w:val="single" w:color="000000" w:sz="4"/>
              <w:right w:val="single" w:color="000000" w:sz="4"/>
            </w:tcBorders>
            <w:tcMar>
              <w:top w:type="dxa" w:w="60"/>
              <w:left w:type="dxa" w:w="90"/>
              <w:bottom w:type="dxa" w:w="60"/>
              <w:right w:type="dxa" w:w="90"/>
            </w:tcMar>
            <w:vAlign w:val="top"/>
          </w:tcPr>
          <w:p>
            <w:pPr>
              <w:pStyle w:val="null3"/>
              <w:jc w:val="center"/>
            </w:pPr>
          </w:p>
        </w:tc>
      </w:tr>
      <w:tr>
        <w:tc>
          <w:tcPr>
            <w:tcW w:type="dxa" w:w="5123"/>
            <w:gridSpan w:val="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考评部门（签章）：</w:t>
            </w:r>
          </w:p>
          <w:p>
            <w:pPr>
              <w:pStyle w:val="null3"/>
              <w:jc w:val="both"/>
            </w:pPr>
            <w:r>
              <w:rPr>
                <w:sz w:val="22"/>
                <w:color w:val="000000"/>
              </w:rPr>
              <w:t>考评人员（签名）：</w:t>
            </w:r>
          </w:p>
          <w:p>
            <w:pPr>
              <w:pStyle w:val="null3"/>
              <w:jc w:val="center"/>
            </w:pPr>
            <w:r>
              <w:rPr>
                <w:sz w:val="22"/>
                <w:color w:val="000000"/>
              </w:rPr>
              <w:t xml:space="preserve">     </w:t>
            </w:r>
            <w:r>
              <w:rPr>
                <w:sz w:val="22"/>
                <w:color w:val="000000"/>
              </w:rPr>
              <w:t>年</w:t>
            </w:r>
            <w:r>
              <w:rPr>
                <w:sz w:val="21"/>
              </w:rPr>
              <w:t xml:space="preserve">   </w:t>
            </w:r>
            <w:r>
              <w:rPr>
                <w:sz w:val="22"/>
                <w:color w:val="000000"/>
              </w:rPr>
              <w:t>月</w:t>
            </w:r>
            <w:r>
              <w:rPr>
                <w:sz w:val="21"/>
              </w:rPr>
              <w:t xml:space="preserve">   </w:t>
            </w:r>
            <w:r>
              <w:rPr>
                <w:sz w:val="22"/>
                <w:color w:val="000000"/>
              </w:rPr>
              <w:t>日</w:t>
            </w:r>
          </w:p>
        </w:tc>
        <w:tc>
          <w:tcPr>
            <w:tcW w:type="dxa" w:w="3139"/>
            <w:gridSpan w:val="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60"/>
              <w:jc w:val="center"/>
            </w:pPr>
            <w:r>
              <w:rPr>
                <w:sz w:val="22"/>
                <w:color w:val="000000"/>
              </w:rPr>
              <w:t>被考评单位人员（签名）：</w:t>
            </w:r>
            <w:r>
              <w:rPr>
                <w:sz w:val="21"/>
              </w:rPr>
              <w:t xml:space="preserve">                           </w:t>
            </w:r>
          </w:p>
          <w:p>
            <w:pPr>
              <w:pStyle w:val="null3"/>
              <w:ind w:firstLine="422"/>
              <w:jc w:val="both"/>
            </w:pPr>
            <w:r>
              <w:rPr>
                <w:sz w:val="21"/>
              </w:rPr>
              <w:t xml:space="preserve"> </w:t>
            </w:r>
          </w:p>
          <w:p>
            <w:pPr>
              <w:pStyle w:val="null3"/>
              <w:ind w:firstLine="422"/>
              <w:jc w:val="both"/>
            </w:pPr>
            <w:r>
              <w:rPr>
                <w:sz w:val="22"/>
                <w:color w:val="000000"/>
              </w:rPr>
              <w:t>被考评单位意见：</w:t>
            </w:r>
          </w:p>
          <w:p>
            <w:pPr>
              <w:pStyle w:val="null3"/>
              <w:ind w:firstLine="440"/>
              <w:jc w:val="center"/>
            </w:pPr>
            <w:r>
              <w:rPr>
                <w:sz w:val="22"/>
                <w:color w:val="000000"/>
              </w:rPr>
              <w:t xml:space="preserve">    </w:t>
            </w:r>
            <w:r>
              <w:rPr>
                <w:sz w:val="22"/>
                <w:color w:val="000000"/>
              </w:rPr>
              <w:t>年</w:t>
            </w:r>
            <w:r>
              <w:rPr>
                <w:sz w:val="21"/>
              </w:rPr>
              <w:t xml:space="preserve">   </w:t>
            </w:r>
            <w:r>
              <w:rPr>
                <w:sz w:val="22"/>
                <w:color w:val="000000"/>
              </w:rPr>
              <w:t>月</w:t>
            </w:r>
            <w:r>
              <w:rPr>
                <w:sz w:val="21"/>
              </w:rPr>
              <w:t xml:space="preserve">   </w:t>
            </w:r>
            <w:r>
              <w:rPr>
                <w:sz w:val="22"/>
                <w:color w:val="000000"/>
              </w:rPr>
              <w:t>日</w:t>
            </w:r>
          </w:p>
        </w:tc>
      </w:tr>
      <w:tr>
        <w:tc>
          <w:tcPr>
            <w:tcW w:type="dxa" w:w="5123"/>
            <w:gridSpan w:val="4"/>
            <w:vMerge/>
            <w:tcBorders>
              <w:top w:val="none" w:color="000000" w:sz="4"/>
              <w:left w:val="single" w:color="000000" w:sz="4"/>
              <w:bottom w:val="single" w:color="000000" w:sz="4"/>
              <w:right w:val="single" w:color="000000" w:sz="4"/>
            </w:tcBorders>
          </w:tcPr>
          <w:p/>
        </w:tc>
        <w:tc>
          <w:tcPr>
            <w:tcW w:type="dxa" w:w="3139"/>
            <w:gridSpan w:val="3"/>
            <w:vMerge/>
            <w:tcBorders>
              <w:top w:val="none" w:color="000000" w:sz="4"/>
              <w:left w:val="none" w:color="000000" w:sz="4"/>
              <w:bottom w:val="single" w:color="000000" w:sz="4"/>
              <w:right w:val="single" w:color="000000" w:sz="4"/>
            </w:tcBorders>
          </w:tcPr>
          <w:p/>
        </w:tc>
      </w:tr>
      <w:tr>
        <w:tc>
          <w:tcPr>
            <w:tcW w:type="dxa" w:w="5123"/>
            <w:gridSpan w:val="4"/>
            <w:vMerge/>
            <w:tcBorders>
              <w:top w:val="none" w:color="000000" w:sz="4"/>
              <w:left w:val="single" w:color="000000" w:sz="4"/>
              <w:bottom w:val="single" w:color="000000" w:sz="4"/>
              <w:right w:val="single" w:color="000000" w:sz="4"/>
            </w:tcBorders>
          </w:tcPr>
          <w:p/>
        </w:tc>
        <w:tc>
          <w:tcPr>
            <w:tcW w:type="dxa" w:w="3139"/>
            <w:gridSpan w:val="3"/>
            <w:vMerge/>
            <w:tcBorders>
              <w:top w:val="none" w:color="000000" w:sz="4"/>
              <w:left w:val="none" w:color="000000" w:sz="4"/>
              <w:bottom w:val="single" w:color="000000" w:sz="4"/>
              <w:right w:val="single" w:color="000000" w:sz="4"/>
            </w:tcBorders>
          </w:tcPr>
          <w:p/>
        </w:tc>
      </w:tr>
      <w:tr>
        <w:tc>
          <w:tcPr>
            <w:tcW w:type="dxa" w:w="5123"/>
            <w:gridSpan w:val="4"/>
            <w:vMerge/>
            <w:tcBorders>
              <w:top w:val="none" w:color="000000" w:sz="4"/>
              <w:left w:val="single" w:color="000000" w:sz="4"/>
              <w:bottom w:val="single" w:color="000000" w:sz="4"/>
              <w:right w:val="single" w:color="000000" w:sz="4"/>
            </w:tcBorders>
          </w:tcPr>
          <w:p/>
        </w:tc>
        <w:tc>
          <w:tcPr>
            <w:tcW w:type="dxa" w:w="3139"/>
            <w:gridSpan w:val="3"/>
            <w:vMerge/>
            <w:tcBorders>
              <w:top w:val="none" w:color="000000" w:sz="4"/>
              <w:left w:val="none" w:color="000000" w:sz="4"/>
              <w:bottom w:val="single" w:color="000000" w:sz="4"/>
              <w:right w:val="single" w:color="000000" w:sz="4"/>
            </w:tcBorders>
          </w:tcPr>
          <w:p/>
        </w:tc>
      </w:tr>
      <w:tr>
        <w:tc>
          <w:tcPr>
            <w:tcW w:type="dxa" w:w="5123"/>
            <w:gridSpan w:val="4"/>
            <w:vMerge/>
            <w:tcBorders>
              <w:top w:val="none" w:color="000000" w:sz="4"/>
              <w:left w:val="single" w:color="000000" w:sz="4"/>
              <w:bottom w:val="single" w:color="000000" w:sz="4"/>
              <w:right w:val="single" w:color="000000" w:sz="4"/>
            </w:tcBorders>
          </w:tcPr>
          <w:p/>
        </w:tc>
        <w:tc>
          <w:tcPr>
            <w:tcW w:type="dxa" w:w="3139"/>
            <w:gridSpan w:val="3"/>
            <w:vMerge/>
            <w:tcBorders>
              <w:top w:val="none" w:color="000000" w:sz="4"/>
              <w:left w:val="none" w:color="000000" w:sz="4"/>
              <w:bottom w:val="single" w:color="000000" w:sz="4"/>
              <w:right w:val="single" w:color="000000" w:sz="4"/>
            </w:tcBorders>
          </w:tcPr>
          <w:p/>
        </w:tc>
      </w:tr>
    </w:tbl>
    <w:p>
      <w:pPr>
        <w:pStyle w:val="null3"/>
        <w:ind w:firstLine="440"/>
        <w:jc w:val="both"/>
      </w:pPr>
      <w:r>
        <w:rPr>
          <w:sz w:val="22"/>
        </w:rPr>
        <w:t>2.各业务科室运维服务考核表</w:t>
      </w:r>
    </w:p>
    <w:p>
      <w:pPr>
        <w:pStyle w:val="null3"/>
        <w:jc w:val="center"/>
      </w:pPr>
      <w:r>
        <w:rPr>
          <w:sz w:val="22"/>
        </w:rPr>
        <w:t>表</w:t>
      </w:r>
      <w:r>
        <w:rPr>
          <w:sz w:val="22"/>
        </w:rPr>
        <w:t>2  中山市市监局运维服务工作服务考核表（科室用）</w:t>
      </w:r>
    </w:p>
    <w:tbl>
      <w:tblPr>
        <w:tblW w:w="0" w:type="auto"/>
        <w:tblBorders>
          <w:top w:val="none" w:color="000000" w:sz="4"/>
          <w:left w:val="none" w:color="000000" w:sz="4"/>
          <w:bottom w:val="none" w:color="000000" w:sz="4"/>
          <w:right w:val="none" w:color="000000" w:sz="4"/>
          <w:insideH w:val="none"/>
          <w:insideV w:val="none"/>
        </w:tblBorders>
      </w:tblPr>
      <w:tblGrid>
        <w:gridCol w:w="886"/>
        <w:gridCol w:w="1168"/>
        <w:gridCol w:w="1351"/>
        <w:gridCol w:w="3420"/>
        <w:gridCol w:w="717"/>
        <w:gridCol w:w="703"/>
      </w:tblGrid>
      <w:tr>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序号</w:t>
            </w:r>
          </w:p>
        </w:tc>
        <w:tc>
          <w:tcPr>
            <w:tcW w:type="dxa" w:w="1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考核类别</w:t>
            </w:r>
          </w:p>
        </w:tc>
        <w:tc>
          <w:tcPr>
            <w:tcW w:type="dxa" w:w="1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考核项目</w:t>
            </w:r>
          </w:p>
        </w:tc>
        <w:tc>
          <w:tcPr>
            <w:tcW w:type="dxa" w:w="34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考核内容</w:t>
            </w:r>
          </w:p>
        </w:tc>
        <w:tc>
          <w:tcPr>
            <w:tcW w:type="dxa" w:w="7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分值</w:t>
            </w:r>
          </w:p>
        </w:tc>
        <w:tc>
          <w:tcPr>
            <w:tcW w:type="dxa" w:w="7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得分</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p>
        </w:tc>
        <w:tc>
          <w:tcPr>
            <w:tcW w:type="dxa" w:w="1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服务总体情况</w:t>
            </w:r>
          </w:p>
        </w:tc>
        <w:tc>
          <w:tcPr>
            <w:tcW w:type="dxa" w:w="13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服务态度</w:t>
            </w:r>
          </w:p>
        </w:tc>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服务态度（主动、耐心、谦虚）</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168"/>
            <w:vMerge/>
            <w:tcBorders>
              <w:top w:val="none" w:color="000000" w:sz="4"/>
              <w:left w:val="single" w:color="000000" w:sz="4"/>
              <w:bottom w:val="single" w:color="000000" w:sz="4"/>
              <w:right w:val="single" w:color="000000" w:sz="4"/>
            </w:tcBorders>
          </w:tcPr>
          <w:p/>
        </w:tc>
        <w:tc>
          <w:tcPr>
            <w:tcW w:type="dxa" w:w="1351"/>
            <w:vMerge/>
            <w:tcBorders>
              <w:top w:val="none" w:color="000000" w:sz="4"/>
              <w:left w:val="single" w:color="000000" w:sz="4"/>
              <w:bottom w:val="single" w:color="000000" w:sz="4"/>
              <w:right w:val="single" w:color="000000" w:sz="4"/>
            </w:tcBorders>
          </w:tcPr>
          <w:p/>
        </w:tc>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服务过程保持专业、中肯</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168"/>
            <w:vMerge/>
            <w:tcBorders>
              <w:top w:val="none" w:color="000000" w:sz="4"/>
              <w:left w:val="single" w:color="000000" w:sz="4"/>
              <w:bottom w:val="single" w:color="000000" w:sz="4"/>
              <w:right w:val="single" w:color="000000" w:sz="4"/>
            </w:tcBorders>
          </w:tcPr>
          <w:p/>
        </w:tc>
        <w:tc>
          <w:tcPr>
            <w:tcW w:type="dxa" w:w="1351"/>
            <w:vMerge/>
            <w:tcBorders>
              <w:top w:val="none" w:color="000000" w:sz="4"/>
              <w:left w:val="single" w:color="000000" w:sz="4"/>
              <w:bottom w:val="single" w:color="000000" w:sz="4"/>
              <w:right w:val="single" w:color="000000" w:sz="4"/>
            </w:tcBorders>
          </w:tcPr>
          <w:p/>
        </w:tc>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人员服务能力情况</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168"/>
            <w:vMerge/>
            <w:tcBorders>
              <w:top w:val="none" w:color="000000" w:sz="4"/>
              <w:left w:val="single" w:color="000000" w:sz="4"/>
              <w:bottom w:val="single" w:color="000000" w:sz="4"/>
              <w:right w:val="single" w:color="000000" w:sz="4"/>
            </w:tcBorders>
          </w:tcPr>
          <w:p/>
        </w:tc>
        <w:tc>
          <w:tcPr>
            <w:tcW w:type="dxa" w:w="1351"/>
            <w:vMerge/>
            <w:tcBorders>
              <w:top w:val="none" w:color="000000" w:sz="4"/>
              <w:left w:val="single" w:color="000000" w:sz="4"/>
              <w:bottom w:val="single" w:color="000000" w:sz="4"/>
              <w:right w:val="single" w:color="000000" w:sz="4"/>
            </w:tcBorders>
          </w:tcPr>
          <w:p/>
        </w:tc>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人员服务经验情况</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168"/>
            <w:vMerge/>
            <w:tcBorders>
              <w:top w:val="none" w:color="000000" w:sz="4"/>
              <w:left w:val="single" w:color="000000" w:sz="4"/>
              <w:bottom w:val="single" w:color="000000" w:sz="4"/>
              <w:right w:val="single" w:color="000000" w:sz="4"/>
            </w:tcBorders>
          </w:tcPr>
          <w:p/>
        </w:tc>
        <w:tc>
          <w:tcPr>
            <w:tcW w:type="dxa" w:w="1351"/>
            <w:vMerge/>
            <w:tcBorders>
              <w:top w:val="none" w:color="000000" w:sz="4"/>
              <w:left w:val="single" w:color="000000" w:sz="4"/>
              <w:bottom w:val="single" w:color="000000" w:sz="4"/>
              <w:right w:val="single" w:color="000000" w:sz="4"/>
            </w:tcBorders>
          </w:tcPr>
          <w:p/>
        </w:tc>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国家有关信息安全标准规范及政策的掌握情况</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2</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168"/>
            <w:vMerge/>
            <w:tcBorders>
              <w:top w:val="none" w:color="000000" w:sz="4"/>
              <w:left w:val="single" w:color="000000" w:sz="4"/>
              <w:bottom w:val="single" w:color="000000" w:sz="4"/>
              <w:right w:val="single" w:color="000000" w:sz="4"/>
            </w:tcBorders>
          </w:tcPr>
          <w:p/>
        </w:tc>
        <w:tc>
          <w:tcPr>
            <w:tcW w:type="dxa" w:w="135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响应及时性</w:t>
            </w:r>
          </w:p>
        </w:tc>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人员响应及时性</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168"/>
            <w:vMerge/>
            <w:tcBorders>
              <w:top w:val="none" w:color="000000" w:sz="4"/>
              <w:left w:val="single" w:color="000000" w:sz="4"/>
              <w:bottom w:val="single" w:color="000000" w:sz="4"/>
              <w:right w:val="single" w:color="000000" w:sz="4"/>
            </w:tcBorders>
          </w:tcPr>
          <w:p/>
        </w:tc>
        <w:tc>
          <w:tcPr>
            <w:tcW w:type="dxa" w:w="1351"/>
            <w:vMerge/>
            <w:tcBorders>
              <w:top w:val="none" w:color="000000" w:sz="4"/>
              <w:left w:val="single" w:color="000000" w:sz="4"/>
              <w:bottom w:val="single" w:color="000000" w:sz="4"/>
              <w:right w:val="single" w:color="000000" w:sz="4"/>
            </w:tcBorders>
          </w:tcPr>
          <w:p/>
        </w:tc>
        <w:tc>
          <w:tcPr>
            <w:tcW w:type="dxa" w:w="34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应急需求响应及时性</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8</w:t>
            </w:r>
          </w:p>
        </w:tc>
        <w:tc>
          <w:tcPr>
            <w:tcW w:type="dxa" w:w="116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服务质量</w:t>
            </w:r>
          </w:p>
        </w:tc>
        <w:tc>
          <w:tcPr>
            <w:tcW w:type="dxa" w:w="47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服务内容准确性</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w:t>
            </w:r>
          </w:p>
        </w:tc>
        <w:tc>
          <w:tcPr>
            <w:tcW w:type="dxa" w:w="1168"/>
            <w:vMerge/>
            <w:tcBorders>
              <w:top w:val="none" w:color="000000" w:sz="4"/>
              <w:left w:val="single" w:color="000000" w:sz="4"/>
              <w:bottom w:val="single" w:color="000000" w:sz="4"/>
              <w:right w:val="single" w:color="000000" w:sz="4"/>
            </w:tcBorders>
          </w:tcPr>
          <w:p/>
        </w:tc>
        <w:tc>
          <w:tcPr>
            <w:tcW w:type="dxa" w:w="47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服务过程完整性</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w:t>
            </w:r>
          </w:p>
        </w:tc>
        <w:tc>
          <w:tcPr>
            <w:tcW w:type="dxa" w:w="1168"/>
            <w:vMerge/>
            <w:tcBorders>
              <w:top w:val="none" w:color="000000" w:sz="4"/>
              <w:left w:val="single" w:color="000000" w:sz="4"/>
              <w:bottom w:val="single" w:color="000000" w:sz="4"/>
              <w:right w:val="single" w:color="000000" w:sz="4"/>
            </w:tcBorders>
          </w:tcPr>
          <w:p/>
        </w:tc>
        <w:tc>
          <w:tcPr>
            <w:tcW w:type="dxa" w:w="47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运维服务全面性</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11</w:t>
            </w:r>
          </w:p>
        </w:tc>
        <w:tc>
          <w:tcPr>
            <w:tcW w:type="dxa" w:w="1168"/>
            <w:vMerge/>
            <w:tcBorders>
              <w:top w:val="none" w:color="000000" w:sz="4"/>
              <w:left w:val="single" w:color="000000" w:sz="4"/>
              <w:bottom w:val="single" w:color="000000" w:sz="4"/>
              <w:right w:val="single" w:color="000000" w:sz="4"/>
            </w:tcBorders>
          </w:tcPr>
          <w:p/>
        </w:tc>
        <w:tc>
          <w:tcPr>
            <w:tcW w:type="dxa" w:w="47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安全的落实全面性</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5</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r>
              <w:rPr>
                <w:sz w:val="22"/>
              </w:rPr>
              <w:t>2</w:t>
            </w:r>
          </w:p>
        </w:tc>
        <w:tc>
          <w:tcPr>
            <w:tcW w:type="dxa" w:w="1168"/>
            <w:vMerge/>
            <w:tcBorders>
              <w:top w:val="none" w:color="000000" w:sz="4"/>
              <w:left w:val="single" w:color="000000" w:sz="4"/>
              <w:bottom w:val="single" w:color="000000" w:sz="4"/>
              <w:right w:val="single" w:color="000000" w:sz="4"/>
            </w:tcBorders>
          </w:tcPr>
          <w:p/>
        </w:tc>
        <w:tc>
          <w:tcPr>
            <w:tcW w:type="dxa" w:w="477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服务成果实现情况</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3</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3</w:t>
            </w:r>
          </w:p>
        </w:tc>
        <w:tc>
          <w:tcPr>
            <w:tcW w:type="dxa" w:w="1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加分项</w:t>
            </w:r>
          </w:p>
        </w:tc>
        <w:tc>
          <w:tcPr>
            <w:tcW w:type="dxa" w:w="4771"/>
            <w:gridSpan w:val="2"/>
            <w:tcBorders>
              <w:top w:val="none" w:color="000000" w:sz="4"/>
              <w:left w:val="single" w:color="000000" w:sz="4"/>
              <w:bottom w:val="single" w:color="000000" w:sz="4"/>
              <w:right w:val="single" w:color="000000" w:sz="4"/>
            </w:tcBorders>
            <w:tcMar>
              <w:top w:type="dxa" w:w="60"/>
              <w:left w:type="dxa" w:w="90"/>
              <w:bottom w:type="dxa" w:w="60"/>
              <w:right w:type="dxa" w:w="90"/>
            </w:tcMar>
            <w:vAlign w:val="top"/>
          </w:tcPr>
          <w:p>
            <w:pPr>
              <w:pStyle w:val="null3"/>
              <w:jc w:val="both"/>
            </w:pPr>
            <w:r>
              <w:rPr>
                <w:sz w:val="22"/>
                <w:color w:val="000000"/>
              </w:rPr>
              <w:t>乙方</w:t>
            </w:r>
            <w:r>
              <w:rPr>
                <w:sz w:val="22"/>
                <w:color w:val="000000"/>
              </w:rPr>
              <w:t>配合</w:t>
            </w:r>
            <w:r>
              <w:rPr>
                <w:sz w:val="22"/>
                <w:color w:val="000000"/>
              </w:rPr>
              <w:t>甲方</w:t>
            </w:r>
            <w:r>
              <w:rPr>
                <w:sz w:val="22"/>
                <w:color w:val="000000"/>
              </w:rPr>
              <w:t>工作，获得</w:t>
            </w:r>
            <w:r>
              <w:rPr>
                <w:sz w:val="22"/>
                <w:color w:val="000000"/>
              </w:rPr>
              <w:t>甲方</w:t>
            </w:r>
            <w:r>
              <w:rPr>
                <w:sz w:val="22"/>
                <w:color w:val="000000"/>
              </w:rPr>
              <w:t>表扬，</w:t>
            </w:r>
            <w:r>
              <w:rPr>
                <w:sz w:val="22"/>
                <w:color w:val="000000"/>
              </w:rPr>
              <w:t>甲方</w:t>
            </w:r>
            <w:r>
              <w:rPr>
                <w:sz w:val="22"/>
                <w:color w:val="000000"/>
              </w:rPr>
              <w:t>可酌情加分，最高加</w:t>
            </w:r>
            <w:r>
              <w:rPr>
                <w:sz w:val="22"/>
                <w:color w:val="000000"/>
              </w:rPr>
              <w:t>20分；</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4</w:t>
            </w:r>
          </w:p>
        </w:tc>
        <w:tc>
          <w:tcPr>
            <w:tcW w:type="dxa" w:w="5939"/>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总计</w:t>
            </w:r>
          </w:p>
        </w:tc>
        <w:tc>
          <w:tcPr>
            <w:tcW w:type="dxa" w:w="7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40</w:t>
            </w:r>
          </w:p>
        </w:tc>
        <w:tc>
          <w:tcPr>
            <w:tcW w:type="dxa" w:w="7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color w:val="000000"/>
              </w:rPr>
              <w:t>1</w:t>
            </w:r>
            <w:r>
              <w:rPr>
                <w:sz w:val="22"/>
                <w:color w:val="000000"/>
              </w:rPr>
              <w:t>5</w:t>
            </w:r>
          </w:p>
        </w:tc>
        <w:tc>
          <w:tcPr>
            <w:tcW w:type="dxa" w:w="7359"/>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color w:val="000000"/>
              </w:rPr>
              <w:t>意见和建议：</w:t>
            </w:r>
          </w:p>
          <w:p>
            <w:pPr>
              <w:pStyle w:val="null3"/>
              <w:ind w:left="-420"/>
              <w:jc w:val="both"/>
            </w:pPr>
            <w:r>
              <w:rPr>
                <w:sz w:val="22"/>
                <w:color w:val="000000"/>
              </w:rPr>
              <w:t>年</w:t>
            </w:r>
            <w:r>
              <w:rPr>
                <w:sz w:val="22"/>
                <w:color w:val="000000"/>
              </w:rPr>
              <w:t xml:space="preserve">  </w:t>
            </w:r>
            <w:r>
              <w:rPr>
                <w:sz w:val="22"/>
                <w:color w:val="000000"/>
              </w:rPr>
              <w:t>月</w:t>
            </w:r>
            <w:r>
              <w:rPr>
                <w:sz w:val="22"/>
                <w:color w:val="000000"/>
              </w:rPr>
              <w:t xml:space="preserve">  </w:t>
            </w:r>
            <w:r>
              <w:rPr>
                <w:sz w:val="22"/>
                <w:color w:val="000000"/>
              </w:rPr>
              <w:t>日</w:t>
            </w:r>
          </w:p>
        </w:tc>
      </w:tr>
    </w:tbl>
    <w:p>
      <w:pPr>
        <w:pStyle w:val="null3"/>
        <w:ind w:firstLine="440"/>
        <w:jc w:val="both"/>
      </w:pPr>
      <w:r>
        <w:rPr>
          <w:sz w:val="22"/>
        </w:rPr>
        <w:t>（二）网络信息安全重大事件直接扣款规定</w:t>
      </w:r>
    </w:p>
    <w:p>
      <w:pPr>
        <w:pStyle w:val="null3"/>
        <w:ind w:firstLine="482"/>
        <w:jc w:val="left"/>
      </w:pPr>
      <w:r>
        <w:rPr>
          <w:sz w:val="22"/>
        </w:rPr>
        <w:t>若发生重大事件，</w:t>
      </w:r>
      <w:r>
        <w:rPr>
          <w:sz w:val="22"/>
        </w:rPr>
        <w:t>甲方</w:t>
      </w:r>
      <w:r>
        <w:rPr>
          <w:sz w:val="22"/>
        </w:rPr>
        <w:t>将在当期运维服务费的基础上，对</w:t>
      </w:r>
      <w:r>
        <w:rPr>
          <w:sz w:val="22"/>
        </w:rPr>
        <w:t>乙方</w:t>
      </w:r>
      <w:r>
        <w:rPr>
          <w:sz w:val="22"/>
        </w:rPr>
        <w:t>进行直接扣款。直接扣款项如下：</w:t>
      </w:r>
    </w:p>
    <w:tbl>
      <w:tblPr>
        <w:tblW w:w="0" w:type="auto"/>
        <w:tblBorders>
          <w:top w:val="none" w:color="000000" w:sz="4"/>
          <w:left w:val="none" w:color="000000" w:sz="4"/>
          <w:bottom w:val="none" w:color="000000" w:sz="4"/>
          <w:right w:val="none" w:color="000000" w:sz="4"/>
          <w:insideH w:val="none"/>
          <w:insideV w:val="none"/>
        </w:tblBorders>
      </w:tblPr>
      <w:tblGrid>
        <w:gridCol w:w="749"/>
        <w:gridCol w:w="763"/>
        <w:gridCol w:w="3362"/>
        <w:gridCol w:w="690"/>
        <w:gridCol w:w="2437"/>
      </w:tblGrid>
      <w:tr>
        <w:tc>
          <w:tcPr>
            <w:tcW w:type="dxa" w:w="7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项目</w:t>
            </w:r>
          </w:p>
        </w:tc>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子项</w:t>
            </w:r>
          </w:p>
        </w:tc>
        <w:tc>
          <w:tcPr>
            <w:tcW w:type="dxa" w:w="33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服务标准及评分</w:t>
            </w:r>
          </w:p>
        </w:tc>
        <w:tc>
          <w:tcPr>
            <w:tcW w:type="dxa" w:w="6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分值</w:t>
            </w:r>
          </w:p>
        </w:tc>
        <w:tc>
          <w:tcPr>
            <w:tcW w:type="dxa" w:w="24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b/>
              </w:rPr>
              <w:t>权重</w:t>
            </w:r>
          </w:p>
        </w:tc>
      </w:tr>
      <w:tr>
        <w:tc>
          <w:tcPr>
            <w:tcW w:type="dxa" w:w="7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重大事件直接考核扣款项</w:t>
            </w:r>
          </w:p>
        </w:tc>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生产</w:t>
            </w:r>
          </w:p>
          <w:p>
            <w:pPr>
              <w:pStyle w:val="null3"/>
              <w:jc w:val="center"/>
            </w:pPr>
            <w:r>
              <w:rPr>
                <w:sz w:val="22"/>
              </w:rPr>
              <w:t>事故</w:t>
            </w:r>
          </w:p>
        </w:tc>
        <w:tc>
          <w:tcPr>
            <w:tcW w:type="dxa" w:w="33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rPr>
              <w:t>因服务团队原因造成</w:t>
            </w:r>
            <w:r>
              <w:rPr>
                <w:sz w:val="22"/>
              </w:rPr>
              <w:t>甲方</w:t>
            </w:r>
            <w:r>
              <w:rPr>
                <w:sz w:val="22"/>
              </w:rPr>
              <w:t>出现网络信息安全事件、重大损失和恶劣影响，包括以下情况：</w:t>
            </w:r>
          </w:p>
          <w:p>
            <w:pPr>
              <w:pStyle w:val="null3"/>
              <w:jc w:val="left"/>
            </w:pPr>
            <w:r>
              <w:rPr>
                <w:sz w:val="22"/>
              </w:rPr>
              <w:t>1.发生违反网络与信息安全管理规定的重大事件。</w:t>
            </w:r>
          </w:p>
          <w:p>
            <w:pPr>
              <w:pStyle w:val="null3"/>
              <w:jc w:val="left"/>
            </w:pPr>
            <w:r>
              <w:rPr>
                <w:sz w:val="22"/>
              </w:rPr>
              <w:t>2.违反保密规定或其他原因导致数据泄漏，造成影响或产生损失的。</w:t>
            </w:r>
          </w:p>
          <w:p>
            <w:pPr>
              <w:pStyle w:val="null3"/>
              <w:jc w:val="left"/>
            </w:pPr>
            <w:r>
              <w:rPr>
                <w:sz w:val="22"/>
              </w:rPr>
              <w:t>3.发生数据严重失真事件。</w:t>
            </w:r>
          </w:p>
          <w:p>
            <w:pPr>
              <w:pStyle w:val="null3"/>
              <w:jc w:val="left"/>
            </w:pPr>
            <w:r>
              <w:rPr>
                <w:sz w:val="22"/>
              </w:rPr>
              <w:t>4.引发社会恶性负面报道事件。</w:t>
            </w:r>
          </w:p>
          <w:p>
            <w:pPr>
              <w:pStyle w:val="null3"/>
              <w:jc w:val="left"/>
            </w:pPr>
            <w:r>
              <w:rPr>
                <w:sz w:val="22"/>
              </w:rPr>
              <w:t>5.发生违反省市各类监管部门、司法机关查处的重大问题。</w:t>
            </w:r>
          </w:p>
          <w:p>
            <w:pPr>
              <w:pStyle w:val="null3"/>
              <w:jc w:val="left"/>
            </w:pPr>
            <w:r>
              <w:rPr>
                <w:sz w:val="22"/>
              </w:rPr>
              <w:t>6.其他严重损害客户利益事件。</w:t>
            </w:r>
          </w:p>
          <w:p>
            <w:pPr>
              <w:pStyle w:val="null3"/>
              <w:jc w:val="left"/>
            </w:pPr>
            <w:r>
              <w:rPr>
                <w:sz w:val="22"/>
              </w:rPr>
              <w:t>发生上述情况的，每发生一次视严重程度，扣除当期运维服务费的</w:t>
            </w:r>
            <w:r>
              <w:rPr>
                <w:sz w:val="22"/>
              </w:rPr>
              <w:t>50%-100%，并保留追究相关单位和人员法律责任的权力。</w:t>
            </w:r>
          </w:p>
        </w:tc>
        <w:tc>
          <w:tcPr>
            <w:tcW w:type="dxa" w:w="6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直接扣款</w:t>
            </w:r>
          </w:p>
        </w:tc>
        <w:tc>
          <w:tcPr>
            <w:tcW w:type="dxa" w:w="24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直接扣款</w:t>
            </w:r>
          </w:p>
        </w:tc>
      </w:tr>
      <w:tr>
        <w:tc>
          <w:tcPr>
            <w:tcW w:type="dxa" w:w="800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2"/>
                <w:color w:val="000000"/>
              </w:rPr>
              <w:t>说明：最终以合同约定为准</w:t>
            </w:r>
          </w:p>
        </w:tc>
      </w:tr>
    </w:tbl>
    <w:p>
      <w:pPr>
        <w:pStyle w:val="null3"/>
        <w:ind w:firstLine="442"/>
        <w:jc w:val="both"/>
      </w:pPr>
      <w:r>
        <w:rPr>
          <w:sz w:val="22"/>
          <w:b/>
        </w:rPr>
        <w:t>十、保密条例</w:t>
      </w:r>
    </w:p>
    <w:p>
      <w:pPr>
        <w:pStyle w:val="null3"/>
        <w:ind w:firstLine="440"/>
        <w:jc w:val="both"/>
      </w:pPr>
      <w:r>
        <w:rPr>
          <w:sz w:val="22"/>
        </w:rPr>
        <w:t>乙方</w:t>
      </w:r>
      <w:r>
        <w:rPr>
          <w:sz w:val="22"/>
        </w:rPr>
        <w:t>在为</w:t>
      </w:r>
      <w:r>
        <w:rPr>
          <w:sz w:val="22"/>
        </w:rPr>
        <w:t>甲方</w:t>
      </w:r>
      <w:r>
        <w:rPr>
          <w:sz w:val="22"/>
        </w:rPr>
        <w:t>提供信息技术支持和服务的过程中，须高度重视信息安全和保密工作。</w:t>
      </w:r>
    </w:p>
    <w:p>
      <w:pPr>
        <w:pStyle w:val="null3"/>
        <w:ind w:firstLine="440"/>
        <w:jc w:val="both"/>
      </w:pPr>
      <w:r>
        <w:rPr>
          <w:sz w:val="22"/>
        </w:rPr>
        <w:t>（一）</w:t>
      </w:r>
      <w:r>
        <w:rPr>
          <w:sz w:val="22"/>
        </w:rPr>
        <w:t>乙方</w:t>
      </w:r>
      <w:r>
        <w:rPr>
          <w:sz w:val="22"/>
        </w:rPr>
        <w:t>职责</w:t>
      </w:r>
    </w:p>
    <w:p>
      <w:pPr>
        <w:pStyle w:val="null3"/>
        <w:ind w:firstLine="440"/>
        <w:jc w:val="both"/>
      </w:pPr>
      <w:r>
        <w:rPr>
          <w:sz w:val="22"/>
        </w:rPr>
        <w:t>1.遵守规章制度</w:t>
      </w:r>
    </w:p>
    <w:p>
      <w:pPr>
        <w:pStyle w:val="null3"/>
        <w:ind w:firstLine="440"/>
        <w:jc w:val="both"/>
      </w:pPr>
      <w:r>
        <w:rPr>
          <w:sz w:val="22"/>
        </w:rPr>
        <w:t>乙方</w:t>
      </w:r>
      <w:r>
        <w:rPr>
          <w:sz w:val="22"/>
        </w:rPr>
        <w:t>须全面遵守</w:t>
      </w:r>
      <w:r>
        <w:rPr>
          <w:sz w:val="22"/>
        </w:rPr>
        <w:t>甲方</w:t>
      </w:r>
      <w:r>
        <w:rPr>
          <w:sz w:val="22"/>
        </w:rPr>
        <w:t>的各项规章制度，包括但不限于工作流程、安全规定、员工行为准则等。运维人员应主动了解和熟悉这些规章制度，确保在日常工作中严格遵照执行。</w:t>
      </w:r>
    </w:p>
    <w:p>
      <w:pPr>
        <w:pStyle w:val="null3"/>
        <w:ind w:firstLine="440"/>
        <w:jc w:val="both"/>
      </w:pPr>
      <w:r>
        <w:rPr>
          <w:sz w:val="22"/>
        </w:rPr>
        <w:t>2.接受日常管理</w:t>
      </w:r>
    </w:p>
    <w:p>
      <w:pPr>
        <w:pStyle w:val="null3"/>
        <w:ind w:firstLine="440"/>
        <w:jc w:val="both"/>
      </w:pPr>
      <w:r>
        <w:rPr>
          <w:sz w:val="22"/>
        </w:rPr>
        <w:t>乙方</w:t>
      </w:r>
      <w:r>
        <w:rPr>
          <w:sz w:val="22"/>
        </w:rPr>
        <w:t>应接受</w:t>
      </w:r>
      <w:r>
        <w:rPr>
          <w:sz w:val="22"/>
        </w:rPr>
        <w:t>甲方</w:t>
      </w:r>
      <w:r>
        <w:rPr>
          <w:sz w:val="22"/>
        </w:rPr>
        <w:t>的日常工作管理，包括但不限于考勤、工作绩效评估等。驻场人员应服从</w:t>
      </w:r>
      <w:r>
        <w:rPr>
          <w:sz w:val="22"/>
        </w:rPr>
        <w:t>甲方</w:t>
      </w:r>
      <w:r>
        <w:rPr>
          <w:sz w:val="22"/>
        </w:rPr>
        <w:t>的管理，保持良好的工作秩序和职业操守。</w:t>
      </w:r>
    </w:p>
    <w:p>
      <w:pPr>
        <w:pStyle w:val="null3"/>
        <w:ind w:firstLine="440"/>
        <w:jc w:val="both"/>
      </w:pPr>
      <w:r>
        <w:rPr>
          <w:sz w:val="22"/>
        </w:rPr>
        <w:t>3.安全检查与防范</w:t>
      </w:r>
    </w:p>
    <w:p>
      <w:pPr>
        <w:pStyle w:val="null3"/>
        <w:ind w:firstLine="440"/>
        <w:jc w:val="both"/>
      </w:pPr>
      <w:r>
        <w:rPr>
          <w:sz w:val="22"/>
        </w:rPr>
        <w:t>乙方</w:t>
      </w:r>
      <w:r>
        <w:rPr>
          <w:sz w:val="22"/>
        </w:rPr>
        <w:t>应定期进行安全检查，评估潜在的安全风险，并采取有效措施进行防范。包括但不限于对物理安全（如服务器房间的门禁系统、监控设备）和技术安全（如防火墙、入侵检测系统）的全面检查。</w:t>
      </w:r>
    </w:p>
    <w:p>
      <w:pPr>
        <w:pStyle w:val="null3"/>
        <w:ind w:firstLine="440"/>
        <w:jc w:val="both"/>
      </w:pPr>
      <w:r>
        <w:rPr>
          <w:sz w:val="22"/>
        </w:rPr>
        <w:t>4.保密协议签署</w:t>
      </w:r>
    </w:p>
    <w:p>
      <w:pPr>
        <w:pStyle w:val="null3"/>
        <w:ind w:firstLine="440"/>
        <w:jc w:val="both"/>
      </w:pPr>
      <w:r>
        <w:rPr>
          <w:sz w:val="22"/>
        </w:rPr>
        <w:t>驻场人员必须按照</w:t>
      </w:r>
      <w:r>
        <w:rPr>
          <w:sz w:val="22"/>
        </w:rPr>
        <w:t>甲方</w:t>
      </w:r>
      <w:r>
        <w:rPr>
          <w:sz w:val="22"/>
        </w:rPr>
        <w:t>单位的要求签署保密协议，明确在运维过程中应承担的安全保密责任和义务。保密协议应详细列出保密信息的范围、保密期限以及违反保密协议的法律后果。</w:t>
      </w:r>
    </w:p>
    <w:p>
      <w:pPr>
        <w:pStyle w:val="null3"/>
        <w:ind w:firstLine="440"/>
        <w:jc w:val="both"/>
      </w:pPr>
      <w:r>
        <w:rPr>
          <w:sz w:val="22"/>
        </w:rPr>
        <w:t>5.信息安全保障</w:t>
      </w:r>
    </w:p>
    <w:p>
      <w:pPr>
        <w:pStyle w:val="null3"/>
        <w:ind w:firstLine="440"/>
        <w:jc w:val="both"/>
      </w:pPr>
      <w:r>
        <w:rPr>
          <w:sz w:val="22"/>
        </w:rPr>
        <w:t>乙方</w:t>
      </w:r>
      <w:r>
        <w:rPr>
          <w:sz w:val="22"/>
        </w:rPr>
        <w:t>应通过适当的人防和技防手段确保运维过程中产生的各类交易信息数据的安全保密。包括但不限于访问控制、数据加密、安全审计等。</w:t>
      </w:r>
    </w:p>
    <w:p>
      <w:pPr>
        <w:pStyle w:val="null3"/>
        <w:ind w:firstLine="440"/>
        <w:jc w:val="both"/>
      </w:pPr>
      <w:r>
        <w:rPr>
          <w:sz w:val="22"/>
        </w:rPr>
        <w:t>（二）保密资料的保护</w:t>
      </w:r>
    </w:p>
    <w:p>
      <w:pPr>
        <w:pStyle w:val="null3"/>
        <w:ind w:firstLine="440"/>
        <w:jc w:val="both"/>
      </w:pPr>
      <w:r>
        <w:rPr>
          <w:sz w:val="22"/>
        </w:rPr>
        <w:t>1.保密资料的界定</w:t>
      </w:r>
    </w:p>
    <w:p>
      <w:pPr>
        <w:pStyle w:val="null3"/>
        <w:ind w:firstLine="440"/>
        <w:jc w:val="both"/>
      </w:pPr>
      <w:r>
        <w:rPr>
          <w:sz w:val="22"/>
        </w:rPr>
        <w:t>保密资料包括但不限于</w:t>
      </w:r>
      <w:r>
        <w:rPr>
          <w:sz w:val="22"/>
        </w:rPr>
        <w:t>甲方</w:t>
      </w:r>
      <w:r>
        <w:rPr>
          <w:sz w:val="22"/>
        </w:rPr>
        <w:t>提供的所有资料、商业秘密、技术资料信息等。这些资料无论是在合同签订、履行过程中接触到，还是在其他任何情况下获取的，都应受到严格的保密。</w:t>
      </w:r>
    </w:p>
    <w:p>
      <w:pPr>
        <w:pStyle w:val="null3"/>
        <w:ind w:firstLine="440"/>
        <w:jc w:val="both"/>
      </w:pPr>
      <w:r>
        <w:rPr>
          <w:sz w:val="22"/>
        </w:rPr>
        <w:t>2.保密义务的履行</w:t>
      </w:r>
    </w:p>
    <w:p>
      <w:pPr>
        <w:pStyle w:val="null3"/>
        <w:ind w:firstLine="440"/>
        <w:jc w:val="both"/>
      </w:pPr>
      <w:r>
        <w:rPr>
          <w:sz w:val="22"/>
        </w:rPr>
        <w:t>乙方</w:t>
      </w:r>
      <w:r>
        <w:rPr>
          <w:sz w:val="22"/>
        </w:rPr>
        <w:t>不得以任何形式向第三方披露保密资料，也不得将这些资料用于合同约定以外的任何其他目的。在必要情况下，</w:t>
      </w:r>
      <w:r>
        <w:rPr>
          <w:sz w:val="22"/>
        </w:rPr>
        <w:t>乙方</w:t>
      </w:r>
      <w:r>
        <w:rPr>
          <w:sz w:val="22"/>
        </w:rPr>
        <w:t>可以向其内部雇员披露保密资料，但必须确保雇员也遵守相同的保密义务。</w:t>
      </w:r>
    </w:p>
    <w:p>
      <w:pPr>
        <w:pStyle w:val="null3"/>
        <w:ind w:firstLine="440"/>
        <w:jc w:val="both"/>
      </w:pPr>
      <w:r>
        <w:rPr>
          <w:sz w:val="22"/>
        </w:rPr>
        <w:t>3.保密资料的复制与销毁</w:t>
      </w:r>
    </w:p>
    <w:p>
      <w:pPr>
        <w:pStyle w:val="null3"/>
        <w:ind w:firstLine="440"/>
        <w:jc w:val="both"/>
      </w:pPr>
      <w:r>
        <w:rPr>
          <w:sz w:val="22"/>
        </w:rPr>
        <w:t>乙方</w:t>
      </w:r>
      <w:r>
        <w:rPr>
          <w:sz w:val="22"/>
        </w:rPr>
        <w:t>只能在履行合同目的的情况下复制保密资料，并且不得以任何形式（如硬盘、光盘等）留存这些资料的副本。在合同终止或解除时，</w:t>
      </w:r>
      <w:r>
        <w:rPr>
          <w:sz w:val="22"/>
        </w:rPr>
        <w:t>乙方</w:t>
      </w:r>
      <w:r>
        <w:rPr>
          <w:sz w:val="22"/>
        </w:rPr>
        <w:t>须将保密资料原件全部返还</w:t>
      </w:r>
      <w:r>
        <w:rPr>
          <w:sz w:val="22"/>
        </w:rPr>
        <w:t>甲方</w:t>
      </w:r>
      <w:r>
        <w:rPr>
          <w:sz w:val="22"/>
        </w:rPr>
        <w:t>单位，并销毁所有复制件。</w:t>
      </w:r>
    </w:p>
    <w:p>
      <w:pPr>
        <w:pStyle w:val="null3"/>
        <w:ind w:firstLine="440"/>
        <w:jc w:val="both"/>
      </w:pPr>
      <w:r>
        <w:rPr>
          <w:sz w:val="22"/>
        </w:rPr>
        <w:t>4.保密资料的妥善保管</w:t>
      </w:r>
    </w:p>
    <w:p>
      <w:pPr>
        <w:pStyle w:val="null3"/>
        <w:ind w:firstLine="440"/>
        <w:jc w:val="both"/>
      </w:pPr>
      <w:r>
        <w:rPr>
          <w:sz w:val="22"/>
        </w:rPr>
        <w:t>乙方</w:t>
      </w:r>
      <w:r>
        <w:rPr>
          <w:sz w:val="22"/>
        </w:rPr>
        <w:t>须妥善保管保密资料，防止资料的丢失、被盗或泄露。如果发生保密资料保密性受损的事件，</w:t>
      </w:r>
      <w:r>
        <w:rPr>
          <w:sz w:val="22"/>
        </w:rPr>
        <w:t>乙方</w:t>
      </w:r>
      <w:r>
        <w:rPr>
          <w:sz w:val="22"/>
        </w:rPr>
        <w:t>应承担全部责任，并赔偿因此给</w:t>
      </w:r>
      <w:r>
        <w:rPr>
          <w:sz w:val="22"/>
        </w:rPr>
        <w:t>甲方</w:t>
      </w:r>
      <w:r>
        <w:rPr>
          <w:sz w:val="22"/>
        </w:rPr>
        <w:t>造成的损失。</w:t>
      </w:r>
    </w:p>
    <w:p>
      <w:pPr>
        <w:pStyle w:val="null3"/>
        <w:ind w:firstLine="440"/>
        <w:jc w:val="both"/>
      </w:pPr>
      <w:r>
        <w:rPr>
          <w:sz w:val="22"/>
        </w:rPr>
        <w:t>（三）保密条款的例外情况</w:t>
      </w:r>
    </w:p>
    <w:p>
      <w:pPr>
        <w:pStyle w:val="null3"/>
        <w:ind w:firstLine="440"/>
        <w:jc w:val="both"/>
      </w:pPr>
      <w:r>
        <w:rPr>
          <w:sz w:val="22"/>
        </w:rPr>
        <w:t>保密条款在某些特定情况下不适用，包括保密资料已经进入公有领域、由</w:t>
      </w:r>
      <w:r>
        <w:rPr>
          <w:sz w:val="22"/>
        </w:rPr>
        <w:t>乙方</w:t>
      </w:r>
      <w:r>
        <w:rPr>
          <w:sz w:val="22"/>
        </w:rPr>
        <w:t>独立开发、未从违反对</w:t>
      </w:r>
      <w:r>
        <w:rPr>
          <w:sz w:val="22"/>
        </w:rPr>
        <w:t>甲方</w:t>
      </w:r>
      <w:r>
        <w:rPr>
          <w:sz w:val="22"/>
        </w:rPr>
        <w:t>保密义务的人合法取得，或者在法律要求下必须披露的情况。在这些情况下，</w:t>
      </w:r>
      <w:r>
        <w:rPr>
          <w:sz w:val="22"/>
        </w:rPr>
        <w:t>乙方</w:t>
      </w:r>
      <w:r>
        <w:rPr>
          <w:sz w:val="22"/>
        </w:rPr>
        <w:t>应提前合理时间通知</w:t>
      </w:r>
      <w:r>
        <w:rPr>
          <w:sz w:val="22"/>
        </w:rPr>
        <w:t>甲方</w:t>
      </w:r>
      <w:r>
        <w:rPr>
          <w:sz w:val="22"/>
        </w:rPr>
        <w:t>，以便</w:t>
      </w:r>
      <w:r>
        <w:rPr>
          <w:sz w:val="22"/>
        </w:rPr>
        <w:t>甲方</w:t>
      </w:r>
      <w:r>
        <w:rPr>
          <w:sz w:val="22"/>
        </w:rPr>
        <w:t>采取必要的保护措施。</w:t>
      </w:r>
    </w:p>
    <w:p>
      <w:pPr>
        <w:pStyle w:val="null3"/>
        <w:ind w:firstLine="440"/>
        <w:jc w:val="both"/>
      </w:pPr>
      <w:r>
        <w:rPr>
          <w:sz w:val="22"/>
        </w:rPr>
        <w:t>（四）违约责任</w:t>
      </w:r>
    </w:p>
    <w:p>
      <w:pPr>
        <w:pStyle w:val="null3"/>
        <w:ind w:firstLine="440"/>
        <w:jc w:val="both"/>
      </w:pPr>
      <w:r>
        <w:rPr>
          <w:sz w:val="22"/>
        </w:rPr>
        <w:t>如果</w:t>
      </w:r>
      <w:r>
        <w:rPr>
          <w:sz w:val="22"/>
        </w:rPr>
        <w:t>乙方</w:t>
      </w:r>
      <w:r>
        <w:rPr>
          <w:sz w:val="22"/>
        </w:rPr>
        <w:t>违反了合同中的保密约定，导致</w:t>
      </w:r>
      <w:r>
        <w:rPr>
          <w:sz w:val="22"/>
        </w:rPr>
        <w:t>甲方</w:t>
      </w:r>
      <w:r>
        <w:rPr>
          <w:sz w:val="22"/>
        </w:rPr>
        <w:t>遭受损失，</w:t>
      </w:r>
      <w:r>
        <w:rPr>
          <w:sz w:val="22"/>
        </w:rPr>
        <w:t>乙方</w:t>
      </w:r>
      <w:r>
        <w:rPr>
          <w:sz w:val="22"/>
        </w:rPr>
        <w:t>应承担相应的赔偿责任。这包括但不限于由于违约行为导致的直接经济损失、间接经济损失以及</w:t>
      </w:r>
      <w:r>
        <w:rPr>
          <w:sz w:val="22"/>
        </w:rPr>
        <w:t>甲方</w:t>
      </w:r>
      <w:r>
        <w:rPr>
          <w:sz w:val="22"/>
        </w:rPr>
        <w:t>为减轻损失所支付的合理费用。</w:t>
      </w:r>
    </w:p>
    <w:p>
      <w:pPr>
        <w:pStyle w:val="null3"/>
        <w:ind w:firstLine="440"/>
        <w:jc w:val="both"/>
      </w:pPr>
      <w:r>
        <w:rPr>
          <w:sz w:val="22"/>
        </w:rPr>
        <w:t>（五）保密期限</w:t>
      </w:r>
    </w:p>
    <w:p>
      <w:pPr>
        <w:pStyle w:val="null3"/>
        <w:ind w:firstLine="440"/>
        <w:jc w:val="both"/>
      </w:pPr>
      <w:r>
        <w:rPr>
          <w:sz w:val="22"/>
        </w:rPr>
        <w:t>本保密条款自保密资料提供或披露之日起至永久有效。即使在合同终止或解除后，运维服务单位仍然需要继续履行保密义务，确保保密资料不会因任何原因被泄露或不当使用。</w:t>
      </w:r>
    </w:p>
    <w:p>
      <w:pPr>
        <w:pStyle w:val="null3"/>
        <w:ind w:firstLine="442"/>
        <w:jc w:val="both"/>
      </w:pPr>
      <w:r>
        <w:rPr>
          <w:sz w:val="22"/>
          <w:b/>
        </w:rPr>
        <w:t>十、验收标准</w:t>
      </w:r>
    </w:p>
    <w:p>
      <w:pPr>
        <w:pStyle w:val="null3"/>
        <w:ind w:firstLine="440"/>
        <w:jc w:val="both"/>
      </w:pPr>
      <w:r>
        <w:rPr>
          <w:sz w:val="22"/>
        </w:rPr>
        <w:t>项目验收是核查项目计划规定范围内各项工作或活动是否已经全部完成，可查验交付成果是否达到交付质量标准，并将核查结果记录在验收文件中的一系列活动。本项目在运维服务期结束后一个月内进行验收，</w:t>
      </w:r>
      <w:r>
        <w:rPr>
          <w:sz w:val="22"/>
        </w:rPr>
        <w:t>乙方</w:t>
      </w:r>
      <w:r>
        <w:rPr>
          <w:sz w:val="22"/>
        </w:rPr>
        <w:t>应当采取有效措施，切实配合项目的验收工作。</w:t>
      </w:r>
    </w:p>
    <w:p>
      <w:pPr>
        <w:pStyle w:val="null3"/>
        <w:ind w:firstLine="440"/>
        <w:jc w:val="both"/>
      </w:pPr>
      <w:r>
        <w:rPr>
          <w:sz w:val="22"/>
        </w:rPr>
        <w:t>1.验收范围涉及招标文件、合同等文件提及的所有工作；</w:t>
      </w:r>
    </w:p>
    <w:p>
      <w:pPr>
        <w:pStyle w:val="null3"/>
        <w:ind w:firstLine="440"/>
        <w:jc w:val="both"/>
      </w:pPr>
      <w:r>
        <w:rPr>
          <w:sz w:val="22"/>
        </w:rPr>
        <w:t>2.验收涉及到的文档模板在合同签订后，由</w:t>
      </w:r>
      <w:r>
        <w:rPr>
          <w:sz w:val="22"/>
        </w:rPr>
        <w:t>乙方</w:t>
      </w:r>
      <w:r>
        <w:rPr>
          <w:sz w:val="22"/>
        </w:rPr>
        <w:t>按</w:t>
      </w:r>
      <w:r>
        <w:rPr>
          <w:sz w:val="22"/>
        </w:rPr>
        <w:t>甲方</w:t>
      </w:r>
      <w:r>
        <w:rPr>
          <w:sz w:val="22"/>
        </w:rPr>
        <w:t>和监理方要求提供，</w:t>
      </w:r>
      <w:r>
        <w:rPr>
          <w:sz w:val="22"/>
        </w:rPr>
        <w:t>甲方</w:t>
      </w:r>
      <w:r>
        <w:rPr>
          <w:sz w:val="22"/>
        </w:rPr>
        <w:t>和监理方审核确认项目验收材料后，具体组织验收工作；</w:t>
      </w:r>
    </w:p>
    <w:p>
      <w:pPr>
        <w:pStyle w:val="null3"/>
        <w:ind w:firstLine="440"/>
        <w:jc w:val="both"/>
      </w:pPr>
      <w:r>
        <w:rPr>
          <w:sz w:val="22"/>
        </w:rPr>
        <w:t>3.验收应在</w:t>
      </w:r>
      <w:r>
        <w:rPr>
          <w:sz w:val="22"/>
        </w:rPr>
        <w:t>乙方</w:t>
      </w:r>
      <w:r>
        <w:rPr>
          <w:sz w:val="22"/>
        </w:rPr>
        <w:t>和</w:t>
      </w:r>
      <w:r>
        <w:rPr>
          <w:sz w:val="22"/>
        </w:rPr>
        <w:t>甲方</w:t>
      </w:r>
      <w:r>
        <w:rPr>
          <w:sz w:val="22"/>
        </w:rPr>
        <w:t>的共同参与下进行，依据制定的方案与国家相关规定、规范进行验收；</w:t>
      </w:r>
    </w:p>
    <w:p>
      <w:pPr>
        <w:pStyle w:val="null3"/>
        <w:ind w:firstLine="440"/>
        <w:jc w:val="both"/>
      </w:pPr>
      <w:r>
        <w:rPr>
          <w:sz w:val="22"/>
        </w:rPr>
        <w:t>4.</w:t>
      </w:r>
      <w:r>
        <w:rPr>
          <w:sz w:val="22"/>
        </w:rPr>
        <w:t>甲方</w:t>
      </w:r>
      <w:r>
        <w:rPr>
          <w:sz w:val="22"/>
        </w:rPr>
        <w:t>组织项目验收小组按国家有关规定、规范进行验收，如有必要可邀请相关专业人员或机构参与验收；</w:t>
      </w:r>
    </w:p>
    <w:p>
      <w:pPr>
        <w:pStyle w:val="null3"/>
        <w:ind w:firstLine="440"/>
        <w:jc w:val="both"/>
      </w:pPr>
      <w:r>
        <w:rPr>
          <w:sz w:val="22"/>
        </w:rPr>
        <w:t>5.对验收不合格的部分，</w:t>
      </w:r>
      <w:r>
        <w:rPr>
          <w:sz w:val="22"/>
        </w:rPr>
        <w:t>乙方</w:t>
      </w:r>
      <w:r>
        <w:rPr>
          <w:sz w:val="22"/>
        </w:rPr>
        <w:t>应在</w:t>
      </w:r>
      <w:r>
        <w:rPr>
          <w:sz w:val="22"/>
        </w:rPr>
        <w:t>甲方</w:t>
      </w:r>
      <w:r>
        <w:rPr>
          <w:sz w:val="22"/>
        </w:rPr>
        <w:t>规定时间内及时整改完善直至验收合格；</w:t>
      </w:r>
    </w:p>
    <w:p>
      <w:pPr>
        <w:pStyle w:val="null3"/>
        <w:ind w:firstLine="440"/>
        <w:jc w:val="both"/>
      </w:pPr>
      <w:r>
        <w:rPr>
          <w:sz w:val="22"/>
        </w:rPr>
        <w:t>6.过渡支持期：</w:t>
      </w:r>
      <w:r>
        <w:rPr>
          <w:sz w:val="22"/>
        </w:rPr>
        <w:t>乙方</w:t>
      </w:r>
      <w:r>
        <w:rPr>
          <w:sz w:val="22"/>
        </w:rPr>
        <w:t>同意从项目运维期满之日起，在新</w:t>
      </w:r>
      <w:r>
        <w:rPr>
          <w:sz w:val="22"/>
        </w:rPr>
        <w:t>乙方</w:t>
      </w:r>
      <w:r>
        <w:rPr>
          <w:sz w:val="22"/>
        </w:rPr>
        <w:t>到位前继续提供不少于一个月免费的系统基础运维支持服务，未完成工作移交前确保各项目运维服务内容的正常稳定运行，不得撤场、撤人，同时配合新</w:t>
      </w:r>
      <w:r>
        <w:rPr>
          <w:sz w:val="22"/>
        </w:rPr>
        <w:t>乙方</w:t>
      </w:r>
      <w:r>
        <w:rPr>
          <w:sz w:val="22"/>
        </w:rPr>
        <w:t>完成工作及完整资料移交，提供与新</w:t>
      </w:r>
      <w:r>
        <w:rPr>
          <w:sz w:val="22"/>
        </w:rPr>
        <w:t>乙方</w:t>
      </w:r>
      <w:r>
        <w:rPr>
          <w:sz w:val="22"/>
        </w:rPr>
        <w:t>的免费交接工作服务，期限不少于一个月。</w:t>
      </w:r>
    </w:p>
    <w:p>
      <w:pPr>
        <w:pStyle w:val="null3"/>
        <w:ind w:firstLine="442"/>
        <w:jc w:val="both"/>
      </w:pPr>
      <w:r>
        <w:rPr>
          <w:sz w:val="22"/>
          <w:b/>
        </w:rPr>
        <w:t>十一、工作交接要求</w:t>
      </w:r>
    </w:p>
    <w:p>
      <w:pPr>
        <w:pStyle w:val="null3"/>
        <w:ind w:firstLine="440"/>
        <w:jc w:val="both"/>
      </w:pPr>
      <w:r>
        <w:rPr>
          <w:sz w:val="22"/>
        </w:rPr>
        <w:t>（一）乙方应组织运维团队验收工作移交清单、完成工作移交工作，承接项目运维服务；若本期乙方未中标下一期运维服务项目，则必须在下一期运维乙方入场前提交运维服务工作移交清单并在</w:t>
      </w:r>
      <w:r>
        <w:rPr>
          <w:sz w:val="22"/>
        </w:rPr>
        <w:t>2个月内配合完成工作移交，交接内容必须完整、准确，无保留、无隐瞒。</w:t>
      </w:r>
    </w:p>
    <w:p>
      <w:pPr>
        <w:pStyle w:val="null3"/>
        <w:ind w:firstLine="440"/>
        <w:jc w:val="both"/>
      </w:pPr>
      <w:r>
        <w:rPr>
          <w:sz w:val="22"/>
        </w:rPr>
        <w:t>（二）运维工作交接要求主要包括以下几个方面：</w:t>
      </w:r>
    </w:p>
    <w:p>
      <w:pPr>
        <w:pStyle w:val="null3"/>
        <w:ind w:firstLine="440"/>
        <w:jc w:val="both"/>
      </w:pPr>
      <w:r>
        <w:rPr>
          <w:sz w:val="22"/>
        </w:rPr>
        <w:t>1、文档整理：交接工作时，需要整理相关的文档，包括系统架构、系统配置、系统运行状况、问题记录等。文档应该清晰、准确、完整，以便接替人员能够快速了解系统情况。</w:t>
      </w:r>
    </w:p>
    <w:p>
      <w:pPr>
        <w:pStyle w:val="null3"/>
        <w:ind w:firstLine="440"/>
        <w:jc w:val="both"/>
      </w:pPr>
      <w:r>
        <w:rPr>
          <w:sz w:val="22"/>
        </w:rPr>
        <w:t>2、数据备份：交接工作时，需要备份相关的数据，包括系统数据、数据库数据、用户数据等。数据备份应该及时、完整、可靠，以便接替人员能够顺利接手工作。</w:t>
      </w:r>
    </w:p>
    <w:p>
      <w:pPr>
        <w:pStyle w:val="null3"/>
        <w:ind w:firstLine="440"/>
        <w:jc w:val="both"/>
      </w:pPr>
      <w:r>
        <w:rPr>
          <w:sz w:val="22"/>
        </w:rPr>
        <w:t>3、工作流程：交接工作时，需要详细介绍工作流程，包括日常巡检流程、故障处理流程、安全防范流程等。工作流程应该清晰、规范、高效，以便接替人员能够快速适应工作。</w:t>
      </w:r>
    </w:p>
    <w:p>
      <w:pPr>
        <w:pStyle w:val="null3"/>
        <w:ind w:firstLine="440"/>
        <w:jc w:val="both"/>
      </w:pPr>
      <w:r>
        <w:rPr>
          <w:sz w:val="22"/>
        </w:rPr>
        <w:t>4、权限交接：交接工作时，需要将相关权限交接给接替人员，包括系统权限、数据库权限、应用权限等。权限交接应该准确、完整、可靠，以便接替人员能够顺利开展工作。</w:t>
      </w:r>
    </w:p>
    <w:p>
      <w:pPr>
        <w:pStyle w:val="null3"/>
        <w:ind w:firstLine="440"/>
        <w:jc w:val="both"/>
      </w:pPr>
      <w:r>
        <w:rPr>
          <w:sz w:val="22"/>
        </w:rPr>
        <w:t>5、问题处理：交接工作时，需要将未解决的问题和故障交接给接替人员，并说明问题的现象、发现过程和处理进展。问题处理应该及时、准确、可靠，以便接替人员能够快速处理问题。</w:t>
      </w:r>
    </w:p>
    <w:p>
      <w:pPr>
        <w:pStyle w:val="null3"/>
        <w:ind w:firstLine="440"/>
        <w:jc w:val="both"/>
      </w:pPr>
      <w:r>
        <w:rPr>
          <w:sz w:val="22"/>
        </w:rPr>
        <w:t>6、时间安排：交接工作时，需要安排好工作时间，包括值班时间、工作时间、紧急响应时间等。时间安排应该合理、规范、高效，以便接替人员能够按时完成工作任务。</w:t>
      </w:r>
    </w:p>
    <w:p>
      <w:pPr>
        <w:pStyle w:val="null3"/>
        <w:ind w:firstLine="442"/>
        <w:jc w:val="both"/>
      </w:pPr>
      <w:r>
        <w:rPr>
          <w:sz w:val="22"/>
          <w:b/>
        </w:rPr>
        <w:t>十二、知识产权</w:t>
      </w:r>
    </w:p>
    <w:p>
      <w:pPr>
        <w:pStyle w:val="null3"/>
        <w:ind w:firstLine="440"/>
        <w:jc w:val="both"/>
      </w:pPr>
      <w:r>
        <w:rPr>
          <w:sz w:val="22"/>
        </w:rPr>
        <w:t>（一）乙方及其参与本项目的所有工作人员依据本合同所完成的所有技术成果的所有权益，包括但不限于知识产权及所有权，属于甲方。</w:t>
      </w:r>
    </w:p>
    <w:p>
      <w:pPr>
        <w:pStyle w:val="null3"/>
        <w:ind w:firstLine="440"/>
        <w:jc w:val="both"/>
      </w:pPr>
      <w:r>
        <w:rPr>
          <w:sz w:val="22"/>
        </w:rPr>
        <w:t>（二）乙方按照本合同约定在履行系统软件系统运行维护和技术服务的过程中，利用甲方提供的相关资料和工作条件完成的新技术成果的所有权益，包括但不限于知识产权及所有权，属于甲方。</w:t>
      </w:r>
    </w:p>
    <w:p>
      <w:pPr>
        <w:pStyle w:val="null3"/>
        <w:ind w:firstLine="440"/>
        <w:jc w:val="both"/>
      </w:pPr>
      <w:r>
        <w:rPr>
          <w:sz w:val="22"/>
        </w:rPr>
        <w:t>（三）乙方应保证本项目的技术、服务或其任何一部分或整体不会产生因第三方提出侵犯其专利权、商标权或其他知识产权而引起的法律和经济纠纷；如因第三方提出知识产权的侵权之诉，则一切法律责任由乙方承担。如有第三方指控甲方接受乙方提供的产品或服务侵犯了该方的知识产权或其他合法权利，乙方应自费就上述指控为甲方辩护或进行妥善处理，并赔偿甲方及第三方因此遭受的一切损失（包括但不限于赔偿金、律师费、诉讼费等）。如乙方不为甲方辩护或不进行妥善处理，甲方可自行处理，对于甲方与第三方达成的和解协议或法院、仲裁机构作出的生效法律文书确定由甲方承担的责任和费用，及甲方自行处理所支出的合理费用（包括但不限于律师费、诉讼费、诉讼保全申请费、诉讼保全保险费、鉴定费、评估费、执行费、差旅费等），乙方同意全部承担。</w:t>
      </w:r>
    </w:p>
    <w:p>
      <w:pPr>
        <w:pStyle w:val="null3"/>
        <w:ind w:firstLine="440"/>
        <w:jc w:val="both"/>
      </w:pPr>
      <w:r>
        <w:rPr>
          <w:sz w:val="22"/>
        </w:rPr>
        <w:t>（四）甲乙双方在本合同签订前及本合同外获得的知识产权（</w:t>
      </w:r>
      <w:r>
        <w:rPr>
          <w:sz w:val="22"/>
        </w:rPr>
        <w:t>“背景知识产权”），归各自所有，包括但不限于商标、专利、著作权等。</w:t>
      </w:r>
    </w:p>
    <w:p>
      <w:pPr>
        <w:pStyle w:val="null3"/>
        <w:ind w:firstLine="440"/>
        <w:jc w:val="both"/>
      </w:pPr>
      <w:r>
        <w:rPr>
          <w:sz w:val="22"/>
        </w:rPr>
        <w:t>（五）对于为完成本项目建设而由乙方提供给甲方或在甲方系统部署的软件或其他有知识产权的内容，甲方有权用于本项目，但不得将其进行出租、出借、销售、转让、非存档目的的拷贝或通过提供分许可、转许可、信息网络等形式供任何第三人利用。甲方不对乙方产品或附带的第三方软件进行全部或部分地翻译、分解、修改、反编译、反汇编、反向工程或其他试图从乙方产品或附带的第三方软件导出程序源代码的行为。</w:t>
      </w:r>
    </w:p>
    <w:p>
      <w:pPr>
        <w:pStyle w:val="null3"/>
        <w:ind w:firstLine="440"/>
        <w:jc w:val="both"/>
      </w:pPr>
      <w:r>
        <w:rPr>
          <w:sz w:val="22"/>
        </w:rPr>
        <w:t>（六）乙方根据甲方的需求或指示在项目系统或平台中展示甲方提供的单位名称、商标和标识、文本内容以及个人信息，视为获得甲方授权在本合同项下进行使用。无论因为何种原因导致本合同解除或终止，乙方应当在甲方通知之日起</w:t>
      </w:r>
      <w:r>
        <w:rPr>
          <w:sz w:val="22"/>
        </w:rPr>
        <w:t>3日内返还并销毁其所获取的所有上述信息（包括但不限于相关文件、资料、数据等原件及复印件），不得以任何理由和方式保留。该等文件、资料、数据的返还和销毁并不免除乙方及其接触本合同上述信息的雇员或其他人员的保密义务。</w:t>
      </w:r>
    </w:p>
    <w:p>
      <w:pPr>
        <w:pStyle w:val="null3"/>
        <w:ind w:firstLine="442"/>
        <w:jc w:val="both"/>
      </w:pPr>
      <w:r>
        <w:rPr>
          <w:sz w:val="22"/>
          <w:b/>
        </w:rPr>
        <w:t>十三、安全生产要求</w:t>
      </w:r>
    </w:p>
    <w:p>
      <w:pPr>
        <w:pStyle w:val="null3"/>
        <w:ind w:firstLine="440"/>
        <w:jc w:val="both"/>
      </w:pPr>
      <w:r>
        <w:rPr>
          <w:sz w:val="22"/>
        </w:rPr>
        <w:t>（一）乙方是本包组安全生产管理主体，对所承包业务安全生产管理工作负全责。</w:t>
      </w:r>
    </w:p>
    <w:p>
      <w:pPr>
        <w:pStyle w:val="null3"/>
        <w:ind w:firstLine="440"/>
        <w:jc w:val="both"/>
      </w:pPr>
      <w:r>
        <w:rPr>
          <w:sz w:val="22"/>
        </w:rPr>
        <w:t>（二）乙方负责日常安全生产管理，甲方只负责对乙方进行考核和必要的监督检查。</w:t>
      </w:r>
    </w:p>
    <w:p>
      <w:pPr>
        <w:pStyle w:val="null3"/>
        <w:ind w:firstLine="440"/>
        <w:jc w:val="both"/>
      </w:pPr>
      <w:r>
        <w:rPr>
          <w:sz w:val="22"/>
        </w:rPr>
        <w:t>（三）按</w:t>
      </w:r>
      <w:r>
        <w:rPr>
          <w:sz w:val="22"/>
        </w:rPr>
        <w:t>“谁聘用、谁负责”原则，乙方负责从业人员安全教育培训工作。</w:t>
      </w:r>
    </w:p>
    <w:p>
      <w:pPr>
        <w:pStyle w:val="null3"/>
        <w:ind w:firstLine="440"/>
        <w:jc w:val="both"/>
      </w:pPr>
      <w:r>
        <w:rPr>
          <w:sz w:val="22"/>
        </w:rPr>
        <w:t>（四）劳动保护用品发放由从业人员劳动关系所属单位负责。即由乙方负责采购及发放。</w:t>
      </w:r>
    </w:p>
    <w:p>
      <w:pPr>
        <w:pStyle w:val="null3"/>
        <w:ind w:firstLine="440"/>
        <w:jc w:val="both"/>
      </w:pPr>
      <w:r>
        <w:rPr>
          <w:sz w:val="22"/>
        </w:rPr>
        <w:t>（五）若本包组服务期限内发生的各种工伤、生产安全事故，事故处理及赔偿由乙方负责，甲方予以必要协助。</w:t>
      </w:r>
    </w:p>
    <w:p>
      <w:pPr>
        <w:pStyle w:val="null3"/>
        <w:ind w:firstLine="440"/>
        <w:jc w:val="both"/>
      </w:pPr>
      <w:r>
        <w:rPr>
          <w:sz w:val="22"/>
        </w:rPr>
        <w:t>（六）乙方执行甲方关于营业制服、外勤工作服款式、颜色的规定，采购及发放由维护直接负责。</w:t>
      </w:r>
    </w:p>
    <w:p>
      <w:pPr>
        <w:pStyle w:val="null3"/>
        <w:ind w:firstLine="440"/>
        <w:jc w:val="both"/>
      </w:pPr>
      <w:r>
        <w:rPr>
          <w:sz w:val="22"/>
        </w:rPr>
        <w:t>（七）本包组所涉及的安全生产费用由乙方负责，甲方的委托运维价格已含从业人员安全教育培训、劳动防护用品费用等。</w:t>
      </w:r>
    </w:p>
    <w:p>
      <w:pPr>
        <w:pStyle w:val="null3"/>
        <w:ind w:firstLine="442"/>
        <w:jc w:val="both"/>
      </w:pPr>
      <w:r>
        <w:rPr>
          <w:sz w:val="22"/>
          <w:b/>
        </w:rPr>
        <w:t>十四、付款方式</w:t>
      </w:r>
    </w:p>
    <w:p>
      <w:pPr>
        <w:pStyle w:val="null3"/>
        <w:ind w:firstLine="440"/>
        <w:jc w:val="both"/>
      </w:pPr>
      <w:r>
        <w:rPr>
          <w:sz w:val="22"/>
        </w:rPr>
        <w:t>（一）采用银行转账方式，甲方将相关合同款项汇至乙方指定账户。</w:t>
      </w:r>
    </w:p>
    <w:tbl>
      <w:tblPr>
        <w:tblW w:w="0" w:type="auto"/>
        <w:tblBorders>
          <w:top w:val="none" w:color="000000" w:sz="4"/>
          <w:left w:val="none" w:color="000000" w:sz="4"/>
          <w:bottom w:val="none" w:color="000000" w:sz="4"/>
          <w:right w:val="none" w:color="000000" w:sz="4"/>
          <w:insideH w:val="none"/>
          <w:insideV w:val="none"/>
        </w:tblBorders>
      </w:tblPr>
      <w:tblGrid>
        <w:gridCol w:w="2392"/>
        <w:gridCol w:w="5914"/>
      </w:tblGrid>
      <w:tr>
        <w:tc>
          <w:tcPr>
            <w:tcW w:type="dxa" w:w="23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账户信息</w:t>
            </w:r>
          </w:p>
        </w:tc>
        <w:tc>
          <w:tcPr>
            <w:tcW w:type="dxa" w:w="59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乙方</w:t>
            </w:r>
          </w:p>
        </w:tc>
      </w:tr>
      <w:tr>
        <w:tc>
          <w:tcPr>
            <w:tcW w:type="dxa" w:w="2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开户名称</w:t>
            </w:r>
          </w:p>
        </w:tc>
        <w:tc>
          <w:tcPr>
            <w:tcW w:type="dxa" w:w="5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开户银行</w:t>
            </w:r>
          </w:p>
        </w:tc>
        <w:tc>
          <w:tcPr>
            <w:tcW w:type="dxa" w:w="5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银行账号</w:t>
            </w:r>
          </w:p>
        </w:tc>
        <w:tc>
          <w:tcPr>
            <w:tcW w:type="dxa" w:w="5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地址</w:t>
            </w:r>
          </w:p>
        </w:tc>
        <w:tc>
          <w:tcPr>
            <w:tcW w:type="dxa" w:w="59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2"/>
        </w:rPr>
        <w:t>（二）由甲方按下列程序付款：</w:t>
      </w:r>
    </w:p>
    <w:p>
      <w:pPr>
        <w:pStyle w:val="null3"/>
        <w:ind w:firstLine="420"/>
        <w:jc w:val="both"/>
      </w:pPr>
      <w:r>
        <w:rPr>
          <w:sz w:val="22"/>
        </w:rPr>
        <w:t>1.2024年预计共支付169.17万元，具体支付金额以2024年财政实际拨付为准。</w:t>
      </w:r>
    </w:p>
    <w:p>
      <w:pPr>
        <w:pStyle w:val="null3"/>
        <w:ind w:firstLine="420"/>
        <w:jc w:val="both"/>
      </w:pPr>
      <w:r>
        <w:rPr>
          <w:sz w:val="22"/>
        </w:rPr>
        <w:t>（</w:t>
      </w:r>
      <w:r>
        <w:rPr>
          <w:sz w:val="22"/>
        </w:rPr>
        <w:t>1）自合同签订之日起30天内支付100万作为预付款；</w:t>
      </w:r>
    </w:p>
    <w:p>
      <w:pPr>
        <w:pStyle w:val="null3"/>
        <w:ind w:firstLine="420"/>
        <w:jc w:val="both"/>
      </w:pPr>
      <w:r>
        <w:rPr>
          <w:sz w:val="22"/>
        </w:rPr>
        <w:t>（</w:t>
      </w:r>
      <w:r>
        <w:rPr>
          <w:sz w:val="22"/>
        </w:rPr>
        <w:t>2）2024年11月减去前期已支付的预付款后继续支付2024年财政实际拨付总金额的剩余金额（预计69.17万元）。</w:t>
      </w:r>
    </w:p>
    <w:p>
      <w:pPr>
        <w:pStyle w:val="null3"/>
        <w:ind w:firstLine="420"/>
        <w:jc w:val="both"/>
      </w:pPr>
      <w:r>
        <w:rPr>
          <w:sz w:val="22"/>
        </w:rPr>
        <w:t>2.2025-2027年支付期数和时间（具体支付金额以财政实际拨付为准。）：</w:t>
      </w:r>
    </w:p>
    <w:p>
      <w:pPr>
        <w:pStyle w:val="null3"/>
        <w:ind w:firstLine="420"/>
        <w:jc w:val="both"/>
      </w:pPr>
      <w:r>
        <w:rPr>
          <w:sz w:val="22"/>
        </w:rPr>
        <w:t>（</w:t>
      </w:r>
      <w:r>
        <w:rPr>
          <w:sz w:val="22"/>
        </w:rPr>
        <w:t>1）2025年5月支付202</w:t>
      </w:r>
      <w:r>
        <w:rPr>
          <w:sz w:val="22"/>
        </w:rPr>
        <w:t>4</w:t>
      </w:r>
      <w:r>
        <w:rPr>
          <w:sz w:val="22"/>
        </w:rPr>
        <w:t>年</w:t>
      </w:r>
      <w:r>
        <w:rPr>
          <w:sz w:val="22"/>
        </w:rPr>
        <w:t>1</w:t>
      </w:r>
      <w:r>
        <w:rPr>
          <w:sz w:val="22"/>
        </w:rPr>
        <w:t>2月</w:t>
      </w:r>
      <w:r>
        <w:rPr>
          <w:sz w:val="22"/>
        </w:rPr>
        <w:t>-2025年5月服务费用（预计235.93万元），如有处罚金则需扣除相应的金额；</w:t>
      </w:r>
    </w:p>
    <w:p>
      <w:pPr>
        <w:pStyle w:val="null3"/>
        <w:ind w:firstLine="420"/>
        <w:jc w:val="both"/>
      </w:pPr>
      <w:r>
        <w:rPr>
          <w:sz w:val="22"/>
        </w:rPr>
        <w:t>（</w:t>
      </w:r>
      <w:r>
        <w:rPr>
          <w:sz w:val="22"/>
        </w:rPr>
        <w:t>2</w:t>
      </w:r>
      <w:r>
        <w:rPr>
          <w:sz w:val="22"/>
        </w:rPr>
        <w:t>）</w:t>
      </w:r>
      <w:r>
        <w:rPr>
          <w:sz w:val="22"/>
        </w:rPr>
        <w:t>2025年11月支付2025年6-11月服务费用（预计235.93万元），如有处罚金则需扣除相应的金额；</w:t>
      </w:r>
    </w:p>
    <w:p>
      <w:pPr>
        <w:pStyle w:val="null3"/>
        <w:ind w:firstLine="420"/>
        <w:jc w:val="both"/>
      </w:pPr>
      <w:r>
        <w:rPr>
          <w:sz w:val="22"/>
        </w:rPr>
        <w:t>（</w:t>
      </w:r>
      <w:r>
        <w:rPr>
          <w:sz w:val="22"/>
        </w:rPr>
        <w:t>3</w:t>
      </w:r>
      <w:r>
        <w:rPr>
          <w:sz w:val="22"/>
        </w:rPr>
        <w:t>）</w:t>
      </w:r>
      <w:r>
        <w:rPr>
          <w:sz w:val="22"/>
        </w:rPr>
        <w:t>2026年5月支付202</w:t>
      </w:r>
      <w:r>
        <w:rPr>
          <w:sz w:val="22"/>
        </w:rPr>
        <w:t>5</w:t>
      </w:r>
      <w:r>
        <w:rPr>
          <w:sz w:val="22"/>
        </w:rPr>
        <w:t>年</w:t>
      </w:r>
      <w:r>
        <w:rPr>
          <w:sz w:val="22"/>
        </w:rPr>
        <w:t>1</w:t>
      </w:r>
      <w:r>
        <w:rPr>
          <w:sz w:val="22"/>
        </w:rPr>
        <w:t>2月</w:t>
      </w:r>
      <w:r>
        <w:rPr>
          <w:sz w:val="22"/>
        </w:rPr>
        <w:t>-202</w:t>
      </w:r>
      <w:r>
        <w:rPr>
          <w:sz w:val="22"/>
        </w:rPr>
        <w:t>6</w:t>
      </w:r>
      <w:r>
        <w:rPr>
          <w:sz w:val="22"/>
        </w:rPr>
        <w:t>年</w:t>
      </w:r>
      <w:r>
        <w:rPr>
          <w:sz w:val="22"/>
        </w:rPr>
        <w:t>5月服务费用（预计276.6万元），如有处罚金则需扣除相应的金额；</w:t>
      </w:r>
    </w:p>
    <w:p>
      <w:pPr>
        <w:pStyle w:val="null3"/>
        <w:ind w:firstLine="420"/>
        <w:jc w:val="both"/>
      </w:pPr>
      <w:r>
        <w:rPr>
          <w:sz w:val="22"/>
        </w:rPr>
        <w:t>（</w:t>
      </w:r>
      <w:r>
        <w:rPr>
          <w:sz w:val="22"/>
        </w:rPr>
        <w:t>4</w:t>
      </w:r>
      <w:r>
        <w:rPr>
          <w:sz w:val="22"/>
        </w:rPr>
        <w:t>）</w:t>
      </w:r>
      <w:r>
        <w:rPr>
          <w:sz w:val="22"/>
        </w:rPr>
        <w:t>2026年11月支付2026年6-11月服务费用（预计276.6万元），如有处罚金则需扣除相应的金额；</w:t>
      </w:r>
    </w:p>
    <w:p>
      <w:pPr>
        <w:pStyle w:val="null3"/>
        <w:ind w:firstLine="420"/>
        <w:jc w:val="both"/>
      </w:pPr>
      <w:r>
        <w:rPr>
          <w:sz w:val="22"/>
        </w:rPr>
        <w:t>（</w:t>
      </w:r>
      <w:r>
        <w:rPr>
          <w:sz w:val="22"/>
        </w:rPr>
        <w:t>5</w:t>
      </w:r>
      <w:r>
        <w:rPr>
          <w:sz w:val="22"/>
        </w:rPr>
        <w:t>）最后一期服务费在合同服务期满验收合格后支付（预计</w:t>
      </w:r>
      <w:r>
        <w:rPr>
          <w:sz w:val="22"/>
        </w:rPr>
        <w:t>282.23万元）</w:t>
      </w:r>
      <w:r>
        <w:rPr>
          <w:sz w:val="22"/>
        </w:rPr>
        <w:t>。</w:t>
      </w:r>
    </w:p>
    <w:p>
      <w:pPr>
        <w:pStyle w:val="null3"/>
        <w:ind w:firstLine="420"/>
        <w:jc w:val="both"/>
      </w:pPr>
      <w:r>
        <w:rPr>
          <w:sz w:val="22"/>
        </w:rPr>
        <w:t>3.</w:t>
      </w:r>
      <w:r>
        <w:rPr>
          <w:sz w:val="22"/>
        </w:rPr>
        <w:t>其他相关约定：</w:t>
      </w:r>
    </w:p>
    <w:p>
      <w:pPr>
        <w:pStyle w:val="null3"/>
        <w:ind w:firstLine="420"/>
        <w:jc w:val="both"/>
      </w:pPr>
      <w:r>
        <w:rPr>
          <w:sz w:val="22"/>
        </w:rPr>
        <w:t>（</w:t>
      </w:r>
      <w:r>
        <w:rPr>
          <w:sz w:val="22"/>
        </w:rPr>
        <w:t>1</w:t>
      </w:r>
      <w:r>
        <w:rPr>
          <w:sz w:val="22"/>
        </w:rPr>
        <w:t>）对于符合中小企业资格的中标人，自合同签订之日起</w:t>
      </w:r>
      <w:r>
        <w:rPr>
          <w:sz w:val="22"/>
        </w:rPr>
        <w:t>30天内支付合同总额30%作为预付款；后续支付期数将按等比例调整支付金额。</w:t>
      </w:r>
    </w:p>
    <w:p>
      <w:pPr>
        <w:pStyle w:val="null3"/>
        <w:ind w:firstLine="420"/>
        <w:jc w:val="both"/>
      </w:pPr>
      <w:r>
        <w:rPr>
          <w:sz w:val="22"/>
        </w:rPr>
        <w:t>（</w:t>
      </w:r>
      <w:r>
        <w:rPr>
          <w:sz w:val="22"/>
        </w:rPr>
        <w:t>2</w:t>
      </w:r>
      <w:r>
        <w:rPr>
          <w:sz w:val="22"/>
        </w:rPr>
        <w:t>）</w:t>
      </w:r>
      <w:r>
        <w:rPr>
          <w:sz w:val="22"/>
        </w:rPr>
        <w:t>中标金额与财政实际拨付金额存在差异的按等比例调整支付金额。</w:t>
      </w:r>
    </w:p>
    <w:p>
      <w:pPr>
        <w:pStyle w:val="null3"/>
        <w:ind w:firstLine="420"/>
        <w:jc w:val="both"/>
      </w:pPr>
      <w:r>
        <w:rPr>
          <w:sz w:val="22"/>
        </w:rPr>
        <w:t>（</w:t>
      </w:r>
      <w:r>
        <w:rPr>
          <w:sz w:val="22"/>
        </w:rPr>
        <w:t>3</w:t>
      </w:r>
      <w:r>
        <w:rPr>
          <w:sz w:val="22"/>
        </w:rPr>
        <w:t>）</w:t>
      </w:r>
      <w:r>
        <w:rPr>
          <w:sz w:val="22"/>
        </w:rPr>
        <w:t>每次付款前</w:t>
      </w:r>
      <w:r>
        <w:rPr>
          <w:sz w:val="22"/>
        </w:rPr>
        <w:t>乙方</w:t>
      </w:r>
      <w:r>
        <w:rPr>
          <w:sz w:val="22"/>
        </w:rPr>
        <w:t>应向</w:t>
      </w:r>
      <w:r>
        <w:rPr>
          <w:sz w:val="22"/>
        </w:rPr>
        <w:t>甲方</w:t>
      </w:r>
      <w:r>
        <w:rPr>
          <w:sz w:val="22"/>
        </w:rPr>
        <w:t>提供真实的、合法的发票。如果</w:t>
      </w:r>
      <w:r>
        <w:rPr>
          <w:sz w:val="22"/>
        </w:rPr>
        <w:t>乙方</w:t>
      </w:r>
      <w:r>
        <w:rPr>
          <w:sz w:val="22"/>
        </w:rPr>
        <w:t>提供的发票证实为虚假发票或与税务局数据不符的，</w:t>
      </w:r>
      <w:r>
        <w:rPr>
          <w:sz w:val="22"/>
        </w:rPr>
        <w:t>甲方</w:t>
      </w:r>
      <w:r>
        <w:rPr>
          <w:sz w:val="22"/>
        </w:rPr>
        <w:t>有权拒付票面金额，</w:t>
      </w:r>
      <w:r>
        <w:rPr>
          <w:sz w:val="22"/>
        </w:rPr>
        <w:t>甲方</w:t>
      </w:r>
      <w:r>
        <w:rPr>
          <w:sz w:val="22"/>
        </w:rPr>
        <w:t>已付款的，</w:t>
      </w:r>
      <w:r>
        <w:rPr>
          <w:sz w:val="22"/>
        </w:rPr>
        <w:t>乙方</w:t>
      </w:r>
      <w:r>
        <w:rPr>
          <w:sz w:val="22"/>
        </w:rPr>
        <w:t>应退回。由于发票原因造成的一切损失由</w:t>
      </w:r>
      <w:r>
        <w:rPr>
          <w:sz w:val="22"/>
        </w:rPr>
        <w:t>乙方</w:t>
      </w:r>
      <w:r>
        <w:rPr>
          <w:sz w:val="22"/>
        </w:rPr>
        <w:t>承担；</w:t>
      </w:r>
    </w:p>
    <w:p>
      <w:pPr>
        <w:pStyle w:val="null3"/>
        <w:jc w:val="both"/>
      </w:pPr>
      <w:r>
        <w:rPr>
          <w:b/>
        </w:rPr>
        <w:t xml:space="preserve">    </w:t>
      </w:r>
      <w:r>
        <w:rPr>
          <w:sz w:val="22"/>
        </w:rPr>
        <w:t>（</w:t>
      </w:r>
      <w:r>
        <w:rPr>
          <w:sz w:val="22"/>
        </w:rPr>
        <w:t>4</w:t>
      </w:r>
      <w:r>
        <w:rPr>
          <w:sz w:val="22"/>
        </w:rPr>
        <w:t>）</w:t>
      </w:r>
      <w:r>
        <w:rPr>
          <w:sz w:val="22"/>
        </w:rPr>
        <w:t>如因非</w:t>
      </w:r>
      <w:r>
        <w:rPr>
          <w:sz w:val="22"/>
        </w:rPr>
        <w:t>甲方</w:t>
      </w:r>
      <w:r>
        <w:rPr>
          <w:sz w:val="22"/>
        </w:rPr>
        <w:t>原因导致的当期服务费用未能准时到账，具体支付时间由双方共同协商解决</w:t>
      </w:r>
      <w:r>
        <w:rPr>
          <w:sz w:val="22"/>
        </w:rPr>
        <w:t>。</w:t>
      </w:r>
    </w:p>
    <w:p>
      <w:pPr>
        <w:pStyle w:val="null3"/>
        <w:ind w:firstLine="442"/>
        <w:jc w:val="both"/>
      </w:pPr>
      <w:r>
        <w:rPr>
          <w:sz w:val="22"/>
          <w:b/>
        </w:rPr>
        <w:t>十五、违约责任</w:t>
      </w:r>
    </w:p>
    <w:p>
      <w:pPr>
        <w:pStyle w:val="null3"/>
        <w:ind w:firstLine="440"/>
        <w:jc w:val="both"/>
      </w:pPr>
      <w:r>
        <w:rPr>
          <w:sz w:val="22"/>
        </w:rPr>
        <w:t>（一）本项目</w:t>
      </w:r>
      <w:r>
        <w:rPr>
          <w:sz w:val="22"/>
        </w:rPr>
        <w:t>（除</w:t>
      </w:r>
      <w:r>
        <w:rPr>
          <w:sz w:val="22"/>
        </w:rPr>
        <w:t>“</w:t>
      </w:r>
      <w:r>
        <w:rPr>
          <w:sz w:val="22"/>
          <w:b/>
        </w:rPr>
        <w:t>二、项目具体要求</w:t>
      </w:r>
      <w:r>
        <w:rPr>
          <w:sz w:val="22"/>
        </w:rPr>
        <w:t>”中“（二）第三方服务采购”）</w:t>
      </w:r>
      <w:r>
        <w:rPr>
          <w:sz w:val="22"/>
        </w:rPr>
        <w:t>乙方不得以任何方式转包，未经甲方同意不得分包，否则，甲方有权单方解除本合同，双方按实</w:t>
      </w:r>
      <w:r>
        <w:rPr>
          <w:sz w:val="22"/>
        </w:rPr>
        <w:t>对非转包、分包部分</w:t>
      </w:r>
      <w:r>
        <w:rPr>
          <w:sz w:val="22"/>
        </w:rPr>
        <w:t>进行结算（不足一个月按一个月计算），但乙方应向甲方支付本合同总价</w:t>
      </w:r>
      <w:r>
        <w:rPr>
          <w:sz w:val="22"/>
        </w:rPr>
        <w:t>10%的违约金，该违约金不足以弥补甲方损失的，乙方还应就不足部分承担赔偿责任。</w:t>
      </w:r>
    </w:p>
    <w:p>
      <w:pPr>
        <w:pStyle w:val="null3"/>
        <w:ind w:firstLine="420"/>
        <w:jc w:val="both"/>
      </w:pPr>
      <w:r>
        <w:rPr>
          <w:sz w:val="22"/>
        </w:rPr>
        <w:t>（二）因甲方原因逾期付款的，乙方有权书面敦促甲方限期支付，宽限期限由甲乙双方协商约定。</w:t>
      </w:r>
    </w:p>
    <w:p>
      <w:pPr>
        <w:pStyle w:val="null3"/>
        <w:ind w:firstLine="420"/>
        <w:jc w:val="both"/>
      </w:pPr>
      <w:r>
        <w:rPr>
          <w:sz w:val="22"/>
        </w:rPr>
        <w:t>（三）因系统运行漏洞或乙方项目组人员失误操作造成重大故障、蓄意破坏信息系统设施、发布非法信息或造成泄密事件的，或因乙方及其人员以任何手段、利用甲方平台规则漏洞或系统漏洞，套取甲方系统信息、数据等，一经查证，则视作乙方严重违约，甲方有权单方解除本合同，双方按实进行结算（不足一个月按一个月计算），但乙方应返还甲方剩余服务期间的合同款项，并向甲方支付本合同总价的</w:t>
      </w:r>
      <w:r>
        <w:rPr>
          <w:sz w:val="22"/>
        </w:rPr>
        <w:t>20%违约金；如违约金不能足额赔偿甲方损失的，乙方还须赔偿甲方所遭受的一切损失。</w:t>
      </w:r>
    </w:p>
    <w:p>
      <w:pPr>
        <w:pStyle w:val="null3"/>
        <w:ind w:firstLine="420"/>
        <w:jc w:val="both"/>
      </w:pPr>
      <w:r>
        <w:rPr>
          <w:sz w:val="22"/>
        </w:rPr>
        <w:t>（四）除本合同另有约定，服务期内，因乙方未能按本合同要求提供服务的，每发生一次，乙方应向甲方支付本合同总金额</w:t>
      </w:r>
      <w:r>
        <w:rPr>
          <w:sz w:val="22"/>
        </w:rPr>
        <w:t>1%的违约金；如上述情形累计发生3次，甲方有权解除本合同，双方按实进行结算（不足一个月按一个月计算），但乙方应向甲方支付本合同总价款10%的违约金，赔偿因此给甲方造成的损失。</w:t>
      </w:r>
    </w:p>
    <w:p>
      <w:pPr>
        <w:pStyle w:val="null3"/>
        <w:ind w:firstLine="420"/>
        <w:jc w:val="both"/>
      </w:pPr>
      <w:r>
        <w:rPr>
          <w:sz w:val="22"/>
        </w:rPr>
        <w:t>（五）乙方应向甲方支付的违约金、赔偿金，甲方有权在应付款项中直接扣除，不足以弥补甲方损失的，甲方有权继续追偿。</w:t>
      </w:r>
    </w:p>
    <w:p>
      <w:pPr>
        <w:pStyle w:val="null3"/>
        <w:ind w:firstLine="420"/>
        <w:jc w:val="both"/>
      </w:pPr>
      <w:r>
        <w:rPr>
          <w:sz w:val="22"/>
        </w:rPr>
        <w:t>（六）本合同所述的损失范围包括但不限于第三方索赔、行政处罚、、律师费、诉讼费、诉讼保全申请费、诉讼保全保险费、鉴定费、评估费、公证费、采取补救措施而支出的费用等合理费用。</w:t>
      </w:r>
    </w:p>
    <w:p>
      <w:pPr>
        <w:pStyle w:val="null3"/>
        <w:ind w:firstLine="420"/>
        <w:jc w:val="both"/>
      </w:pPr>
      <w:r>
        <w:rPr>
          <w:sz w:val="22"/>
        </w:rPr>
        <w:t>（七）下述情况不属于乙方违约：</w:t>
      </w:r>
    </w:p>
    <w:p>
      <w:pPr>
        <w:pStyle w:val="null3"/>
        <w:ind w:firstLine="420"/>
        <w:jc w:val="both"/>
      </w:pPr>
      <w:r>
        <w:rPr>
          <w:sz w:val="22"/>
        </w:rPr>
        <w:t>1、经甲方书面审批同意，乙方在进行服务器配置、维护时，需要在甲乙双方约定的时间内中断服务。</w:t>
      </w:r>
    </w:p>
    <w:p>
      <w:pPr>
        <w:pStyle w:val="null3"/>
        <w:ind w:firstLine="420"/>
        <w:jc w:val="both"/>
      </w:pPr>
      <w:r>
        <w:rPr>
          <w:sz w:val="22"/>
        </w:rPr>
        <w:t>2、由于非乙方原因导致互联网通路阻塞或第三方原因造成甲方网站访问速度下降。</w:t>
      </w:r>
    </w:p>
    <w:p>
      <w:pPr>
        <w:pStyle w:val="null3"/>
        <w:ind w:firstLine="420"/>
        <w:jc w:val="both"/>
      </w:pPr>
      <w:r>
        <w:rPr>
          <w:sz w:val="22"/>
        </w:rPr>
        <w:t>3、非乙方的因素所造成的服务中断，该等因素包括但不限于不可抗力、甲方设备不符合要求、甲方承诺的资源缺乏、数据准备不充分和不正确、甲方决策的延误、操作人员不配合、甲方人员变更等。</w:t>
      </w:r>
    </w:p>
    <w:p>
      <w:pPr>
        <w:pStyle w:val="null3"/>
        <w:ind w:firstLine="442"/>
        <w:jc w:val="both"/>
      </w:pPr>
      <w:r>
        <w:rPr>
          <w:sz w:val="22"/>
          <w:b/>
        </w:rPr>
        <w:t>十六、不可抗力</w:t>
      </w:r>
    </w:p>
    <w:p>
      <w:pPr>
        <w:pStyle w:val="null3"/>
        <w:ind w:firstLine="426"/>
        <w:jc w:val="both"/>
      </w:pPr>
      <w:r>
        <w:rPr>
          <w:sz w:val="22"/>
        </w:rPr>
        <w:t>任何一方由于不可抗力原因不能履行本合同时，应在不可抗力事件</w:t>
      </w:r>
      <w:r>
        <w:rPr>
          <w:sz w:val="22"/>
        </w:rPr>
        <w:t>开始和</w:t>
      </w:r>
      <w:r>
        <w:rPr>
          <w:sz w:val="22"/>
        </w:rPr>
        <w:t>结束后</w:t>
      </w:r>
      <w:r>
        <w:rPr>
          <w:sz w:val="22"/>
        </w:rPr>
        <w:t>1日内向对方通报，以减轻可能给对方造成的损失，在取得有关机构的不可抗力证明或双方谅解确认后，允许延期履行或修订本合同，并根据情况可部分或全部免予承担违约责任。</w:t>
      </w:r>
    </w:p>
    <w:p>
      <w:pPr>
        <w:pStyle w:val="null3"/>
        <w:ind w:firstLine="426"/>
        <w:jc w:val="both"/>
      </w:pPr>
      <w:r>
        <w:rPr>
          <w:sz w:val="22"/>
          <w:b/>
        </w:rPr>
        <w:t>十七、联络和通讯</w:t>
      </w:r>
    </w:p>
    <w:p>
      <w:pPr>
        <w:pStyle w:val="null3"/>
        <w:ind w:firstLine="426"/>
        <w:jc w:val="both"/>
      </w:pPr>
      <w:r>
        <w:rPr>
          <w:sz w:val="22"/>
        </w:rPr>
        <w:t>（一）甲乙双方保证本条所载明的双方联系地址、联系电话等信息真实有效，并确认该联系地址和联系电话适用范围包括非诉时的各类通知、协议等文件以及合同发生纠纷时相关文件和法律文书的送达，同时包括在纠纷进入民事诉讼程序后的一审、二审、再审和执行程序。</w:t>
      </w:r>
    </w:p>
    <w:p>
      <w:pPr>
        <w:pStyle w:val="null3"/>
        <w:ind w:firstLine="426"/>
        <w:jc w:val="both"/>
      </w:pPr>
      <w:r>
        <w:rPr>
          <w:sz w:val="22"/>
        </w:rPr>
        <w:t>（二）在本合同履行过程中，双方分别指定如下联络人：</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甲方联络人</w:t>
            </w:r>
          </w:p>
        </w:tc>
        <w:tc>
          <w:tcPr>
            <w:tcW w:type="dxa" w:w="4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b/>
              </w:rPr>
              <w:t>乙方联络人</w:t>
            </w:r>
          </w:p>
        </w:tc>
      </w:tr>
      <w:tr>
        <w:tc>
          <w:tcPr>
            <w:tcW w:type="dxa" w:w="41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姓名：</w:t>
            </w:r>
          </w:p>
          <w:p>
            <w:pPr>
              <w:pStyle w:val="null3"/>
              <w:jc w:val="both"/>
            </w:pPr>
            <w:r>
              <w:rPr>
                <w:sz w:val="22"/>
              </w:rPr>
              <w:t>联系地址：</w:t>
            </w:r>
          </w:p>
          <w:p>
            <w:pPr>
              <w:pStyle w:val="null3"/>
              <w:jc w:val="both"/>
            </w:pPr>
            <w:r>
              <w:rPr>
                <w:sz w:val="22"/>
              </w:rPr>
              <w:t>联系电话：</w:t>
            </w:r>
          </w:p>
          <w:p>
            <w:pPr>
              <w:pStyle w:val="null3"/>
              <w:jc w:val="both"/>
            </w:pPr>
            <w:r>
              <w:rPr>
                <w:sz w:val="22"/>
              </w:rPr>
              <w:t>邮箱：</w:t>
            </w:r>
          </w:p>
        </w:tc>
        <w:tc>
          <w:tcPr>
            <w:tcW w:type="dxa" w:w="4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姓名：</w:t>
            </w:r>
          </w:p>
          <w:p>
            <w:pPr>
              <w:pStyle w:val="null3"/>
              <w:jc w:val="both"/>
            </w:pPr>
            <w:r>
              <w:rPr>
                <w:sz w:val="22"/>
              </w:rPr>
              <w:t>联系地址：</w:t>
            </w:r>
          </w:p>
          <w:p>
            <w:pPr>
              <w:pStyle w:val="null3"/>
              <w:jc w:val="both"/>
            </w:pPr>
            <w:r>
              <w:rPr>
                <w:sz w:val="22"/>
              </w:rPr>
              <w:t>联系电话：</w:t>
            </w:r>
          </w:p>
          <w:p>
            <w:pPr>
              <w:pStyle w:val="null3"/>
              <w:jc w:val="both"/>
            </w:pPr>
            <w:r>
              <w:rPr>
                <w:sz w:val="22"/>
              </w:rPr>
              <w:t>邮箱：</w:t>
            </w:r>
          </w:p>
        </w:tc>
      </w:tr>
    </w:tbl>
    <w:p>
      <w:pPr>
        <w:pStyle w:val="null3"/>
        <w:ind w:firstLine="440"/>
        <w:jc w:val="both"/>
      </w:pPr>
      <w:r>
        <w:rPr>
          <w:sz w:val="22"/>
        </w:rPr>
        <w:t>（三）如一方联系地址、联系电话有变更，应在变更当日内书面通知对方，否则，视为原联系地址、联系电话有效。因变更提供的联系地址不准确，联系地址变更未及时告知对方或指定联络人拒绝签收等原因，导致通知或相关法律文书未能被对方实际接收的，文书退回之日视为送达之日。</w:t>
      </w:r>
    </w:p>
    <w:p>
      <w:pPr>
        <w:pStyle w:val="null3"/>
        <w:ind w:firstLine="440"/>
        <w:jc w:val="both"/>
      </w:pPr>
      <w:r>
        <w:rPr>
          <w:sz w:val="22"/>
        </w:rPr>
        <w:t>十八、争议的解决</w:t>
      </w:r>
    </w:p>
    <w:p>
      <w:pPr>
        <w:pStyle w:val="null3"/>
        <w:ind w:firstLine="440"/>
        <w:jc w:val="both"/>
      </w:pPr>
      <w:r>
        <w:rPr>
          <w:sz w:val="22"/>
        </w:rPr>
        <w:t>（一）在本合同履行过程中发生任何争议，应通过双方友好协商解决。经协商不能达成协议时，任何一方有权向甲方所在地有管辖权的人民法院提起诉讼。</w:t>
      </w:r>
    </w:p>
    <w:p>
      <w:pPr>
        <w:pStyle w:val="null3"/>
        <w:ind w:firstLine="440"/>
        <w:jc w:val="both"/>
      </w:pPr>
      <w:r>
        <w:rPr>
          <w:sz w:val="22"/>
        </w:rPr>
        <w:t>（二）本合同的订立、效力、解释、履行等均适用中华人民共和国法律（不包括香港、澳门和台湾地区，且排除冲突规范）。</w:t>
      </w:r>
    </w:p>
    <w:p>
      <w:pPr>
        <w:pStyle w:val="null3"/>
        <w:ind w:firstLine="442"/>
        <w:jc w:val="both"/>
      </w:pPr>
      <w:r>
        <w:rPr>
          <w:sz w:val="22"/>
          <w:b/>
        </w:rPr>
        <w:t>二十、</w:t>
      </w:r>
      <w:r>
        <w:rPr>
          <w:sz w:val="22"/>
          <w:b/>
        </w:rPr>
        <w:t>附则</w:t>
      </w:r>
    </w:p>
    <w:p>
      <w:pPr>
        <w:pStyle w:val="null3"/>
        <w:ind w:firstLine="440"/>
        <w:jc w:val="both"/>
      </w:pPr>
      <w:r>
        <w:rPr>
          <w:sz w:val="22"/>
        </w:rPr>
        <w:t>（一）本合同之所有附件均为本合同的有效组成部分，与本合同具有同等法律效力。</w:t>
      </w:r>
    </w:p>
    <w:p>
      <w:pPr>
        <w:pStyle w:val="null3"/>
        <w:ind w:firstLine="440"/>
        <w:jc w:val="both"/>
      </w:pPr>
      <w:r>
        <w:rPr>
          <w:sz w:val="22"/>
        </w:rPr>
        <w:t xml:space="preserve"> </w:t>
      </w:r>
      <w:r>
        <w:rPr>
          <w:sz w:val="22"/>
        </w:rPr>
        <w:t>附件一：保密协议；</w:t>
      </w:r>
    </w:p>
    <w:p>
      <w:pPr>
        <w:pStyle w:val="null3"/>
        <w:ind w:firstLine="440"/>
        <w:jc w:val="both"/>
      </w:pPr>
      <w:r>
        <w:rPr>
          <w:sz w:val="22"/>
        </w:rPr>
        <w:t xml:space="preserve"> </w:t>
      </w:r>
      <w:r>
        <w:rPr>
          <w:sz w:val="22"/>
        </w:rPr>
        <w:t>附件二：招标文件；</w:t>
      </w:r>
    </w:p>
    <w:p>
      <w:pPr>
        <w:pStyle w:val="null3"/>
        <w:ind w:firstLine="440"/>
        <w:jc w:val="both"/>
      </w:pPr>
      <w:r>
        <w:rPr>
          <w:sz w:val="22"/>
        </w:rPr>
        <w:t xml:space="preserve"> </w:t>
      </w:r>
      <w:r>
        <w:rPr>
          <w:sz w:val="22"/>
        </w:rPr>
        <w:t>附件三：投标文件</w:t>
      </w:r>
      <w:r>
        <w:rPr>
          <w:sz w:val="22"/>
        </w:rPr>
        <w:t>/响应文件；</w:t>
      </w:r>
    </w:p>
    <w:p>
      <w:pPr>
        <w:pStyle w:val="null3"/>
        <w:ind w:firstLine="440"/>
        <w:jc w:val="both"/>
      </w:pPr>
      <w:r>
        <w:rPr>
          <w:sz w:val="22"/>
        </w:rPr>
        <w:t xml:space="preserve"> </w:t>
      </w:r>
      <w:r>
        <w:rPr>
          <w:sz w:val="22"/>
        </w:rPr>
        <w:t>附件四：中标</w:t>
      </w:r>
      <w:r>
        <w:rPr>
          <w:sz w:val="22"/>
        </w:rPr>
        <w:t>/成交通知书；</w:t>
      </w:r>
    </w:p>
    <w:p>
      <w:pPr>
        <w:pStyle w:val="null3"/>
        <w:ind w:firstLine="440"/>
        <w:jc w:val="both"/>
      </w:pPr>
      <w:r>
        <w:rPr>
          <w:sz w:val="22"/>
        </w:rPr>
        <w:t xml:space="preserve"> </w:t>
      </w:r>
      <w:r>
        <w:rPr>
          <w:sz w:val="22"/>
        </w:rPr>
        <w:t>附件五：考核表</w:t>
      </w:r>
    </w:p>
    <w:p>
      <w:pPr>
        <w:pStyle w:val="null3"/>
        <w:ind w:firstLine="440"/>
        <w:jc w:val="both"/>
      </w:pPr>
      <w:r>
        <w:rPr>
          <w:sz w:val="22"/>
        </w:rPr>
        <w:t>（二）在履行本合同的过程中，所有经甲乙双方签署确认的文件（包括会议纪要、补充协议、往来信函）即成为本合同的有效组成部分，其生效日期为双方签字盖章或确认之日期。补充协议、合同附件、采购文件、投标文件</w:t>
      </w:r>
      <w:r>
        <w:rPr>
          <w:sz w:val="22"/>
        </w:rPr>
        <w:t>/响应文件与本合同不一致的，</w:t>
      </w:r>
      <w:r>
        <w:rPr>
          <w:sz w:val="22"/>
        </w:rPr>
        <w:t>其效力依次按</w:t>
      </w:r>
      <w:r>
        <w:rPr>
          <w:sz w:val="22"/>
        </w:rPr>
        <w:t>补充协议、本合同、合同附件、采购文件、投标文件</w:t>
      </w:r>
      <w:r>
        <w:rPr>
          <w:sz w:val="22"/>
        </w:rPr>
        <w:t>/响应的顺序进行解释。</w:t>
      </w:r>
    </w:p>
    <w:p>
      <w:pPr>
        <w:pStyle w:val="null3"/>
        <w:ind w:firstLine="440"/>
        <w:jc w:val="both"/>
      </w:pPr>
      <w:r>
        <w:rPr>
          <w:sz w:val="22"/>
        </w:rPr>
        <w:t>（三）本合同经甲乙双方签字及盖章之日起生效，本合同一式肆份，甲乙双方各执贰份，具有同等法律效力。</w:t>
      </w:r>
    </w:p>
    <w:p>
      <w:pPr>
        <w:pStyle w:val="null3"/>
        <w:jc w:val="both"/>
      </w:pPr>
      <w:r>
        <w:rPr>
          <w:sz w:val="22"/>
        </w:rPr>
        <w:t>---------------------（以下无正文，仅为签章页）---------------------</w:t>
      </w:r>
    </w:p>
    <w:tbl>
      <w:tblPr>
        <w:tblW w:w="0" w:type="auto"/>
        <w:tblBorders>
          <w:top w:val="none" w:color="000000" w:sz="4"/>
          <w:left w:val="none" w:color="000000" w:sz="4"/>
          <w:bottom w:val="none" w:color="000000" w:sz="4"/>
          <w:right w:val="none" w:color="000000" w:sz="4"/>
          <w:insideH w:val="none"/>
          <w:insideV w:val="none"/>
        </w:tblBorders>
      </w:tblPr>
      <w:tblGrid>
        <w:gridCol w:w="4146"/>
        <w:gridCol w:w="4146"/>
      </w:tblGrid>
      <w:tr>
        <w:tc>
          <w:tcPr>
            <w:tcW w:type="dxa" w:w="41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甲方：中山市市场监督管理局</w:t>
            </w:r>
          </w:p>
          <w:p>
            <w:pPr>
              <w:pStyle w:val="null3"/>
              <w:jc w:val="both"/>
            </w:pPr>
            <w:r>
              <w:rPr>
                <w:sz w:val="22"/>
              </w:rPr>
              <w:t>（公章）</w:t>
            </w:r>
          </w:p>
        </w:tc>
        <w:tc>
          <w:tcPr>
            <w:tcW w:type="dxa" w:w="4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乙方：</w:t>
            </w:r>
          </w:p>
          <w:p>
            <w:pPr>
              <w:pStyle w:val="null3"/>
              <w:jc w:val="both"/>
            </w:pPr>
            <w:r>
              <w:rPr>
                <w:sz w:val="22"/>
              </w:rPr>
              <w:t>（公章）</w:t>
            </w:r>
          </w:p>
        </w:tc>
      </w:tr>
      <w:tr>
        <w:tc>
          <w:tcPr>
            <w:tcW w:type="dxa" w:w="4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代表（签名）：</w:t>
            </w:r>
          </w:p>
        </w:tc>
        <w:tc>
          <w:tcPr>
            <w:tcW w:type="dxa" w:w="4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2"/>
              </w:rPr>
              <w:t>代表（签名）：</w:t>
            </w:r>
          </w:p>
        </w:tc>
      </w:tr>
    </w:tbl>
    <w:p>
      <w:pPr>
        <w:pStyle w:val="null3"/>
        <w:jc w:val="both"/>
      </w:pPr>
      <w:r>
        <w:rPr/>
        <w:t xml:space="preserve"> </w:t>
      </w:r>
    </w:p>
    <w:p>
      <w:pPr>
        <w:pStyle w:val="null3"/>
        <w:jc w:val="both"/>
      </w:pPr>
      <w:r>
        <w:rPr>
          <w:sz w:val="22"/>
        </w:rPr>
        <w:t>附件一：</w:t>
      </w:r>
    </w:p>
    <w:p>
      <w:pPr>
        <w:pStyle w:val="null3"/>
        <w:jc w:val="center"/>
      </w:pPr>
      <w:r>
        <w:rPr>
          <w:sz w:val="22"/>
          <w:b/>
        </w:rPr>
        <w:t>保</w:t>
      </w:r>
      <w:r>
        <w:rPr>
          <w:sz w:val="22"/>
          <w:b/>
        </w:rPr>
        <w:t>密</w:t>
      </w:r>
      <w:r>
        <w:rPr>
          <w:sz w:val="22"/>
          <w:b/>
        </w:rPr>
        <w:t>协</w:t>
      </w:r>
      <w:r>
        <w:rPr>
          <w:sz w:val="22"/>
          <w:b/>
        </w:rPr>
        <w:t>议</w:t>
      </w:r>
    </w:p>
    <w:p>
      <w:pPr>
        <w:pStyle w:val="null3"/>
        <w:jc w:val="both"/>
      </w:pPr>
      <w:r>
        <w:rPr>
          <w:sz w:val="22"/>
          <w:b/>
        </w:rPr>
        <w:t>甲方：</w:t>
      </w:r>
      <w:r>
        <w:rPr>
          <w:sz w:val="22"/>
          <w:b/>
        </w:rPr>
        <w:t>中山市市场监督管理局</w:t>
      </w:r>
    </w:p>
    <w:p>
      <w:pPr>
        <w:pStyle w:val="null3"/>
        <w:jc w:val="both"/>
      </w:pPr>
      <w:r>
        <w:rPr>
          <w:sz w:val="22"/>
          <w:b/>
        </w:rPr>
        <w:t>乙方：</w:t>
      </w:r>
    </w:p>
    <w:p>
      <w:pPr>
        <w:pStyle w:val="null3"/>
        <w:jc w:val="both"/>
      </w:pPr>
      <w:r>
        <w:rPr>
          <w:sz w:val="22"/>
        </w:rPr>
        <w:t>2024年___月___日，甲、乙双方就</w:t>
      </w:r>
      <w:r>
        <w:rPr>
          <w:u w:val="single"/>
        </w:rPr>
        <w:t xml:space="preserve">            </w:t>
      </w:r>
      <w:r>
        <w:rPr>
          <w:sz w:val="22"/>
        </w:rPr>
        <w:t>项目签订了《</w:t>
      </w:r>
      <w:r>
        <w:rPr>
          <w:u w:val="single"/>
        </w:rPr>
        <w:t xml:space="preserve">                  </w:t>
      </w:r>
      <w:r>
        <w:rPr>
          <w:sz w:val="22"/>
        </w:rPr>
        <w:t>》</w:t>
      </w:r>
      <w:r>
        <w:rPr>
          <w:sz w:val="22"/>
        </w:rPr>
        <w:t>（下称：《合同》），《合同》明确约定了乙方的保密义务。为加强项目的保密度，进一步规范乙方在系统安全和信息保密方面的义务，甲、乙双方经友好协商一致，就安全信息保障义务及保密义务之相关事宜，签订本协议，以资双方共同遵守。</w:t>
      </w:r>
    </w:p>
    <w:p>
      <w:pPr>
        <w:pStyle w:val="null3"/>
        <w:ind w:firstLine="440"/>
        <w:jc w:val="both"/>
      </w:pPr>
      <w:r>
        <w:rPr>
          <w:sz w:val="22"/>
        </w:rPr>
        <w:t>一、安全信息保障义务</w:t>
      </w:r>
    </w:p>
    <w:p>
      <w:pPr>
        <w:pStyle w:val="null3"/>
        <w:ind w:firstLine="440"/>
        <w:jc w:val="both"/>
      </w:pPr>
      <w:r>
        <w:rPr>
          <w:sz w:val="22"/>
        </w:rPr>
        <w:t>1、乙方保证乙方及其人员在履行《合同》过程中，严格遵守国家有关法律、法规及政策，并保证不利用甲方的项目、工作场所及工作设备设施发送、传播如下信息：</w:t>
      </w:r>
    </w:p>
    <w:p>
      <w:pPr>
        <w:pStyle w:val="null3"/>
        <w:ind w:firstLine="440"/>
        <w:jc w:val="both"/>
      </w:pPr>
      <w:r>
        <w:rPr>
          <w:sz w:val="22"/>
        </w:rPr>
        <w:t>（</w:t>
      </w:r>
      <w:r>
        <w:rPr>
          <w:sz w:val="22"/>
        </w:rPr>
        <w:t>1）有关煽动、破坏社会稳定或危及国家安全的信息。</w:t>
      </w:r>
    </w:p>
    <w:p>
      <w:pPr>
        <w:pStyle w:val="null3"/>
        <w:ind w:firstLine="440"/>
        <w:jc w:val="both"/>
      </w:pPr>
      <w:r>
        <w:rPr>
          <w:sz w:val="22"/>
        </w:rPr>
        <w:t>（</w:t>
      </w:r>
      <w:r>
        <w:rPr>
          <w:sz w:val="22"/>
        </w:rPr>
        <w:t>2）对社会稳定不利的敏感事件信息，包括制造事端的集会、上访、游</w:t>
      </w:r>
      <w:r>
        <w:rPr>
          <w:sz w:val="22"/>
        </w:rPr>
        <w:t>/</w:t>
      </w:r>
      <w:r>
        <w:rPr>
          <w:sz w:val="22"/>
        </w:rPr>
        <w:t>行、罢工、罢课等信息。</w:t>
      </w:r>
    </w:p>
    <w:p>
      <w:pPr>
        <w:pStyle w:val="null3"/>
        <w:ind w:firstLine="440"/>
        <w:jc w:val="both"/>
      </w:pPr>
      <w:r>
        <w:rPr>
          <w:sz w:val="22"/>
        </w:rPr>
        <w:t>（</w:t>
      </w:r>
      <w:r>
        <w:rPr>
          <w:sz w:val="22"/>
        </w:rPr>
        <w:t>3）攻击党政机关领导人、损害国家声誉的政治谣言信息。</w:t>
      </w:r>
    </w:p>
    <w:p>
      <w:pPr>
        <w:pStyle w:val="null3"/>
        <w:ind w:firstLine="440"/>
        <w:jc w:val="both"/>
      </w:pPr>
      <w:r>
        <w:rPr>
          <w:sz w:val="22"/>
        </w:rPr>
        <w:t>（</w:t>
      </w:r>
      <w:r>
        <w:rPr>
          <w:sz w:val="22"/>
        </w:rPr>
        <w:t>4）危及国家和社会安全的爆炸、投毒、恐吓等恶性恐怖事件信息。</w:t>
      </w:r>
    </w:p>
    <w:p>
      <w:pPr>
        <w:pStyle w:val="null3"/>
        <w:ind w:firstLine="440"/>
        <w:jc w:val="both"/>
      </w:pPr>
      <w:r>
        <w:rPr>
          <w:sz w:val="22"/>
        </w:rPr>
        <w:t>2、在履行《合同》过程中，乙方自觉接受甲方对信息安全管理的监督和检查。</w:t>
      </w:r>
    </w:p>
    <w:p>
      <w:pPr>
        <w:pStyle w:val="null3"/>
        <w:ind w:firstLine="440"/>
        <w:jc w:val="both"/>
      </w:pPr>
      <w:r>
        <w:rPr>
          <w:sz w:val="22"/>
        </w:rPr>
        <w:t>3、本协议保密信息的任何载体，包括但不限于原件、复印件、磁盘、电子信息等均为甲方的专有财产，未经甲方的书面批准不得带离特定的工作场所或私有化存储，不得未经甲方的书面同意以复制、拷贝、刻录、拍照、网络传播等任何形式获取《合同》及本协议保密范围规定所涉及保密内容及相关资料，不得未经甲方书面允许以任何方式直接或间接自己收录或披露给任何第三方。在《合同》因任何原因终止或解除后，乙方及其人员必须将其所持有、使用或掌握的上述载体交还给甲方。</w:t>
      </w:r>
    </w:p>
    <w:p>
      <w:pPr>
        <w:pStyle w:val="null3"/>
        <w:ind w:firstLine="440"/>
        <w:jc w:val="both"/>
      </w:pPr>
      <w:r>
        <w:rPr>
          <w:sz w:val="22"/>
        </w:rPr>
        <w:t>4、乙方及其人员应承诺并保证对以任何电子记存方式储存于乙方或其人员所使用的电脑上的任何保密信息，按甲方的指示把所有的保密信息清除或作适当处理。</w:t>
      </w:r>
    </w:p>
    <w:p>
      <w:pPr>
        <w:pStyle w:val="null3"/>
        <w:ind w:firstLine="440"/>
        <w:jc w:val="both"/>
      </w:pPr>
      <w:r>
        <w:rPr>
          <w:sz w:val="22"/>
        </w:rPr>
        <w:t>5、乙方应按采购文件要求、《合同》约定做好网络安全等级防护措施，保证项目信息安全管理，不得随意更改、停用、降低安全防护等级和防护策略。</w:t>
      </w:r>
    </w:p>
    <w:p>
      <w:pPr>
        <w:pStyle w:val="null3"/>
        <w:ind w:firstLine="440"/>
        <w:jc w:val="both"/>
      </w:pPr>
      <w:r>
        <w:rPr>
          <w:sz w:val="22"/>
        </w:rPr>
        <w:t>6、乙方应建立健全日常项目信息安全运维管理制度，配合甲方及相关部门做好不定期的制度检查和技术巡查工作。</w:t>
      </w:r>
    </w:p>
    <w:p>
      <w:pPr>
        <w:pStyle w:val="null3"/>
        <w:ind w:firstLine="440"/>
        <w:jc w:val="both"/>
      </w:pPr>
      <w:r>
        <w:rPr>
          <w:sz w:val="22"/>
        </w:rPr>
        <w:t>二、保密信息</w:t>
      </w:r>
    </w:p>
    <w:p>
      <w:pPr>
        <w:pStyle w:val="null3"/>
        <w:ind w:firstLine="440"/>
        <w:jc w:val="both"/>
      </w:pPr>
      <w:r>
        <w:rPr>
          <w:sz w:val="22"/>
        </w:rPr>
        <w:t>1、保密信息范围：乙方在履行《合同》过程中获悉的全部信息及数据，包括但不限于项目技术方案、研究开发成果、软件源代码、规范流程、技术文档、管理制度及数据交换平台上运行的自然人、法人、其他组织基础信息库和自然人、法人证照信息库的所有信息、数据。</w:t>
      </w:r>
    </w:p>
    <w:p>
      <w:pPr>
        <w:pStyle w:val="null3"/>
        <w:ind w:firstLine="440"/>
        <w:jc w:val="both"/>
      </w:pPr>
      <w:r>
        <w:rPr>
          <w:sz w:val="22"/>
        </w:rPr>
        <w:t>2、保密信息载体：承载保密信息内容的物品，包括但不限于书面文件、电子文档、磁盘、CD、电子信息数据或其他任何形式的载体。</w:t>
      </w:r>
    </w:p>
    <w:p>
      <w:pPr>
        <w:pStyle w:val="null3"/>
        <w:ind w:firstLine="440"/>
        <w:jc w:val="both"/>
      </w:pPr>
      <w:r>
        <w:rPr>
          <w:sz w:val="22"/>
        </w:rPr>
        <w:t>3、保密信息的所有权归甲方所有，乙方不享有上述保密信息的所有权、排他独占使用权、再许可使用权或其他权利，乙方对上述保密信息使用的方式和程度仅限于在取得甲方事先书面同意和本协议约定的范围内。</w:t>
      </w:r>
    </w:p>
    <w:p>
      <w:pPr>
        <w:pStyle w:val="null3"/>
        <w:ind w:firstLine="440"/>
        <w:jc w:val="both"/>
      </w:pPr>
      <w:r>
        <w:rPr>
          <w:sz w:val="22"/>
        </w:rPr>
        <w:t>三、非保密信息</w:t>
      </w:r>
    </w:p>
    <w:p>
      <w:pPr>
        <w:pStyle w:val="null3"/>
        <w:ind w:firstLine="440"/>
        <w:jc w:val="both"/>
      </w:pPr>
      <w:r>
        <w:rPr>
          <w:sz w:val="22"/>
        </w:rPr>
        <w:t>乙方可以证明属于下述各项的信息，不属于保密信息：</w:t>
      </w:r>
    </w:p>
    <w:p>
      <w:pPr>
        <w:pStyle w:val="null3"/>
        <w:ind w:firstLine="440"/>
        <w:jc w:val="both"/>
      </w:pPr>
      <w:r>
        <w:rPr>
          <w:sz w:val="22"/>
        </w:rPr>
        <w:t>1、已公开发表或非因乙方原因已被公众所知悉的保密信息。</w:t>
      </w:r>
    </w:p>
    <w:p>
      <w:pPr>
        <w:pStyle w:val="null3"/>
        <w:ind w:firstLine="440"/>
        <w:jc w:val="both"/>
      </w:pPr>
      <w:r>
        <w:rPr>
          <w:sz w:val="22"/>
        </w:rPr>
        <w:t>2、甲方书面同意公开的保密信息。</w:t>
      </w:r>
    </w:p>
    <w:p>
      <w:pPr>
        <w:pStyle w:val="null3"/>
        <w:ind w:firstLine="440"/>
        <w:jc w:val="both"/>
      </w:pPr>
      <w:r>
        <w:rPr>
          <w:sz w:val="22"/>
        </w:rPr>
        <w:t>3、乙方从第三方处合法、正当地取得的保密信息，且该第三方对该等保密信息不承担保密义务。</w:t>
      </w:r>
    </w:p>
    <w:p>
      <w:pPr>
        <w:pStyle w:val="null3"/>
        <w:ind w:firstLine="440"/>
        <w:jc w:val="both"/>
      </w:pPr>
      <w:r>
        <w:rPr>
          <w:sz w:val="22"/>
        </w:rPr>
        <w:t>四、保密义务</w:t>
      </w:r>
    </w:p>
    <w:p>
      <w:pPr>
        <w:pStyle w:val="null3"/>
        <w:ind w:firstLine="440"/>
        <w:jc w:val="both"/>
      </w:pPr>
      <w:r>
        <w:rPr>
          <w:sz w:val="22"/>
        </w:rPr>
        <w:t>1、乙方承诺采取一切合理保密措施，妥善保管本协议约定的保密信息，禁止任何与该保密信息无关之人员接触或取得保密信息。</w:t>
      </w:r>
    </w:p>
    <w:p>
      <w:pPr>
        <w:pStyle w:val="null3"/>
        <w:ind w:firstLine="440"/>
        <w:jc w:val="both"/>
      </w:pPr>
      <w:r>
        <w:rPr>
          <w:sz w:val="22"/>
        </w:rPr>
        <w:t>2、未经甲方书面同意，乙方承诺不以书面、口头或电子等任何方式将保密信息告知、公布、发布、泄露、披露、转让给任何第三方，不许可任何第三方使用或与任何第三方共同使用保密信息。</w:t>
      </w:r>
    </w:p>
    <w:p>
      <w:pPr>
        <w:pStyle w:val="null3"/>
        <w:ind w:firstLine="440"/>
        <w:jc w:val="both"/>
      </w:pPr>
      <w:r>
        <w:rPr>
          <w:sz w:val="22"/>
        </w:rPr>
        <w:t>3、乙方仅可为履行《合同》的需要，将保密信息披露给其直接或间接参与项目的管理人员、员工和顾问，但乙方应确保接触保密信息的人员遵守保密信息的义务，与接触保密信息的人员签订《保密协议》，并就接触保密信息的人员对保密信息的保密义务承担连带责任。</w:t>
      </w:r>
    </w:p>
    <w:p>
      <w:pPr>
        <w:pStyle w:val="null3"/>
        <w:ind w:firstLine="440"/>
        <w:jc w:val="both"/>
      </w:pPr>
      <w:r>
        <w:rPr>
          <w:sz w:val="22"/>
        </w:rPr>
        <w:t>4、乙方承诺仅为完成项目使用保密信息，不将保密信息用于其他任何场合及交易，也不以任何其他方式滥用保密信息。</w:t>
      </w:r>
    </w:p>
    <w:p>
      <w:pPr>
        <w:pStyle w:val="null3"/>
        <w:ind w:firstLine="440"/>
        <w:jc w:val="both"/>
      </w:pPr>
      <w:r>
        <w:rPr>
          <w:sz w:val="22"/>
        </w:rPr>
        <w:t>5、乙方承诺采取一切合理措施对甲方的保密信息予以保密，尽到与保护自身商业秘密相同的最高程度的谨慎注意义务。</w:t>
      </w:r>
    </w:p>
    <w:p>
      <w:pPr>
        <w:pStyle w:val="null3"/>
        <w:ind w:firstLine="440"/>
        <w:jc w:val="both"/>
      </w:pPr>
      <w:r>
        <w:rPr>
          <w:sz w:val="22"/>
        </w:rPr>
        <w:t>6、乙方承诺在项目中不存在利益冲突，并确保接触保密信息的人员在项目中不存在利益冲突。</w:t>
      </w:r>
    </w:p>
    <w:p>
      <w:pPr>
        <w:pStyle w:val="null3"/>
        <w:ind w:firstLine="440"/>
        <w:jc w:val="both"/>
      </w:pPr>
      <w:r>
        <w:rPr>
          <w:sz w:val="22"/>
        </w:rPr>
        <w:t>7、项目结束后，甲方有权要求乙方将其自行保存的保密信息予以返还、销毁或永久删除，乙方不得私下留存复印件，并在项目结束当日向甲方书面保证其已经采取前述措施。</w:t>
      </w:r>
    </w:p>
    <w:p>
      <w:pPr>
        <w:pStyle w:val="null3"/>
        <w:ind w:firstLine="440"/>
        <w:jc w:val="both"/>
      </w:pPr>
      <w:r>
        <w:rPr>
          <w:sz w:val="22"/>
        </w:rPr>
        <w:t>8、乙方履行本协议约定的保密义务而发生的所有费用均由乙方承担。</w:t>
      </w:r>
    </w:p>
    <w:p>
      <w:pPr>
        <w:pStyle w:val="null3"/>
        <w:ind w:firstLine="440"/>
        <w:jc w:val="both"/>
      </w:pPr>
      <w:r>
        <w:rPr>
          <w:sz w:val="22"/>
        </w:rPr>
        <w:t>9、乙方知晓和同意，为保证甲方信息的保密效果，甲方有权在甲方控制的区域和设备安装电子监控系统，包括但不限于在办公室和实验室安装录音录像设备、在甲方提供的计算机和其他设备上安装文件监控系统等措施。</w:t>
      </w:r>
    </w:p>
    <w:p>
      <w:pPr>
        <w:pStyle w:val="null3"/>
        <w:ind w:firstLine="440"/>
        <w:jc w:val="both"/>
      </w:pPr>
      <w:r>
        <w:rPr>
          <w:sz w:val="22"/>
        </w:rPr>
        <w:t>五、保密期限</w:t>
      </w:r>
    </w:p>
    <w:p>
      <w:pPr>
        <w:pStyle w:val="null3"/>
        <w:ind w:firstLine="440"/>
        <w:jc w:val="both"/>
      </w:pPr>
      <w:r>
        <w:rPr>
          <w:sz w:val="22"/>
        </w:rPr>
        <w:t>乙方自执行项目起履行永久保密义务及安全信息保障义务。</w:t>
      </w:r>
    </w:p>
    <w:p>
      <w:pPr>
        <w:pStyle w:val="null3"/>
        <w:ind w:firstLine="440"/>
        <w:jc w:val="both"/>
      </w:pPr>
      <w:r>
        <w:rPr>
          <w:sz w:val="22"/>
        </w:rPr>
        <w:t>六、违约责任</w:t>
      </w:r>
    </w:p>
    <w:p>
      <w:pPr>
        <w:pStyle w:val="null3"/>
        <w:ind w:firstLine="440"/>
        <w:jc w:val="both"/>
      </w:pPr>
      <w:r>
        <w:rPr>
          <w:sz w:val="22"/>
        </w:rPr>
        <w:t>1、乙方在违约或可能违约的情况下，甲方有权要求乙方立即停止违约行为或避免违约。</w:t>
      </w:r>
    </w:p>
    <w:p>
      <w:pPr>
        <w:pStyle w:val="null3"/>
        <w:ind w:firstLine="440"/>
        <w:jc w:val="both"/>
      </w:pPr>
      <w:r>
        <w:rPr>
          <w:sz w:val="22"/>
        </w:rPr>
        <w:t>2、若乙方违反本协议任何一款约定，应一次性向甲方支付违约金人民币壹拾万元整，该违约金不足以弥补甲方损失的，乙方还应赔偿甲方因此遭受的全部损失。</w:t>
      </w:r>
    </w:p>
    <w:p>
      <w:pPr>
        <w:pStyle w:val="null3"/>
        <w:ind w:firstLine="440"/>
        <w:jc w:val="both"/>
      </w:pPr>
      <w:r>
        <w:rPr>
          <w:sz w:val="22"/>
        </w:rPr>
        <w:t>3、如乙方违反本协议约定的安全信息保障义务或保密义务而给甲方造成任何损失的，乙方应赔偿甲方因此遭受的全部损失，包括但不限于：</w:t>
      </w:r>
    </w:p>
    <w:p>
      <w:pPr>
        <w:pStyle w:val="null3"/>
        <w:ind w:firstLine="440"/>
        <w:jc w:val="both"/>
      </w:pPr>
      <w:r>
        <w:rPr>
          <w:sz w:val="22"/>
        </w:rPr>
        <w:t>（</w:t>
      </w:r>
      <w:r>
        <w:rPr>
          <w:sz w:val="22"/>
        </w:rPr>
        <w:t>1）损失赔偿额为甲方因乙方违反本协议的行为所受到的实际经济损失，如甲方的损失依照上述计算方法难以计算，甲方有权按不低于甲方就该保密信息已发生的实际投资费用或《合同》约定的总金额（以较高者为准）作为损失赔偿额；</w:t>
      </w:r>
    </w:p>
    <w:p>
      <w:pPr>
        <w:pStyle w:val="null3"/>
        <w:ind w:firstLine="440"/>
        <w:jc w:val="both"/>
      </w:pPr>
      <w:r>
        <w:rPr>
          <w:sz w:val="22"/>
        </w:rPr>
        <w:t>（</w:t>
      </w:r>
      <w:r>
        <w:rPr>
          <w:sz w:val="22"/>
        </w:rPr>
        <w:t>2）甲方因调查乙方违约行为而支付的合理费用；</w:t>
      </w:r>
    </w:p>
    <w:p>
      <w:pPr>
        <w:pStyle w:val="null3"/>
        <w:ind w:firstLine="440"/>
        <w:jc w:val="both"/>
      </w:pPr>
      <w:r>
        <w:rPr>
          <w:sz w:val="22"/>
        </w:rPr>
        <w:t>（</w:t>
      </w:r>
      <w:r>
        <w:rPr>
          <w:sz w:val="22"/>
        </w:rPr>
        <w:t>3）甲方依照法律规定，如在受理业务过程中知悉的客户信息、秘密和资料等，对外承担保密义务，但因乙方违反本协议约定导致甲方对外承担违约责任的（包括但不限于甲方遭受的第三方索赔、行政处罚、律师费、诉讼费、诉讼保全申请费、诉讼保全保险费、公证费、鉴定费、评估费以及采取补救措施发生的所有费用等），由此产生的责任由乙方承担；</w:t>
      </w:r>
    </w:p>
    <w:p>
      <w:pPr>
        <w:pStyle w:val="null3"/>
        <w:ind w:firstLine="440"/>
        <w:jc w:val="both"/>
      </w:pPr>
      <w:r>
        <w:rPr>
          <w:sz w:val="22"/>
        </w:rPr>
        <w:t>（</w:t>
      </w:r>
      <w:r>
        <w:rPr>
          <w:sz w:val="22"/>
        </w:rPr>
        <w:t>4）如乙方因违约而受有利益，则将所得利益全部支付给甲方。</w:t>
      </w:r>
    </w:p>
    <w:p>
      <w:pPr>
        <w:pStyle w:val="null3"/>
        <w:ind w:firstLine="440"/>
        <w:jc w:val="both"/>
      </w:pPr>
      <w:r>
        <w:rPr>
          <w:sz w:val="22"/>
        </w:rPr>
        <w:t>4、乙方违反保密义务的约定，侵犯甲方的保密信息，或有泄密行为，涉及甲方合作伙伴、业务办理人等第三方的，甲方有权向该等第三方通报乙方行为，且甲方有权与该等第三方根据国家有关法律、法规共同维权追究乙方法律责任（包括刑事责任）。</w:t>
      </w:r>
    </w:p>
    <w:p>
      <w:pPr>
        <w:pStyle w:val="null3"/>
        <w:ind w:firstLine="440"/>
        <w:jc w:val="both"/>
      </w:pPr>
      <w:r>
        <w:rPr>
          <w:sz w:val="22"/>
        </w:rPr>
        <w:t>5、如乙方全部或部分不履行本协议约定的安全信息保障义务或保密义务，甲方有权单方解除《合同》。</w:t>
      </w:r>
    </w:p>
    <w:p>
      <w:pPr>
        <w:pStyle w:val="null3"/>
        <w:ind w:firstLine="440"/>
        <w:jc w:val="both"/>
      </w:pPr>
      <w:r>
        <w:rPr>
          <w:sz w:val="22"/>
        </w:rPr>
        <w:t>6、乙方充分理解和同意，本协议约定的违约金及损失的计算方式，系双方基于实际情况和保密信息的重要程度共同认可的计算结果，不存在违约金及损失计算方式过高的情形。</w:t>
      </w:r>
    </w:p>
    <w:p>
      <w:pPr>
        <w:pStyle w:val="null3"/>
        <w:ind w:firstLine="440"/>
        <w:jc w:val="both"/>
      </w:pPr>
      <w:r>
        <w:rPr>
          <w:sz w:val="22"/>
        </w:rPr>
        <w:t>7、如乙方接触保密信息的人员违反本协议约定的安全信息保障义务或保密义务，乙方保证承担连带责任。</w:t>
      </w:r>
    </w:p>
    <w:p>
      <w:pPr>
        <w:pStyle w:val="null3"/>
        <w:ind w:firstLine="440"/>
        <w:jc w:val="both"/>
      </w:pPr>
      <w:r>
        <w:rPr>
          <w:sz w:val="22"/>
        </w:rPr>
        <w:t>七、法律适用</w:t>
      </w:r>
    </w:p>
    <w:p>
      <w:pPr>
        <w:pStyle w:val="null3"/>
        <w:ind w:firstLine="440"/>
        <w:jc w:val="both"/>
      </w:pPr>
      <w:r>
        <w:rPr>
          <w:sz w:val="22"/>
        </w:rPr>
        <w:t>本协议的订立、效力、解释、履行等均适用中华人民共和国法律（不包括香港、澳门和台湾地区，且排除冲突规范）。</w:t>
      </w:r>
    </w:p>
    <w:p>
      <w:pPr>
        <w:pStyle w:val="null3"/>
        <w:ind w:firstLine="440"/>
        <w:jc w:val="both"/>
      </w:pPr>
      <w:r>
        <w:rPr>
          <w:sz w:val="22"/>
        </w:rPr>
        <w:t>八、争议之解决</w:t>
      </w:r>
    </w:p>
    <w:p>
      <w:pPr>
        <w:pStyle w:val="null3"/>
        <w:ind w:firstLine="440"/>
        <w:jc w:val="both"/>
      </w:pPr>
      <w:r>
        <w:rPr>
          <w:sz w:val="22"/>
        </w:rPr>
        <w:t xml:space="preserve"> </w:t>
      </w:r>
      <w:r>
        <w:rPr>
          <w:sz w:val="22"/>
        </w:rPr>
        <w:t>甲、乙双方在履行本协议过程发生纠纷的，应友好协商解决；协商不成的，任何一方有权向甲方所在地有管辖权的人民法院提起诉讼。</w:t>
      </w:r>
    </w:p>
    <w:p>
      <w:pPr>
        <w:pStyle w:val="null3"/>
        <w:ind w:firstLine="440"/>
        <w:jc w:val="both"/>
      </w:pPr>
      <w:r>
        <w:rPr>
          <w:sz w:val="22"/>
        </w:rPr>
        <w:t>九、未尽事宜</w:t>
      </w:r>
    </w:p>
    <w:p>
      <w:pPr>
        <w:pStyle w:val="null3"/>
        <w:ind w:firstLine="440"/>
        <w:jc w:val="both"/>
      </w:pPr>
      <w:r>
        <w:rPr>
          <w:sz w:val="22"/>
        </w:rPr>
        <w:t>1、非经甲、乙双方书面确认，乙方不能撤回、变更或声明作废本协议，不得将其在本协议项下的义务全部或部分转让给第三方。</w:t>
      </w:r>
    </w:p>
    <w:p>
      <w:pPr>
        <w:pStyle w:val="null3"/>
        <w:ind w:firstLine="440"/>
        <w:jc w:val="both"/>
      </w:pPr>
      <w:r>
        <w:rPr>
          <w:sz w:val="22"/>
        </w:rPr>
        <w:t>2、本协议如有未尽事宜，甲、乙双方应友好协商解决，签订补充协议，该补充协议与本协议具有同等法律效力。</w:t>
      </w:r>
    </w:p>
    <w:p>
      <w:pPr>
        <w:pStyle w:val="null3"/>
        <w:ind w:firstLine="440"/>
        <w:jc w:val="both"/>
      </w:pPr>
      <w:r>
        <w:rPr>
          <w:sz w:val="22"/>
        </w:rPr>
        <w:t>十、附则</w:t>
      </w:r>
    </w:p>
    <w:p>
      <w:pPr>
        <w:pStyle w:val="null3"/>
        <w:ind w:firstLine="440"/>
        <w:jc w:val="both"/>
      </w:pPr>
      <w:r>
        <w:rPr>
          <w:sz w:val="22"/>
        </w:rPr>
        <w:t>1、本协议一式两份，甲、乙双方各执一份，均具同等法律效力。</w:t>
      </w:r>
    </w:p>
    <w:p>
      <w:pPr>
        <w:pStyle w:val="null3"/>
        <w:ind w:firstLine="440"/>
        <w:jc w:val="both"/>
      </w:pPr>
      <w:r>
        <w:rPr>
          <w:sz w:val="22"/>
        </w:rPr>
        <w:t>2、本协议自甲、乙双方代表签字盖章之日起生效。</w:t>
      </w:r>
    </w:p>
    <w:p>
      <w:pPr>
        <w:pStyle w:val="null3"/>
        <w:ind w:firstLine="440"/>
        <w:jc w:val="both"/>
      </w:pPr>
      <w:r>
        <w:rPr>
          <w:sz w:val="22"/>
        </w:rPr>
        <w:t>3、本协议于______年____月____日在中山市签订。</w:t>
      </w:r>
    </w:p>
    <w:p>
      <w:pPr>
        <w:pStyle w:val="null3"/>
        <w:ind w:firstLine="440"/>
        <w:jc w:val="both"/>
      </w:pPr>
      <w:r>
        <w:rPr>
          <w:sz w:val="22"/>
        </w:rPr>
        <w:t>（以下无正文）</w:t>
      </w:r>
    </w:p>
    <w:p>
      <w:pPr>
        <w:pStyle w:val="null3"/>
        <w:jc w:val="both"/>
      </w:pPr>
      <w:r>
        <w:rPr>
          <w:sz w:val="22"/>
        </w:rPr>
        <w:t>甲方</w:t>
      </w:r>
      <w:r>
        <w:rPr>
          <w:sz w:val="22"/>
        </w:rPr>
        <w:t>(盖章)：                                        乙方(盖章)：</w:t>
      </w:r>
    </w:p>
    <w:p>
      <w:pPr>
        <w:pStyle w:val="null3"/>
        <w:jc w:val="both"/>
      </w:pPr>
      <w:r>
        <w:rPr>
          <w:sz w:val="22"/>
        </w:rPr>
        <w:t>甲方法定代表人</w:t>
      </w:r>
      <w:r>
        <w:rPr>
          <w:sz w:val="22"/>
        </w:rPr>
        <w:t>(签字)：                       乙方法定代表人(签字)：</w:t>
      </w:r>
    </w:p>
    <w:p>
      <w:pPr>
        <w:pStyle w:val="null3"/>
        <w:jc w:val="both"/>
      </w:pPr>
      <w:r>
        <w:rPr>
          <w:sz w:val="22"/>
        </w:rPr>
        <w:t>签订日期：</w:t>
      </w:r>
      <w:r>
        <w:rPr>
          <w:sz w:val="22"/>
        </w:rPr>
        <w:t xml:space="preserve">                                          </w:t>
      </w:r>
      <w:r>
        <w:rPr>
          <w:sz w:val="22"/>
        </w:rPr>
        <w:t>签订日期：</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442000-2024-03414</w:t>
      </w:r>
    </w:p>
    <w:p>
      <w:pPr>
        <w:pStyle w:val="null3"/>
        <w:jc w:val="center"/>
        <w:outlineLvl w:val="3"/>
      </w:pPr>
      <w:r>
        <w:rPr>
          <w:sz w:val="24"/>
          <w:b/>
        </w:rPr>
        <w:t>采购项目编号：</w:t>
      </w:r>
      <w:r>
        <w:rPr>
          <w:sz w:val="24"/>
          <w:b/>
        </w:rPr>
        <w:t>442000-2024-03414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中山市市场监督管理局政务信息化项目2024-2027年度运维服务项目</w:t>
      </w:r>
      <w:r>
        <w:rPr>
          <w:u w:val="single"/>
        </w:rPr>
        <w:t>”</w:t>
      </w:r>
      <w:r>
        <w:rPr/>
        <w:t>项目的招标[采购项目编号为：</w:t>
      </w:r>
      <w:r>
        <w:rPr>
          <w:u w:val="single"/>
        </w:rPr>
        <w:t>442000-2024-03414</w:t>
      </w:r>
      <w:r>
        <w:rPr/>
        <w:t>]，我方愿参与投标。</w:t>
      </w:r>
    </w:p>
    <w:p>
      <w:pPr>
        <w:pStyle w:val="null3"/>
        <w:ind w:firstLine="480"/>
      </w:pPr>
      <w:r>
        <w:rPr/>
        <w:t>我方确认收到贵方提供的</w:t>
      </w:r>
      <w:r>
        <w:rPr>
          <w:u w:val="single"/>
        </w:rPr>
        <w:t>“</w:t>
      </w:r>
      <w:r>
        <w:rPr>
          <w:u w:val="single"/>
        </w:rPr>
        <w:t>中山市市场监督管理局政务信息化项目2024-2027年度运维服务项目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中山市市场监督管理局政务信息化项目2024-2027年度运维服务项目</w:t>
      </w:r>
      <w:r>
        <w:rPr/>
        <w:t>”项目采购[采购项目编号为</w:t>
      </w:r>
      <w:r>
        <w:rPr/>
        <w:t>442000-2024-03414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中山市市场监督管理局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中山市市场监督管理局政务信息化项目2024-2027年度运维服务项目</w:t>
      </w:r>
      <w:r>
        <w:rPr/>
        <w:t>招标中获中标（采购项目编号：</w:t>
      </w:r>
      <w:r>
        <w:rPr/>
        <w:t>442000-2024-03414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中山市市场监督管理局政务信息化项目2024-2027年度运维服务项目</w:t>
      </w:r>
      <w:r>
        <w:rPr/>
        <w:t>”项目（采购项目编号：</w:t>
      </w:r>
      <w:r>
        <w:rPr/>
        <w:t>442000-2024-03414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