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442000-2024-00484</w:t>
      </w:r>
    </w:p>
    <w:p>
      <w:pPr>
        <w:pStyle w:val="null3"/>
        <w:jc w:val="center"/>
        <w:outlineLvl w:val="3"/>
      </w:pPr>
      <w:r>
        <w:rPr>
          <w:b/>
          <w:sz w:val="24"/>
        </w:rPr>
        <w:t>采购项目编号：</w:t>
      </w:r>
      <w:r>
        <w:rPr>
          <w:b/>
          <w:sz w:val="24"/>
        </w:rPr>
        <w:t>442000-2024-00484</w:t>
      </w:r>
    </w:p>
    <w:p>
      <w:pPr>
        <w:pStyle w:val="null3"/>
        <w:jc w:val="center"/>
        <w:outlineLvl w:val="3"/>
      </w:pPr>
      <w:r>
        <w:rPr>
          <w:b/>
          <w:sz w:val="24"/>
        </w:rPr>
        <w:t>项目名称：</w:t>
      </w:r>
      <w:r>
        <w:rPr>
          <w:b/>
          <w:sz w:val="24"/>
        </w:rPr>
        <w:t>2024年中山市残疾人康复救助服务框架协议采购项目(二次)</w:t>
      </w:r>
    </w:p>
    <w:p>
      <w:pPr>
        <w:pStyle w:val="null3"/>
        <w:jc w:val="center"/>
        <w:outlineLvl w:val="3"/>
      </w:pPr>
      <w:r>
        <w:rPr>
          <w:b/>
          <w:sz w:val="24"/>
        </w:rPr>
        <w:t>采购人：</w:t>
      </w:r>
      <w:r>
        <w:rPr>
          <w:b/>
          <w:sz w:val="24"/>
        </w:rPr>
        <w:t>中山市残疾人联合会</w:t>
      </w:r>
    </w:p>
    <w:p>
      <w:pPr>
        <w:pStyle w:val="null3"/>
        <w:jc w:val="center"/>
        <w:outlineLvl w:val="3"/>
      </w:pPr>
      <w:r>
        <w:rPr>
          <w:b/>
          <w:sz w:val="24"/>
        </w:rPr>
        <w:t>采购代理机构：</w:t>
      </w:r>
      <w:r>
        <w:rPr>
          <w:b/>
          <w:sz w:val="24"/>
        </w:rPr>
        <w:t>智林招标（广东）有限公司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智林招标（广东）有限公司</w:t>
      </w:r>
      <w:r>
        <w:rPr/>
        <w:t>受</w:t>
      </w:r>
      <w:r>
        <w:rPr/>
        <w:t>中山市残疾人联合会</w:t>
      </w:r>
      <w:r>
        <w:rPr/>
        <w:t>的委托，采用</w:t>
      </w:r>
      <w:r>
        <w:rPr/>
        <w:t>公开招标</w:t>
      </w:r>
      <w:r>
        <w:rPr/>
        <w:t>方式组织采购</w:t>
      </w:r>
      <w:r>
        <w:rPr/>
        <w:t>2024年中山市残疾人康复救助服务框架协议采购项目(二次)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2024年中山市残疾人康复救助服务框架协议采购项目(二次)</w:t>
      </w:r>
    </w:p>
    <w:p>
      <w:pPr>
        <w:pStyle w:val="null3"/>
        <w:ind w:firstLine="480"/>
      </w:pPr>
      <w:r>
        <w:rPr/>
        <w:t>采购计划编号：</w:t>
      </w:r>
      <w:r>
        <w:rPr/>
        <w:t>442000-2024-00484</w:t>
      </w:r>
    </w:p>
    <w:p>
      <w:pPr>
        <w:pStyle w:val="null3"/>
        <w:ind w:firstLine="480"/>
      </w:pPr>
      <w:r>
        <w:rPr/>
        <w:t>采购项目编号：</w:t>
      </w:r>
      <w:r>
        <w:rPr/>
        <w:t>442000-2024-00484</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b/>
          <w:sz w:val="24"/>
        </w:rPr>
        <w:t>2.项目内容及需求情况（采购项目技术规格、参数及要求）</w:t>
      </w:r>
    </w:p>
    <w:p>
      <w:pPr>
        <w:pStyle w:val="null3"/>
      </w:pPr>
    </w:p>
    <w:p>
      <w:pPr>
        <w:pStyle w:val="null3"/>
      </w:pPr>
      <w:r>
        <w:rPr/>
        <w:t>采购包1(0-6岁残疾儿童医疗康复救助项目):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康复服务</w:t>
            </w:r>
          </w:p>
        </w:tc>
        <w:tc>
          <w:tcPr>
            <w:tcW w:type="dxa" w:w="2136"/>
          </w:tcPr>
          <w:p>
            <w:pPr>
              <w:pStyle w:val="null3"/>
            </w:pPr>
            <w:r>
              <w:rPr/>
              <w:t>0-6岁残疾儿童医疗康复救助项目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合同履行期限：自合同约定生效之日起至2025年3月31日。结算金额累计达到采购包预算金额或服务期满（以先到者为准），委托合同终止。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p>
      <w:pPr>
        <w:pStyle w:val="null3"/>
      </w:pPr>
    </w:p>
    <w:p>
      <w:pPr>
        <w:pStyle w:val="null3"/>
      </w:pPr>
      <w:r>
        <w:rPr/>
        <w:t>4）履行合同所必需的设备和专业技术能力：请在投标文件里提供承诺或说明。</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采购包1（0-6岁残疾儿童医疗康复救助项目）：</w:t>
      </w:r>
      <w:r>
        <w:rPr/>
        <w:t>本采购包不属于专门面向中小企业采购项目。</w:t>
      </w:r>
    </w:p>
    <w:p>
      <w:pPr>
        <w:pStyle w:val="null3"/>
        <w:outlineLvl w:val="3"/>
      </w:pPr>
      <w:r>
        <w:rPr>
          <w:b/>
          <w:sz w:val="24"/>
        </w:rPr>
        <w:t>3.本项目特定的资格要求：</w:t>
      </w:r>
    </w:p>
    <w:p>
      <w:pPr>
        <w:pStyle w:val="null3"/>
      </w:pPr>
    </w:p>
    <w:p>
      <w:pPr>
        <w:pStyle w:val="null3"/>
      </w:pPr>
      <w:r>
        <w:rPr/>
        <w:t>采购包1（0-6岁残疾儿童医疗康复救助项目）：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p>
    <w:p>
      <w:pPr>
        <w:pStyle w:val="null3"/>
      </w:pPr>
      <w:r>
        <w:rPr/>
        <w:t>3)投标人须具有中山市残疾人定点康复机构资格（提供相关证明文件）。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中山市残疾人联合会</w:t>
      </w:r>
    </w:p>
    <w:p>
      <w:pPr>
        <w:pStyle w:val="null3"/>
        <w:ind w:firstLine="480"/>
      </w:pPr>
      <w:r>
        <w:rPr/>
        <w:t>地址：</w:t>
      </w:r>
      <w:r>
        <w:rPr/>
        <w:t>广东省中山市石岐区河泊大街三巷1号</w:t>
      </w:r>
    </w:p>
    <w:p>
      <w:pPr>
        <w:pStyle w:val="null3"/>
        <w:ind w:firstLine="480"/>
      </w:pPr>
      <w:r>
        <w:rPr/>
        <w:t>联系方式：</w:t>
      </w:r>
      <w:r>
        <w:rPr/>
        <w:t>0760-88830217</w:t>
      </w:r>
    </w:p>
    <w:p>
      <w:pPr>
        <w:pStyle w:val="null3"/>
        <w:outlineLvl w:val="3"/>
      </w:pPr>
      <w:r>
        <w:rPr>
          <w:b/>
          <w:sz w:val="24"/>
        </w:rPr>
        <w:t>2.采购代理机构信息</w:t>
      </w:r>
    </w:p>
    <w:p>
      <w:pPr>
        <w:pStyle w:val="null3"/>
        <w:ind w:firstLine="480"/>
      </w:pPr>
      <w:r>
        <w:rPr/>
        <w:t>名称：</w:t>
      </w:r>
      <w:r>
        <w:rPr/>
        <w:t>智林招标（广东）有限公司</w:t>
      </w:r>
    </w:p>
    <w:p>
      <w:pPr>
        <w:pStyle w:val="null3"/>
        <w:ind w:firstLine="480"/>
      </w:pPr>
      <w:r>
        <w:rPr/>
        <w:t>地址：</w:t>
      </w:r>
      <w:r>
        <w:rPr/>
        <w:t>广东省中山市石岐区东明北路18号206卡（之十一）</w:t>
      </w:r>
    </w:p>
    <w:p>
      <w:pPr>
        <w:pStyle w:val="null3"/>
        <w:ind w:firstLine="480"/>
      </w:pPr>
      <w:r>
        <w:rPr/>
        <w:t>联系方式：</w:t>
      </w:r>
      <w:r>
        <w:rPr/>
        <w:t>0760-88889687</w:t>
      </w:r>
    </w:p>
    <w:p>
      <w:pPr>
        <w:pStyle w:val="null3"/>
        <w:outlineLvl w:val="3"/>
      </w:pPr>
      <w:r>
        <w:rPr>
          <w:b/>
          <w:sz w:val="24"/>
        </w:rPr>
        <w:t>3.项目联系方式</w:t>
      </w:r>
    </w:p>
    <w:p>
      <w:pPr>
        <w:pStyle w:val="null3"/>
        <w:ind w:firstLine="480"/>
      </w:pPr>
      <w:r>
        <w:rPr/>
        <w:t>项目联系人：</w:t>
      </w:r>
      <w:r>
        <w:rPr/>
        <w:t>吴颖红</w:t>
      </w:r>
    </w:p>
    <w:p>
      <w:pPr>
        <w:pStyle w:val="null3"/>
        <w:ind w:firstLine="480"/>
      </w:pPr>
      <w:r>
        <w:rPr/>
        <w:t>电话：</w:t>
      </w:r>
      <w:r>
        <w:rPr/>
        <w:t>0760-88889687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智林招标（广东）有限公司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2"/>
        <w:jc w:val="both"/>
      </w:pPr>
      <w:r>
        <w:rPr>
          <w:b/>
          <w:sz w:val="22"/>
        </w:rPr>
        <w:t>（一）项目说明</w:t>
      </w:r>
    </w:p>
    <w:p>
      <w:pPr>
        <w:pStyle w:val="null3"/>
        <w:ind w:firstLine="482"/>
        <w:jc w:val="left"/>
      </w:pPr>
      <w:r>
        <w:rPr>
          <w:sz w:val="22"/>
        </w:rPr>
        <w:t>本项目符合《政府采购框架协议采购方式管理暂行办法》（中华人民共和国财政部令第</w:t>
      </w:r>
      <w:r>
        <w:rPr>
          <w:sz w:val="22"/>
        </w:rPr>
        <w:t>110号）第三条第</w:t>
      </w:r>
      <w:r>
        <w:rPr>
          <w:sz w:val="22"/>
        </w:rPr>
        <w:t>三</w:t>
      </w:r>
      <w:r>
        <w:rPr>
          <w:sz w:val="22"/>
        </w:rPr>
        <w:t>款规定情形：</w:t>
      </w:r>
      <w:r>
        <w:rPr>
          <w:color w:val="333333"/>
          <w:sz w:val="22"/>
          <w:shd w:fill="FFFFFF" w:val="clear"/>
        </w:rPr>
        <w:t>集中采购目录以外，采购限额标准以上，为本部门、本系统以外的服务对象提供服务的政府购买服务项目，需要确定</w:t>
      </w:r>
      <w:r>
        <w:rPr>
          <w:color w:val="333333"/>
          <w:sz w:val="22"/>
          <w:shd w:fill="FFFFFF" w:val="clear"/>
        </w:rPr>
        <w:t>2家以上供应商由服务对象自主选择的</w:t>
      </w:r>
      <w:r>
        <w:rPr>
          <w:color w:val="333333"/>
          <w:sz w:val="22"/>
          <w:shd w:fill="FFFFFF" w:val="clear"/>
        </w:rPr>
        <w:t>。</w:t>
      </w:r>
    </w:p>
    <w:p>
      <w:pPr>
        <w:pStyle w:val="null3"/>
        <w:ind w:firstLine="482"/>
        <w:jc w:val="left"/>
      </w:pPr>
      <w:r>
        <w:rPr>
          <w:b/>
          <w:sz w:val="22"/>
        </w:rPr>
        <w:t>（二）项目基本概况</w:t>
      </w:r>
    </w:p>
    <w:p>
      <w:pPr>
        <w:pStyle w:val="null3"/>
        <w:ind w:firstLine="482"/>
        <w:jc w:val="left"/>
      </w:pPr>
      <w:r>
        <w:rPr>
          <w:sz w:val="22"/>
        </w:rPr>
        <w:t>1.征集人：中山市残疾人联合会</w:t>
      </w:r>
    </w:p>
    <w:p>
      <w:pPr>
        <w:pStyle w:val="null3"/>
        <w:ind w:firstLine="482"/>
        <w:jc w:val="left"/>
      </w:pPr>
      <w:r>
        <w:rPr>
          <w:sz w:val="22"/>
        </w:rPr>
        <w:t>2.项目名称：2024年中山市残疾人康复救助服务框架协议</w:t>
      </w:r>
      <w:r>
        <w:rPr>
          <w:sz w:val="22"/>
        </w:rPr>
        <w:t>采购</w:t>
      </w:r>
      <w:r>
        <w:rPr>
          <w:sz w:val="22"/>
        </w:rPr>
        <w:t>项目(二次)</w:t>
      </w:r>
    </w:p>
    <w:p>
      <w:pPr>
        <w:pStyle w:val="null3"/>
        <w:ind w:firstLine="482"/>
        <w:jc w:val="left"/>
      </w:pPr>
      <w:r>
        <w:rPr>
          <w:sz w:val="22"/>
        </w:rPr>
        <w:t>3.服务范围：中山市残疾人联合会采用框架协议方式公开征集7</w:t>
      </w:r>
      <w:r>
        <w:rPr>
          <w:sz w:val="22"/>
        </w:rPr>
        <w:t>家供应商，</w:t>
      </w:r>
      <w:r>
        <w:rPr>
          <w:sz w:val="22"/>
        </w:rPr>
        <w:t>提供</w:t>
      </w:r>
      <w:r>
        <w:rPr>
          <w:sz w:val="22"/>
        </w:rPr>
        <w:t>0-6岁残疾儿童医疗康复救助</w:t>
      </w:r>
      <w:r>
        <w:rPr>
          <w:sz w:val="22"/>
        </w:rPr>
        <w:t>。</w:t>
      </w:r>
    </w:p>
    <w:p>
      <w:pPr>
        <w:pStyle w:val="null3"/>
        <w:ind w:firstLine="440"/>
        <w:jc w:val="both"/>
      </w:pPr>
      <w:r>
        <w:rPr>
          <w:sz w:val="22"/>
        </w:rPr>
        <w:t xml:space="preserve"> 4</w:t>
      </w:r>
      <w:r>
        <w:rPr>
          <w:sz w:val="22"/>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1131"/>
        <w:gridCol w:w="3754"/>
        <w:gridCol w:w="1432"/>
        <w:gridCol w:w="1990"/>
      </w:tblGrid>
      <w:tr>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2"/>
              </w:rPr>
              <w:t>分包号</w:t>
            </w:r>
          </w:p>
        </w:tc>
        <w:tc>
          <w:tcPr>
            <w:tcW w:type="dxa" w:w="3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2"/>
              </w:rPr>
              <w:t>采购</w:t>
            </w:r>
            <w:r>
              <w:rPr>
                <w:b/>
                <w:sz w:val="22"/>
              </w:rPr>
              <w:t>包名称</w:t>
            </w:r>
          </w:p>
        </w:tc>
        <w:tc>
          <w:tcPr>
            <w:tcW w:type="dxa" w:w="1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2"/>
              </w:rPr>
              <w:t>数量（项）</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2"/>
              </w:rPr>
              <w:t>预算金额（</w:t>
            </w:r>
            <w:r>
              <w:rPr>
                <w:sz w:val="22"/>
              </w:rPr>
              <w:t>元</w:t>
            </w:r>
            <w:r>
              <w:rPr>
                <w:b/>
                <w:sz w:val="22"/>
              </w:rPr>
              <w:t>）</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采购包</w:t>
            </w:r>
            <w:r>
              <w:rPr>
                <w:sz w:val="22"/>
              </w:rPr>
              <w:t>1</w:t>
            </w:r>
          </w:p>
        </w:tc>
        <w:tc>
          <w:tcPr>
            <w:tcW w:type="dxa" w:w="3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0-6岁残疾儿童医疗康复救助项目</w:t>
            </w:r>
          </w:p>
        </w:tc>
        <w:tc>
          <w:tcPr>
            <w:tcW w:type="dxa" w:w="1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w:t>
            </w:r>
            <w:r>
              <w:rPr>
                <w:sz w:val="22"/>
              </w:rPr>
              <w:t>2,000,000.00</w:t>
            </w:r>
          </w:p>
        </w:tc>
      </w:tr>
    </w:tbl>
    <w:p>
      <w:pPr>
        <w:pStyle w:val="null3"/>
        <w:ind w:firstLine="482"/>
        <w:jc w:val="left"/>
      </w:pPr>
      <w:r>
        <w:rPr>
          <w:sz w:val="22"/>
        </w:rPr>
        <w:t>5</w:t>
      </w:r>
      <w:r>
        <w:rPr>
          <w:sz w:val="22"/>
        </w:rPr>
        <w:t>.服务说明：</w:t>
      </w:r>
    </w:p>
    <w:p>
      <w:pPr>
        <w:pStyle w:val="null3"/>
        <w:ind w:firstLine="482"/>
        <w:jc w:val="left"/>
      </w:pPr>
      <w:r>
        <w:rPr>
          <w:sz w:val="22"/>
        </w:rPr>
        <w:t>（</w:t>
      </w:r>
      <w:r>
        <w:rPr>
          <w:sz w:val="22"/>
        </w:rPr>
        <w:t>1）根据《政府采购框架协议采购方式管理暂行办法》，本次采购采用“封闭式框架协议”</w:t>
      </w:r>
      <w:r>
        <w:rPr>
          <w:sz w:val="22"/>
        </w:rPr>
        <w:t>的方式，以</w:t>
      </w:r>
      <w:r>
        <w:rPr>
          <w:sz w:val="22"/>
        </w:rPr>
        <w:t>“质量优先”</w:t>
      </w:r>
      <w:r>
        <w:rPr>
          <w:sz w:val="22"/>
        </w:rPr>
        <w:t>为</w:t>
      </w:r>
      <w:r>
        <w:rPr>
          <w:sz w:val="22"/>
        </w:rPr>
        <w:t>评审标准，公开</w:t>
      </w:r>
      <w:r>
        <w:rPr>
          <w:sz w:val="22"/>
        </w:rPr>
        <w:t>择优</w:t>
      </w:r>
      <w:r>
        <w:rPr>
          <w:sz w:val="22"/>
        </w:rPr>
        <w:t>确定入围供应商时有竞争和淘汰，淘汰比例不低于</w:t>
      </w:r>
      <w:r>
        <w:rPr>
          <w:sz w:val="22"/>
        </w:rPr>
        <w:t>20％。在封闭式框架协议有效期内，除《政府采购框架协议采购方式管理暂行办法》约定的补充征集程序外，不随意增加协议供应商，入围供应商无正当理由不允许退出。</w:t>
      </w:r>
    </w:p>
    <w:p>
      <w:pPr>
        <w:pStyle w:val="null3"/>
        <w:ind w:firstLine="482"/>
        <w:jc w:val="left"/>
      </w:pPr>
      <w:r>
        <w:rPr>
          <w:sz w:val="22"/>
        </w:rPr>
        <w:t>（</w:t>
      </w:r>
      <w:r>
        <w:rPr>
          <w:sz w:val="22"/>
        </w:rPr>
        <w:t>2）确定第一阶段入围供应商的评审方法及淘汰率</w:t>
      </w:r>
    </w:p>
    <w:p>
      <w:pPr>
        <w:pStyle w:val="null3"/>
        <w:ind w:firstLine="482"/>
        <w:jc w:val="left"/>
      </w:pPr>
      <w:r>
        <w:rPr>
          <w:sz w:val="22"/>
        </w:rPr>
        <w:t>确定第一阶段入围供应商时，提交响应文件和符合资格条件、实质性要求的供应商不得低于</w:t>
      </w:r>
      <w:r>
        <w:rPr>
          <w:sz w:val="22"/>
        </w:rPr>
        <w:t>2家。淘汰比例不得低于20%，且至少淘汰一家供应商。</w:t>
      </w:r>
    </w:p>
    <w:p>
      <w:pPr>
        <w:pStyle w:val="null3"/>
        <w:ind w:firstLine="482"/>
        <w:jc w:val="left"/>
      </w:pPr>
      <w:r>
        <w:rPr>
          <w:sz w:val="22"/>
        </w:rPr>
        <w:t>第一阶段入围供应商采用质量优先法进行综合评分，按照质量评分从高到低</w:t>
      </w:r>
      <w:r>
        <w:rPr>
          <w:sz w:val="22"/>
        </w:rPr>
        <w:t>的</w:t>
      </w:r>
      <w:r>
        <w:rPr>
          <w:sz w:val="22"/>
        </w:rPr>
        <w:t>排序，按照数量上限进行确定。服务项目质量因素包括服务内容、服务水平、供应商的履约能力、服务经验等。</w:t>
      </w:r>
    </w:p>
    <w:p>
      <w:pPr>
        <w:pStyle w:val="null3"/>
        <w:ind w:firstLine="482"/>
        <w:jc w:val="left"/>
      </w:pPr>
      <w:r>
        <w:rPr>
          <w:sz w:val="22"/>
        </w:rPr>
        <w:t>（</w:t>
      </w:r>
      <w:r>
        <w:rPr>
          <w:sz w:val="22"/>
        </w:rPr>
        <w:t>3）确定第二阶段成交供应商的方法</w:t>
      </w:r>
    </w:p>
    <w:p>
      <w:pPr>
        <w:pStyle w:val="null3"/>
        <w:ind w:firstLine="482"/>
        <w:jc w:val="left"/>
      </w:pPr>
      <w:r>
        <w:rPr>
          <w:sz w:val="22"/>
        </w:rPr>
        <w:t>第二阶段通过</w:t>
      </w:r>
      <w:r>
        <w:rPr>
          <w:sz w:val="22"/>
        </w:rPr>
        <w:t>“直接选定”方式，根据服务质量以及服务便利性、用户评价等因素（结合</w:t>
      </w:r>
      <w:r>
        <w:rPr>
          <w:sz w:val="22"/>
        </w:rPr>
        <w:t>征集人</w:t>
      </w:r>
      <w:r>
        <w:rPr>
          <w:sz w:val="22"/>
        </w:rPr>
        <w:t>的选定规则</w:t>
      </w:r>
      <w:r>
        <w:rPr>
          <w:sz w:val="22"/>
        </w:rPr>
        <w:t>“直接选定”），从第一阶段入围供应商中直接选定，</w:t>
      </w:r>
      <w:r>
        <w:rPr>
          <w:sz w:val="22"/>
        </w:rPr>
        <w:t>征集人与入围供应商签订纸质</w:t>
      </w:r>
      <w:r>
        <w:rPr>
          <w:sz w:val="22"/>
        </w:rPr>
        <w:t>项目服务合同。以符合救助要求的残疾人自愿选择服务机构为原则，入围供应商取得了服务资格并不意味实际业务量已经产生，</w:t>
      </w:r>
      <w:r>
        <w:rPr>
          <w:sz w:val="22"/>
        </w:rPr>
        <w:t>征集人</w:t>
      </w:r>
      <w:r>
        <w:rPr>
          <w:sz w:val="22"/>
        </w:rPr>
        <w:t>无法预计也无法保证将来的</w:t>
      </w:r>
      <w:r>
        <w:rPr>
          <w:sz w:val="22"/>
        </w:rPr>
        <w:t>服务数量</w:t>
      </w:r>
      <w:r>
        <w:rPr>
          <w:sz w:val="22"/>
        </w:rPr>
        <w:t>/</w:t>
      </w:r>
      <w:r>
        <w:rPr>
          <w:sz w:val="22"/>
        </w:rPr>
        <w:t>采购数量以及各个入围供应商所占的市场份额。</w:t>
      </w:r>
    </w:p>
    <w:p>
      <w:pPr>
        <w:pStyle w:val="null3"/>
        <w:ind w:firstLine="482"/>
        <w:jc w:val="left"/>
      </w:pPr>
      <w:r>
        <w:rPr>
          <w:sz w:val="22"/>
        </w:rPr>
        <w:t>（</w:t>
      </w:r>
      <w:r>
        <w:rPr>
          <w:sz w:val="22"/>
        </w:rPr>
        <w:t>4）</w:t>
      </w:r>
      <w:r>
        <w:rPr>
          <w:sz w:val="22"/>
        </w:rPr>
        <w:t>签订第二阶段采购合同的入围供应商应根据有关规定，遵循客观、公正、独立原则，按</w:t>
      </w:r>
      <w:r>
        <w:rPr>
          <w:sz w:val="22"/>
        </w:rPr>
        <w:t>征集人</w:t>
      </w:r>
      <w:r>
        <w:rPr>
          <w:sz w:val="22"/>
        </w:rPr>
        <w:t>要求按时按质</w:t>
      </w:r>
      <w:r>
        <w:rPr>
          <w:sz w:val="22"/>
        </w:rPr>
        <w:t>为残疾人</w:t>
      </w:r>
      <w:r>
        <w:rPr>
          <w:sz w:val="22"/>
        </w:rPr>
        <w:t>提供</w:t>
      </w:r>
      <w:r>
        <w:rPr>
          <w:sz w:val="22"/>
        </w:rPr>
        <w:t>服务。</w:t>
      </w:r>
    </w:p>
    <w:p>
      <w:pPr>
        <w:pStyle w:val="null3"/>
        <w:ind w:firstLine="482"/>
        <w:jc w:val="left"/>
      </w:pPr>
      <w:r>
        <w:rPr>
          <w:sz w:val="22"/>
        </w:rPr>
        <w:t>（</w:t>
      </w:r>
      <w:r>
        <w:rPr>
          <w:sz w:val="22"/>
        </w:rPr>
        <w:t>5）入围供应商有下列情形之一，尚未签订框架协议的，取消其入围资格；已经签订框架协议的，解除与其签订的框架协议：</w:t>
      </w:r>
    </w:p>
    <w:p>
      <w:pPr>
        <w:pStyle w:val="null3"/>
        <w:ind w:firstLine="482"/>
        <w:jc w:val="left"/>
      </w:pPr>
      <w:r>
        <w:rPr>
          <w:sz w:val="22"/>
        </w:rPr>
        <w:t>（一）恶意串通谋取入围或者合同成交的；</w:t>
      </w:r>
    </w:p>
    <w:p>
      <w:pPr>
        <w:pStyle w:val="null3"/>
        <w:ind w:firstLine="482"/>
        <w:jc w:val="left"/>
      </w:pPr>
      <w:r>
        <w:rPr>
          <w:sz w:val="22"/>
        </w:rPr>
        <w:t>（二）提供虚假材料谋取入围或者合同成交的；</w:t>
      </w:r>
    </w:p>
    <w:p>
      <w:pPr>
        <w:pStyle w:val="null3"/>
        <w:ind w:firstLine="482"/>
        <w:jc w:val="left"/>
      </w:pPr>
      <w:r>
        <w:rPr>
          <w:sz w:val="22"/>
        </w:rPr>
        <w:t>（三）无正当理由拒不接受合同授予的；</w:t>
      </w:r>
    </w:p>
    <w:p>
      <w:pPr>
        <w:pStyle w:val="null3"/>
        <w:ind w:firstLine="482"/>
        <w:jc w:val="left"/>
      </w:pPr>
      <w:r>
        <w:rPr>
          <w:sz w:val="22"/>
        </w:rPr>
        <w:t>（四）不履行合同义务或者履行合同义务不符合约定，经</w:t>
      </w:r>
      <w:r>
        <w:rPr>
          <w:sz w:val="22"/>
        </w:rPr>
        <w:t>征集人</w:t>
      </w:r>
      <w:r>
        <w:rPr>
          <w:sz w:val="22"/>
        </w:rPr>
        <w:t>请求履行后仍不履行或者仍未按约定履行的；</w:t>
      </w:r>
    </w:p>
    <w:p>
      <w:pPr>
        <w:pStyle w:val="null3"/>
        <w:ind w:firstLine="482"/>
        <w:jc w:val="left"/>
      </w:pPr>
      <w:r>
        <w:rPr>
          <w:sz w:val="22"/>
        </w:rPr>
        <w:t>（五）框架协议有效期内，因违法行为被禁止或限制参加政府采购活动的；</w:t>
      </w:r>
    </w:p>
    <w:p>
      <w:pPr>
        <w:pStyle w:val="null3"/>
        <w:ind w:firstLine="482"/>
        <w:jc w:val="left"/>
      </w:pPr>
      <w:r>
        <w:rPr>
          <w:sz w:val="22"/>
        </w:rPr>
        <w:t>（六）框架协议约定的其他情形。</w:t>
      </w:r>
    </w:p>
    <w:p>
      <w:pPr>
        <w:pStyle w:val="null3"/>
        <w:ind w:firstLine="482"/>
        <w:jc w:val="left"/>
      </w:pPr>
      <w:r>
        <w:rPr>
          <w:sz w:val="22"/>
        </w:rPr>
        <w:t>被取消入围资格或者被解除框架协议的供应商不得参加同一封闭式框架协议补充征集，或者重新申请加入同一开放式框架协议。</w:t>
      </w:r>
    </w:p>
    <w:p>
      <w:pPr>
        <w:pStyle w:val="null3"/>
        <w:ind w:firstLine="482"/>
        <w:jc w:val="left"/>
      </w:pPr>
      <w:r>
        <w:rPr>
          <w:sz w:val="22"/>
        </w:rPr>
        <w:t>（</w:t>
      </w:r>
      <w:r>
        <w:rPr>
          <w:sz w:val="22"/>
        </w:rPr>
        <w:t>6）在框架协议期限内，无正当理由入围供应商不得拒绝委托。已接受委托的项目，签订第二阶段成交合同的入围供应商必须按照框架协议与单项合同要求按时保质完成任务。未经</w:t>
      </w:r>
      <w:r>
        <w:rPr>
          <w:sz w:val="22"/>
        </w:rPr>
        <w:t>征集人</w:t>
      </w:r>
      <w:r>
        <w:rPr>
          <w:sz w:val="22"/>
        </w:rPr>
        <w:t>书面同意，不得擅自将受托项目转委托给第三方承担。</w:t>
      </w:r>
    </w:p>
    <w:p>
      <w:pPr>
        <w:pStyle w:val="null3"/>
        <w:ind w:firstLine="440"/>
        <w:jc w:val="left"/>
      </w:pPr>
      <w:r>
        <w:rPr>
          <w:sz w:val="22"/>
        </w:rPr>
        <w:t>6</w:t>
      </w:r>
      <w:r>
        <w:rPr>
          <w:sz w:val="22"/>
        </w:rPr>
        <w:t>.本项目由</w:t>
      </w:r>
      <w:r>
        <w:rPr>
          <w:sz w:val="22"/>
        </w:rPr>
        <w:t>入围供应商</w:t>
      </w:r>
      <w:r>
        <w:rPr>
          <w:sz w:val="22"/>
        </w:rPr>
        <w:t>负责</w:t>
      </w:r>
      <w:r>
        <w:rPr>
          <w:sz w:val="22"/>
        </w:rPr>
        <w:t>招标文件</w:t>
      </w:r>
      <w:r>
        <w:rPr>
          <w:sz w:val="22"/>
        </w:rPr>
        <w:t>对</w:t>
      </w:r>
      <w:r>
        <w:rPr>
          <w:sz w:val="22"/>
        </w:rPr>
        <w:t>入围供应商</w:t>
      </w:r>
      <w:r>
        <w:rPr>
          <w:sz w:val="22"/>
        </w:rPr>
        <w:t>要求的一切事宜及责任。投标报价中不得包含</w:t>
      </w:r>
      <w:r>
        <w:rPr>
          <w:sz w:val="22"/>
        </w:rPr>
        <w:t>招标文件</w:t>
      </w:r>
      <w:r>
        <w:rPr>
          <w:sz w:val="22"/>
        </w:rPr>
        <w:t>要求以外的内容，否则，在评标时不予核减；若投标报价有缺漏项的，缺漏项部分的价格视为已包含在投标报价中，</w:t>
      </w:r>
      <w:r>
        <w:rPr>
          <w:sz w:val="22"/>
        </w:rPr>
        <w:t>成交</w:t>
      </w:r>
      <w:r>
        <w:rPr>
          <w:sz w:val="22"/>
        </w:rPr>
        <w:t>后不作任何调整，</w:t>
      </w:r>
      <w:r>
        <w:rPr>
          <w:sz w:val="22"/>
        </w:rPr>
        <w:t>征集人</w:t>
      </w:r>
      <w:r>
        <w:rPr>
          <w:sz w:val="22"/>
        </w:rPr>
        <w:t>将不再支付任何费用。</w:t>
      </w:r>
    </w:p>
    <w:p>
      <w:pPr>
        <w:pStyle w:val="null3"/>
        <w:ind w:firstLine="440"/>
        <w:jc w:val="left"/>
      </w:pPr>
      <w:r>
        <w:rPr>
          <w:sz w:val="22"/>
        </w:rPr>
        <w:t>7.特别说明：因系统设置限制无法修改，招标文件中“采购人（</w:t>
      </w:r>
      <w:r>
        <w:rPr>
          <w:sz w:val="22"/>
        </w:rPr>
        <w:t>中山市残疾人联合会</w:t>
      </w:r>
      <w:r>
        <w:rPr>
          <w:sz w:val="22"/>
        </w:rPr>
        <w:t>）</w:t>
      </w:r>
      <w:r>
        <w:rPr>
          <w:sz w:val="22"/>
        </w:rPr>
        <w:t>”指“征集人”，“</w:t>
      </w:r>
      <w:r>
        <w:rPr>
          <w:sz w:val="21"/>
        </w:rPr>
        <w:t>中标人（中标供应商）</w:t>
      </w:r>
      <w:r>
        <w:rPr>
          <w:sz w:val="22"/>
        </w:rPr>
        <w:t>”指“入围供应商”。</w:t>
      </w:r>
    </w:p>
    <w:p>
      <w:pPr>
        <w:pStyle w:val="null3"/>
      </w:pPr>
    </w:p>
    <w:p>
      <w:pPr>
        <w:pStyle w:val="null3"/>
      </w:pPr>
      <w:r>
        <w:rPr/>
        <w:t>采购包1（0-6岁残疾儿童医疗康复救助项目）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自合同约定生效之日起至2025年3月31日。结算金额累计达到采购包预算金额或服务期满（以先到者为准），委托合同终止。</w:t>
            </w:r>
          </w:p>
        </w:tc>
      </w:tr>
      <w:tr>
        <w:tc>
          <w:tcPr>
            <w:tcW w:type="dxa" w:w="4153"/>
          </w:tcPr>
          <w:p>
            <w:pPr>
              <w:pStyle w:val="null3"/>
            </w:pPr>
            <w:r>
              <w:rPr/>
              <w:t>标的提供的地点</w:t>
            </w:r>
          </w:p>
        </w:tc>
        <w:tc>
          <w:tcPr>
            <w:tcW w:type="dxa" w:w="4153"/>
          </w:tcPr>
          <w:p>
            <w:pPr>
              <w:pStyle w:val="null3"/>
            </w:pPr>
          </w:p>
          <w:p>
            <w:pPr>
              <w:pStyle w:val="null3"/>
            </w:pPr>
            <w:r>
              <w:rPr/>
              <w:t>中山市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征集人每月按照中山市残疾儿童康复救助的相关规定，根据实际服务情况向入围供应商支付相应补助费用，入围供应商应向征集人提供真实的、合法的发票。如果入围供应商提供的发票证实为虚假发票或与税务局数据不符的，征集人有权拒付票面金额，征集人已付款的，入围供应商应退回。由于发票原因造成的一切损失由入围供应商承担。 2.如因非征集人原因导致的当期结算费用未能准时到账，具体支付时间由双方共同协商解决。</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1期：（1）档案管理。检查服务对象的申请资料、评估内容、跟踪随访等体现服务过程及内容的资料是否齐全。 （2）服务质量。按照一定比例对服务对象进行抽查，对入围供应商提供的预约时效、机构环境、服务态度等服务满意程度进行评分，综合评价服务质量。</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报价要求，1.本项目投标报价不参与价格评审。因系统限制原因，投标人须在投标客户端投标填报“投标一览表”、“分项报价表”，投标报价、单价、总价可按照采购需求中规定的分项单价和汇总单价上限价填报。成交后以招标文件中的补助标准（分项单价上限价）作为结算依据。（分项单价和汇总单价上限价详见“具体技术(参数)要求”） 2.投标人在投标文件里对星号条款进行无偏离响应即视为其对本项目补助标准无异议。 3.投标人投标报价应包括本服务项目相关的所有成本、费用、相关税费和合理利润等（以人民币为结算单位）。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康复服务</w:t>
            </w:r>
          </w:p>
        </w:tc>
        <w:tc>
          <w:tcPr>
            <w:tcW w:type="dxa" w:w="933"/>
          </w:tcPr>
          <w:p>
            <w:pPr>
              <w:pStyle w:val="null3"/>
              <w:jc w:val="left"/>
            </w:pPr>
            <w:r>
              <w:rPr/>
              <w:t>0-6岁残疾儿童医疗康复救助项目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0-6岁残疾儿童医疗康复救助项目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2"/>
              </w:rPr>
              <w:t>一、康复服务内容</w:t>
            </w:r>
          </w:p>
          <w:p>
            <w:pPr>
              <w:pStyle w:val="null3"/>
              <w:ind w:firstLine="480"/>
              <w:jc w:val="both"/>
            </w:pPr>
            <w:r>
              <w:rPr>
                <w:sz w:val="22"/>
              </w:rPr>
              <w:t>1</w:t>
            </w:r>
            <w:r>
              <w:rPr>
                <w:sz w:val="22"/>
              </w:rPr>
              <w:t>.</w:t>
            </w:r>
            <w:r>
              <w:rPr>
                <w:sz w:val="22"/>
              </w:rPr>
              <w:t>服务对象</w:t>
            </w:r>
            <w:r>
              <w:rPr>
                <w:sz w:val="22"/>
              </w:rPr>
              <w:t>：</w:t>
            </w:r>
          </w:p>
          <w:p>
            <w:pPr>
              <w:pStyle w:val="null3"/>
              <w:ind w:firstLine="440"/>
              <w:jc w:val="both"/>
            </w:pPr>
            <w:r>
              <w:rPr>
                <w:sz w:val="22"/>
              </w:rPr>
              <w:t>按照中山市残疾儿童康复救助申报程序审批合格的</w:t>
            </w:r>
            <w:r>
              <w:rPr>
                <w:sz w:val="22"/>
              </w:rPr>
              <w:t>0-6岁的听力言语</w:t>
            </w:r>
            <w:r>
              <w:rPr>
                <w:sz w:val="22"/>
              </w:rPr>
              <w:t>残疾</w:t>
            </w:r>
            <w:r>
              <w:rPr>
                <w:sz w:val="22"/>
              </w:rPr>
              <w:t>、肢体（脑瘫）</w:t>
            </w:r>
            <w:r>
              <w:rPr>
                <w:sz w:val="22"/>
              </w:rPr>
              <w:t>残疾</w:t>
            </w:r>
            <w:r>
              <w:rPr>
                <w:sz w:val="22"/>
              </w:rPr>
              <w:t>、智力</w:t>
            </w:r>
            <w:r>
              <w:rPr>
                <w:sz w:val="22"/>
              </w:rPr>
              <w:t>残疾</w:t>
            </w:r>
            <w:r>
              <w:rPr>
                <w:sz w:val="22"/>
              </w:rPr>
              <w:t>和孤独症残疾儿童。</w:t>
            </w:r>
          </w:p>
          <w:p>
            <w:pPr>
              <w:pStyle w:val="null3"/>
              <w:ind w:firstLine="480"/>
              <w:jc w:val="both"/>
            </w:pPr>
            <w:r>
              <w:rPr>
                <w:sz w:val="22"/>
              </w:rPr>
              <w:t>2.</w:t>
            </w:r>
            <w:r>
              <w:rPr>
                <w:sz w:val="22"/>
              </w:rPr>
              <w:t>康复服务主要内容</w:t>
            </w:r>
            <w:r>
              <w:rPr>
                <w:sz w:val="22"/>
              </w:rPr>
              <w:t>：</w:t>
            </w:r>
          </w:p>
          <w:p>
            <w:pPr>
              <w:pStyle w:val="null3"/>
              <w:ind w:firstLine="420"/>
              <w:jc w:val="both"/>
            </w:pPr>
            <w:r>
              <w:rPr>
                <w:sz w:val="22"/>
              </w:rPr>
              <w:t>为</w:t>
            </w:r>
            <w:r>
              <w:rPr>
                <w:sz w:val="22"/>
              </w:rPr>
              <w:t>中山市户籍</w:t>
            </w:r>
            <w:r>
              <w:rPr>
                <w:sz w:val="22"/>
              </w:rPr>
              <w:t>0-6岁听力言语残疾儿童康复服务、肢体（脑瘫）残疾儿童康复服务、智力残疾儿童康复服务和孤独症儿童</w:t>
            </w:r>
            <w:r>
              <w:rPr>
                <w:sz w:val="22"/>
              </w:rPr>
              <w:t>提供</w:t>
            </w:r>
            <w:r>
              <w:rPr>
                <w:sz w:val="22"/>
              </w:rPr>
              <w:t>康复服务。</w:t>
            </w:r>
          </w:p>
          <w:p>
            <w:pPr>
              <w:pStyle w:val="null3"/>
              <w:ind w:firstLine="480"/>
              <w:jc w:val="both"/>
            </w:pPr>
            <w:r>
              <w:rPr>
                <w:sz w:val="22"/>
              </w:rPr>
              <w:t>3.</w:t>
            </w:r>
            <w:r>
              <w:rPr>
                <w:sz w:val="22"/>
              </w:rPr>
              <w:t>人员配置</w:t>
            </w:r>
            <w:r>
              <w:rPr>
                <w:sz w:val="22"/>
              </w:rPr>
              <w:t>：</w:t>
            </w:r>
          </w:p>
          <w:p>
            <w:pPr>
              <w:pStyle w:val="null3"/>
              <w:ind w:firstLine="420"/>
              <w:jc w:val="both"/>
            </w:pPr>
            <w:r>
              <w:rPr>
                <w:sz w:val="22"/>
              </w:rPr>
              <w:t>（</w:t>
            </w:r>
            <w:r>
              <w:rPr>
                <w:sz w:val="22"/>
              </w:rPr>
              <w:t>1）配</w:t>
            </w:r>
            <w:r>
              <w:rPr>
                <w:sz w:val="22"/>
              </w:rPr>
              <w:t>备</w:t>
            </w:r>
            <w:r>
              <w:rPr>
                <w:sz w:val="22"/>
              </w:rPr>
              <w:t>开展相关业务的康复类专业人员或执业医师及一定数量的工作人员。</w:t>
            </w:r>
          </w:p>
          <w:p>
            <w:pPr>
              <w:pStyle w:val="null3"/>
              <w:ind w:firstLine="420"/>
              <w:jc w:val="both"/>
            </w:pPr>
            <w:r>
              <w:rPr>
                <w:sz w:val="22"/>
              </w:rPr>
              <w:t>（</w:t>
            </w:r>
            <w:r>
              <w:rPr>
                <w:sz w:val="22"/>
              </w:rPr>
              <w:t>2）配备康复医师、康复治疗师、康复工程师、康复教师、社工等</w:t>
            </w:r>
            <w:r>
              <w:rPr>
                <w:sz w:val="22"/>
              </w:rPr>
              <w:t>相关人员</w:t>
            </w:r>
            <w:r>
              <w:rPr>
                <w:sz w:val="22"/>
              </w:rPr>
              <w:t>。</w:t>
            </w:r>
          </w:p>
          <w:p>
            <w:pPr>
              <w:pStyle w:val="null3"/>
              <w:ind w:firstLine="420"/>
              <w:jc w:val="both"/>
            </w:pPr>
            <w:r>
              <w:rPr>
                <w:sz w:val="22"/>
              </w:rPr>
              <w:t>（</w:t>
            </w:r>
            <w:r>
              <w:rPr>
                <w:sz w:val="22"/>
              </w:rPr>
              <w:t>3）康复服务负责人及相关人员</w:t>
            </w:r>
            <w:r>
              <w:rPr>
                <w:sz w:val="22"/>
              </w:rPr>
              <w:t>需</w:t>
            </w:r>
            <w:r>
              <w:rPr>
                <w:sz w:val="22"/>
              </w:rPr>
              <w:t>熟悉</w:t>
            </w:r>
            <w:r>
              <w:rPr>
                <w:sz w:val="22"/>
              </w:rPr>
              <w:t>中山市</w:t>
            </w:r>
            <w:r>
              <w:rPr>
                <w:sz w:val="22"/>
              </w:rPr>
              <w:t>精准康复服务行动的有关</w:t>
            </w:r>
            <w:r>
              <w:rPr>
                <w:sz w:val="22"/>
              </w:rPr>
              <w:t>0-6岁残疾儿童康复救助规定与基本操作，熟悉残疾儿童康复</w:t>
            </w:r>
            <w:r>
              <w:rPr>
                <w:sz w:val="22"/>
              </w:rPr>
              <w:t>救助</w:t>
            </w:r>
            <w:r>
              <w:rPr>
                <w:sz w:val="22"/>
              </w:rPr>
              <w:t>的相关法规政策。</w:t>
            </w:r>
          </w:p>
          <w:p>
            <w:pPr>
              <w:pStyle w:val="null3"/>
              <w:ind w:firstLine="480"/>
              <w:jc w:val="both"/>
            </w:pPr>
            <w:r>
              <w:rPr>
                <w:sz w:val="22"/>
              </w:rPr>
              <w:t>4.</w:t>
            </w:r>
            <w:r>
              <w:rPr>
                <w:sz w:val="22"/>
              </w:rPr>
              <w:t>场地要求</w:t>
            </w:r>
            <w:r>
              <w:rPr>
                <w:sz w:val="22"/>
              </w:rPr>
              <w:t>：</w:t>
            </w:r>
          </w:p>
          <w:p>
            <w:pPr>
              <w:pStyle w:val="null3"/>
              <w:ind w:firstLine="420"/>
              <w:jc w:val="both"/>
            </w:pPr>
            <w:r>
              <w:rPr>
                <w:sz w:val="22"/>
              </w:rPr>
              <w:t>（</w:t>
            </w:r>
            <w:r>
              <w:rPr>
                <w:sz w:val="22"/>
              </w:rPr>
              <w:t>1）机构建设应符合国家、省、市的有关标准要求</w:t>
            </w:r>
            <w:r>
              <w:rPr>
                <w:sz w:val="22"/>
              </w:rPr>
              <w:t>。</w:t>
            </w:r>
          </w:p>
          <w:p>
            <w:pPr>
              <w:pStyle w:val="null3"/>
              <w:ind w:firstLine="420"/>
              <w:jc w:val="both"/>
            </w:pPr>
            <w:r>
              <w:rPr>
                <w:sz w:val="22"/>
              </w:rPr>
              <w:t>（</w:t>
            </w:r>
            <w:r>
              <w:rPr>
                <w:sz w:val="22"/>
              </w:rPr>
              <w:t>2</w:t>
            </w:r>
            <w:r>
              <w:rPr>
                <w:sz w:val="22"/>
              </w:rPr>
              <w:t>）康复机构</w:t>
            </w:r>
            <w:r>
              <w:rPr>
                <w:sz w:val="22"/>
              </w:rPr>
              <w:t>设置在安全区域内，</w:t>
            </w:r>
            <w:r>
              <w:rPr>
                <w:sz w:val="22"/>
              </w:rPr>
              <w:t>远离</w:t>
            </w:r>
            <w:r>
              <w:rPr>
                <w:sz w:val="22"/>
              </w:rPr>
              <w:t>地处污染区、噪声区和危险区。服务场所应符合无障碍环境要求，并符合安全、消防、卫生、环境保护等国家</w:t>
            </w:r>
            <w:r>
              <w:rPr>
                <w:sz w:val="22"/>
              </w:rPr>
              <w:t>现行</w:t>
            </w:r>
            <w:r>
              <w:rPr>
                <w:sz w:val="22"/>
              </w:rPr>
              <w:t>有关法规和标准要求。建筑设计应符合下列要求：</w:t>
            </w:r>
          </w:p>
          <w:p>
            <w:pPr>
              <w:pStyle w:val="null3"/>
              <w:ind w:firstLine="400"/>
              <w:jc w:val="both"/>
            </w:pPr>
            <w:r>
              <w:rPr>
                <w:sz w:val="22"/>
              </w:rPr>
              <w:t>①</w:t>
            </w:r>
            <w:r>
              <w:rPr>
                <w:sz w:val="22"/>
              </w:rPr>
              <w:t>体现</w:t>
            </w:r>
            <w:r>
              <w:rPr>
                <w:sz w:val="22"/>
              </w:rPr>
              <w:t>无障碍设计：门道有斜坡、能过轮椅；</w:t>
            </w:r>
          </w:p>
          <w:p>
            <w:pPr>
              <w:pStyle w:val="null3"/>
              <w:ind w:firstLine="400"/>
              <w:jc w:val="both"/>
            </w:pPr>
            <w:r>
              <w:rPr>
                <w:sz w:val="22"/>
              </w:rPr>
              <w:t>②</w:t>
            </w:r>
            <w:r>
              <w:rPr>
                <w:sz w:val="22"/>
              </w:rPr>
              <w:t>有</w:t>
            </w:r>
            <w:r>
              <w:rPr>
                <w:sz w:val="22"/>
              </w:rPr>
              <w:t>安全防护设计：地面防滑，过道、厕所有扶手；</w:t>
            </w:r>
          </w:p>
          <w:p>
            <w:pPr>
              <w:pStyle w:val="null3"/>
              <w:ind w:firstLine="400"/>
              <w:jc w:val="both"/>
            </w:pPr>
            <w:r>
              <w:rPr>
                <w:sz w:val="22"/>
              </w:rPr>
              <w:t>③地、墙、天顶设计便于管线安装、维修及设备固定；</w:t>
            </w:r>
          </w:p>
          <w:p>
            <w:pPr>
              <w:pStyle w:val="null3"/>
              <w:ind w:firstLine="400"/>
              <w:jc w:val="both"/>
            </w:pPr>
            <w:r>
              <w:rPr>
                <w:sz w:val="22"/>
              </w:rPr>
              <w:t>④通风</w:t>
            </w:r>
            <w:r>
              <w:rPr>
                <w:sz w:val="22"/>
              </w:rPr>
              <w:t>性</w:t>
            </w:r>
            <w:r>
              <w:rPr>
                <w:sz w:val="22"/>
              </w:rPr>
              <w:t>良好，有温度、湿度调节装置；</w:t>
            </w:r>
          </w:p>
          <w:p>
            <w:pPr>
              <w:pStyle w:val="null3"/>
              <w:ind w:firstLine="400"/>
              <w:jc w:val="both"/>
            </w:pPr>
            <w:r>
              <w:rPr>
                <w:sz w:val="22"/>
              </w:rPr>
              <w:t>⑤室内色彩、装饰符合残疾人心理。</w:t>
            </w:r>
          </w:p>
          <w:p>
            <w:pPr>
              <w:pStyle w:val="null3"/>
              <w:ind w:firstLine="420"/>
              <w:jc w:val="both"/>
            </w:pPr>
            <w:r>
              <w:rPr>
                <w:sz w:val="22"/>
              </w:rPr>
              <w:t>（</w:t>
            </w:r>
            <w:r>
              <w:rPr>
                <w:sz w:val="22"/>
              </w:rPr>
              <w:t>3）</w:t>
            </w:r>
            <w:r>
              <w:rPr>
                <w:sz w:val="22"/>
              </w:rPr>
              <w:t>康复机构的场地使用面积应符合《广东省残疾人康复服务定点机构管理办法》</w:t>
            </w:r>
            <w:r>
              <w:rPr>
                <w:sz w:val="22"/>
              </w:rPr>
              <w:t>服务</w:t>
            </w:r>
            <w:r>
              <w:rPr>
                <w:sz w:val="22"/>
              </w:rPr>
              <w:t>场所</w:t>
            </w:r>
            <w:r>
              <w:rPr>
                <w:sz w:val="22"/>
              </w:rPr>
              <w:t>设置</w:t>
            </w:r>
            <w:r>
              <w:rPr>
                <w:sz w:val="22"/>
              </w:rPr>
              <w:t>要求。</w:t>
            </w:r>
          </w:p>
          <w:p>
            <w:pPr>
              <w:pStyle w:val="null3"/>
              <w:ind w:firstLine="480"/>
              <w:jc w:val="both"/>
            </w:pPr>
            <w:r>
              <w:rPr>
                <w:sz w:val="22"/>
              </w:rPr>
              <w:t>5.</w:t>
            </w:r>
            <w:r>
              <w:rPr>
                <w:sz w:val="22"/>
              </w:rPr>
              <w:t>基本设备</w:t>
            </w:r>
            <w:r>
              <w:rPr>
                <w:sz w:val="22"/>
              </w:rPr>
              <w:t>：</w:t>
            </w:r>
          </w:p>
          <w:p>
            <w:pPr>
              <w:pStyle w:val="null3"/>
              <w:ind w:firstLine="420"/>
              <w:jc w:val="both"/>
            </w:pPr>
            <w:r>
              <w:rPr>
                <w:sz w:val="22"/>
              </w:rPr>
              <w:t>根据国家及行业有关规定开展业务需要配置的设备。</w:t>
            </w:r>
          </w:p>
          <w:p>
            <w:pPr>
              <w:pStyle w:val="null3"/>
              <w:ind w:firstLine="480"/>
              <w:jc w:val="both"/>
            </w:pPr>
            <w:r>
              <w:rPr>
                <w:sz w:val="22"/>
              </w:rPr>
              <w:t>6.</w:t>
            </w:r>
            <w:r>
              <w:rPr>
                <w:sz w:val="22"/>
              </w:rPr>
              <w:t>业务开展</w:t>
            </w:r>
            <w:r>
              <w:rPr>
                <w:sz w:val="22"/>
              </w:rPr>
              <w:t>：</w:t>
            </w:r>
          </w:p>
          <w:p>
            <w:pPr>
              <w:pStyle w:val="null3"/>
              <w:ind w:firstLine="420"/>
              <w:jc w:val="both"/>
            </w:pPr>
            <w:r>
              <w:rPr>
                <w:sz w:val="22"/>
              </w:rPr>
              <w:t>（</w:t>
            </w:r>
            <w:r>
              <w:rPr>
                <w:sz w:val="22"/>
              </w:rPr>
              <w:t>1）项目齐全。根据广东省残疾人精准康复服务行动的要求，按照《广东省残疾人基本康复服务目录》或中山市制定的服务目录规定的服务内容和标准，开展相关服务项目。</w:t>
            </w:r>
          </w:p>
          <w:p>
            <w:pPr>
              <w:pStyle w:val="null3"/>
              <w:ind w:firstLine="420"/>
              <w:jc w:val="both"/>
            </w:pPr>
            <w:r>
              <w:rPr>
                <w:sz w:val="22"/>
              </w:rPr>
              <w:t>（</w:t>
            </w:r>
            <w:r>
              <w:rPr>
                <w:sz w:val="22"/>
              </w:rPr>
              <w:t>2）管理规范。制定明确的运营管理规范，包括：接收、转诊审批制度，举报投诉管理制度，服务内容、服务流程、员工岗位职责、考核、培训等相关管理制度，严格</w:t>
            </w:r>
            <w:r>
              <w:rPr>
                <w:sz w:val="22"/>
              </w:rPr>
              <w:t>按照管理制度</w:t>
            </w:r>
            <w:r>
              <w:rPr>
                <w:sz w:val="22"/>
              </w:rPr>
              <w:t>执行，管理规范。</w:t>
            </w:r>
          </w:p>
          <w:p>
            <w:pPr>
              <w:pStyle w:val="null3"/>
              <w:ind w:firstLine="420"/>
              <w:jc w:val="both"/>
            </w:pPr>
            <w:r>
              <w:rPr>
                <w:sz w:val="22"/>
              </w:rPr>
              <w:t>（</w:t>
            </w:r>
            <w:r>
              <w:rPr>
                <w:sz w:val="22"/>
              </w:rPr>
              <w:t>3）服务规范。制定明确的服务管理规范，包括：管理制度、财务管理制度、质量控制制度、岗位责任制度、回访制度等相关管理制度，明确康复服务工作流程和操作规范。</w:t>
            </w:r>
          </w:p>
          <w:p>
            <w:pPr>
              <w:pStyle w:val="null3"/>
              <w:ind w:right="-270" w:firstLine="480"/>
              <w:jc w:val="both"/>
            </w:pPr>
            <w:r>
              <w:rPr>
                <w:sz w:val="22"/>
              </w:rPr>
              <w:t>7.</w:t>
            </w:r>
            <w:r>
              <w:rPr>
                <w:sz w:val="22"/>
              </w:rPr>
              <w:t>档案管理</w:t>
            </w:r>
            <w:r>
              <w:rPr>
                <w:sz w:val="22"/>
              </w:rPr>
              <w:t>：</w:t>
            </w:r>
          </w:p>
          <w:p>
            <w:pPr>
              <w:pStyle w:val="null3"/>
              <w:ind w:firstLine="420"/>
              <w:jc w:val="both"/>
            </w:pPr>
            <w:r>
              <w:rPr>
                <w:sz w:val="22"/>
              </w:rPr>
              <w:t>建立残疾人康复服务档案管理制度，配备必要的管理人员，配置符合要求的计算机信息管理系统，为接受康复服务的残疾人建档立卡，并及时准确将相关服务信息录入到有关残疾人康复服务信息管理系统。</w:t>
            </w:r>
          </w:p>
          <w:p>
            <w:pPr>
              <w:pStyle w:val="null3"/>
              <w:ind w:firstLine="480"/>
              <w:jc w:val="both"/>
            </w:pPr>
            <w:r>
              <w:rPr>
                <w:sz w:val="22"/>
              </w:rPr>
              <w:t>二、质量监控</w:t>
            </w:r>
            <w:r>
              <w:rPr>
                <w:sz w:val="22"/>
              </w:rPr>
              <w:t>要求</w:t>
            </w:r>
          </w:p>
          <w:p>
            <w:pPr>
              <w:pStyle w:val="null3"/>
              <w:ind w:firstLine="480"/>
              <w:jc w:val="both"/>
            </w:pPr>
            <w:r>
              <w:rPr>
                <w:sz w:val="22"/>
              </w:rPr>
              <w:t xml:space="preserve">   儿童康复建档率</w:t>
            </w:r>
            <w:r>
              <w:rPr>
                <w:sz w:val="22"/>
              </w:rPr>
              <w:t>100%；儿童康复评估率100%；家长对儿童康复训练的满意率≥85%；无重大责任事故发生。</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b/>
                <w:sz w:val="22"/>
              </w:rPr>
              <w:t>一、</w:t>
            </w:r>
            <w:r>
              <w:rPr>
                <w:b/>
                <w:sz w:val="22"/>
              </w:rPr>
              <w:t>分项单价上限</w:t>
            </w:r>
            <w:r>
              <w:rPr>
                <w:b/>
                <w:sz w:val="22"/>
              </w:rPr>
              <w:t>价</w:t>
            </w:r>
            <w:r>
              <w:rPr>
                <w:b/>
                <w:sz w:val="22"/>
              </w:rPr>
              <w:t>和汇总单价上限</w:t>
            </w:r>
            <w:r>
              <w:rPr>
                <w:b/>
                <w:sz w:val="22"/>
              </w:rPr>
              <w:t>价</w:t>
            </w:r>
            <w:r>
              <w:rPr>
                <w:b/>
                <w:sz w:val="22"/>
              </w:rPr>
              <w:t>：</w:t>
            </w:r>
          </w:p>
          <w:tbl>
            <w:tblPr>
              <w:tblInd w:type="dxa" w:w="120"/>
              <w:tblBorders>
                <w:top w:val="none" w:color="000000" w:sz="4"/>
                <w:left w:val="none" w:color="000000" w:sz="4"/>
                <w:bottom w:val="none" w:color="000000" w:sz="4"/>
                <w:right w:val="none" w:color="000000" w:sz="4"/>
                <w:insideH w:val="none"/>
                <w:insideV w:val="none"/>
              </w:tblBorders>
            </w:tblPr>
            <w:tblGrid>
              <w:gridCol w:w="956"/>
              <w:gridCol w:w="1902"/>
              <w:gridCol w:w="1010"/>
              <w:gridCol w:w="1717"/>
            </w:tblGrid>
            <w:tr>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b/>
                      <w:color w:val="000000"/>
                      <w:sz w:val="22"/>
                      <w:shd w:fill="F39C12" w:val="clear"/>
                    </w:rPr>
                    <w:t>残疾类别</w:t>
                  </w:r>
                </w:p>
              </w:tc>
              <w:tc>
                <w:tcPr>
                  <w:tcW w:type="dxa" w:w="1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补助条件</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康复训练</w:t>
                  </w:r>
                </w:p>
                <w:p>
                  <w:pPr>
                    <w:pStyle w:val="null3"/>
                    <w:ind w:firstLine="380"/>
                    <w:jc w:val="center"/>
                  </w:pPr>
                  <w:r>
                    <w:rPr>
                      <w:b/>
                      <w:color w:val="000000"/>
                      <w:sz w:val="22"/>
                      <w:shd w:fill="F39C12" w:val="clear"/>
                    </w:rPr>
                    <w:t>形式</w:t>
                  </w:r>
                </w:p>
              </w:tc>
              <w:tc>
                <w:tcPr>
                  <w:tcW w:type="dxa" w:w="1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补助标准</w:t>
                  </w:r>
                </w:p>
                <w:p>
                  <w:pPr>
                    <w:pStyle w:val="null3"/>
                    <w:ind w:firstLine="380"/>
                    <w:jc w:val="left"/>
                  </w:pPr>
                  <w:r>
                    <w:rPr>
                      <w:b/>
                      <w:color w:val="000000"/>
                      <w:sz w:val="22"/>
                      <w:shd w:fill="F39C12" w:val="clear"/>
                    </w:rPr>
                    <w:t>（</w:t>
                  </w:r>
                  <w:r>
                    <w:rPr>
                      <w:b/>
                      <w:sz w:val="22"/>
                      <w:shd w:fill="F39C12" w:val="clear"/>
                    </w:rPr>
                    <w:t>分项单价上限</w:t>
                  </w:r>
                  <w:r>
                    <w:rPr>
                      <w:b/>
                      <w:sz w:val="22"/>
                      <w:shd w:fill="F39C12" w:val="clear"/>
                    </w:rPr>
                    <w:t>价</w:t>
                  </w:r>
                  <w:r>
                    <w:rPr>
                      <w:b/>
                      <w:color w:val="000000"/>
                      <w:sz w:val="22"/>
                      <w:shd w:fill="F39C12" w:val="clear"/>
                    </w:rPr>
                    <w:t>）</w:t>
                  </w:r>
                </w:p>
              </w:tc>
            </w:tr>
            <w:tr>
              <w:tc>
                <w:tcPr>
                  <w:tcW w:type="dxa" w:w="9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听力残疾</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一、二级或困难残疾儿童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三、四级非困难残疾儿童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1200元/人/月</w:t>
                  </w:r>
                </w:p>
              </w:tc>
            </w:tr>
            <w:tr>
              <w:tc>
                <w:tcPr>
                  <w:tcW w:type="dxa" w:w="9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言语残疾</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一、二级或困难残疾儿童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三、四级非困难残疾儿童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1200元/人/月</w:t>
                  </w:r>
                </w:p>
              </w:tc>
            </w:tr>
            <w:tr>
              <w:tc>
                <w:tcPr>
                  <w:tcW w:type="dxa" w:w="9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肢体残疾</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一、二级或困难残疾儿童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三、四级非困难残疾儿童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1200元/人/月</w:t>
                  </w:r>
                </w:p>
              </w:tc>
            </w:tr>
            <w:tr>
              <w:tc>
                <w:tcPr>
                  <w:tcW w:type="dxa" w:w="9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智力残疾</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一、二级或困难残疾儿童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三、四级非困难残疾儿童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1200元/人/月</w:t>
                  </w:r>
                </w:p>
              </w:tc>
            </w:tr>
            <w:tr>
              <w:tc>
                <w:tcPr>
                  <w:tcW w:type="dxa" w:w="9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孤独症儿童</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一、二级或困难残疾儿童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1500元/人/月</w:t>
                  </w:r>
                </w:p>
              </w:tc>
            </w:tr>
            <w:tr>
              <w:tc>
                <w:tcPr>
                  <w:tcW w:type="dxa" w:w="956"/>
                  <w:vMerge/>
                  <w:tcBorders>
                    <w:top w:val="none" w:color="000000" w:sz="4"/>
                    <w:left w:val="single" w:color="000000" w:sz="4"/>
                    <w:bottom w:val="single" w:color="000000" w:sz="4"/>
                    <w:right w:val="single" w:color="000000" w:sz="4"/>
                  </w:tcBorders>
                </w:tcP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三、四级非困难残疾儿童</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非全日制</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1200元/人/月</w:t>
                  </w:r>
                </w:p>
              </w:tc>
            </w:tr>
            <w:tr>
              <w:tc>
                <w:tcPr>
                  <w:tcW w:type="dxa" w:w="386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汇总单价上限</w:t>
                  </w:r>
                </w:p>
              </w:tc>
              <w:tc>
                <w:tcPr>
                  <w:tcW w:type="dxa" w:w="1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2"/>
                      <w:shd w:fill="F39C12" w:val="clear"/>
                    </w:rPr>
                    <w:t>13500</w:t>
                  </w:r>
                  <w:r>
                    <w:rPr>
                      <w:b/>
                      <w:color w:val="000000"/>
                      <w:sz w:val="22"/>
                      <w:shd w:fill="F39C12" w:val="clear"/>
                    </w:rPr>
                    <w:t>元/人/月</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中山市残疾人联合会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7家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7家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采购包1：9家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采购机构代理服务收费标准：定额收取3000元，由征集人支付。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ind w:firstLine="480"/>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ind w:firstLine="480"/>
              <w:jc w:val="left"/>
            </w:pPr>
            <w:r>
              <w:rPr/>
              <w:t>三、采购标的对应的中小企业划分标准所属行业，其他未列明行业。</w:t>
            </w:r>
          </w:p>
          <w:p>
            <w:pPr>
              <w:pStyle w:val="null3"/>
              <w:ind w:firstLine="480"/>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 银行中山分行普 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p>
            <w:pPr>
              <w:pStyle w:val="null3"/>
              <w:ind w:firstLine="480"/>
              <w:jc w:val="left"/>
            </w:pPr>
            <w:r>
              <w:rPr/>
              <w:t>五、补充说明，由于系统设置原因，招标文件关于中标供应商确定方式的内容无法修改，本项目依照《政府采购框架协议采购方式管理暂行办法》实施采购确定第一阶段入围供应商。</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(0-6岁残疾儿童医疗康复救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投标人须具有中山市残疾人定点康复机构资格（提供相关证明文件）。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本采购包不属于专门面向中小企业采购项目。</w:t>
            </w:r>
          </w:p>
        </w:tc>
      </w:tr>
    </w:tbl>
    <w:p>
      <w:pPr>
        <w:pStyle w:val="null3"/>
        <w:ind w:firstLine="480"/>
      </w:pPr>
      <w:r>
        <w:rPr/>
        <w:t>表二符合性审查表：</w:t>
      </w:r>
    </w:p>
    <w:p>
      <w:pPr>
        <w:pStyle w:val="null3"/>
      </w:pP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采购包1(0-6岁残疾儿童医疗康复救助项目):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商务部分57.0分</w:t>
            </w:r>
          </w:p>
          <w:p>
            <w:pPr>
              <w:pStyle w:val="null3"/>
            </w:pPr>
            <w:r>
              <w:rPr/>
              <w:t>技术部分43.0分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项目总体情况的理解程度和响应情况 (8.0分)</w:t>
            </w:r>
            <w:r>
              <w:rPr/>
              <w:t>，（等次分值选择：</w:t>
            </w:r>
            <w:r>
              <w:rPr/>
              <w:t>0.0;</w:t>
            </w:r>
            <w:r>
              <w:rPr/>
              <w:t>2.0;</w:t>
            </w:r>
            <w:r>
              <w:rPr/>
              <w:t>4.0;</w:t>
            </w:r>
            <w:r>
              <w:rPr/>
              <w:t>6.0;</w:t>
            </w:r>
            <w:r>
              <w:rPr/>
              <w:t>8.0;</w:t>
            </w:r>
            <w:r>
              <w:rPr/>
              <w:t>）</w:t>
            </w:r>
          </w:p>
        </w:tc>
        <w:tc>
          <w:tcPr>
            <w:tcW w:type="dxa" w:w="5076"/>
          </w:tcPr>
          <w:p>
            <w:pPr>
              <w:pStyle w:val="null3"/>
              <w:jc w:val="left"/>
            </w:pPr>
            <w:r>
              <w:rPr/>
              <w:t>根据投标人对项目总体情况的理解程度和响应情况进行评审： （1）对项目的总体情况理解深刻，需求响应优于本采购包的采购需求，得8分；   （2）对项目的总体情况理解清晰，需求响应满足本采购包的采购需求, 得6分；  （3）对项目总体情况理解片面，需求响应有1-3项负偏离但基本能满足本采购包的采购需求，得4分；  （4）对项目总体情况不太理解或需求响应有4项及以上负偏离，只能部分满足本采购包的采购需求，得2分；  （5）未提供相关内容，得0分。</w:t>
            </w:r>
          </w:p>
        </w:tc>
      </w:tr>
      <w:tr>
        <w:tc>
          <w:tcPr>
            <w:tcW w:type="dxa" w:w="922"/>
            <w:gridSpan w:val="2"/>
            <w:vMerge/>
          </w:tcPr>
          <w:p/>
        </w:tc>
        <w:tc>
          <w:tcPr>
            <w:tcW w:type="dxa" w:w="2307"/>
          </w:tcPr>
          <w:p>
            <w:pPr>
              <w:pStyle w:val="null3"/>
              <w:jc w:val="left"/>
            </w:pPr>
            <w:r>
              <w:rPr/>
              <w:t>康复服务方案 (10.0分)</w:t>
            </w:r>
            <w:r>
              <w:rPr/>
              <w:t>，（等次分值选择：</w:t>
            </w:r>
            <w:r>
              <w:rPr/>
              <w:t>0.0;</w:t>
            </w:r>
            <w:r>
              <w:rPr/>
              <w:t>1.0;</w:t>
            </w:r>
            <w:r>
              <w:rPr/>
              <w:t>4.0;</w:t>
            </w:r>
            <w:r>
              <w:rPr/>
              <w:t>7.0;</w:t>
            </w:r>
            <w:r>
              <w:rPr/>
              <w:t>10.0;</w:t>
            </w:r>
            <w:r>
              <w:rPr/>
              <w:t>）</w:t>
            </w:r>
          </w:p>
        </w:tc>
        <w:tc>
          <w:tcPr>
            <w:tcW w:type="dxa" w:w="5076"/>
          </w:tcPr>
          <w:p>
            <w:pPr>
              <w:pStyle w:val="null3"/>
              <w:jc w:val="left"/>
            </w:pPr>
            <w:r>
              <w:rPr/>
              <w:t>根据投标人提供的康复服务方案进行评审： （1）方案内容完整全面，且切合实际，具有很强的针对性、合理性、可行性，思路清晰，完全符合采购人的需求，得10分；  （2）方案内容比较完整全面，且比较切合实际，具有一定的针对性、合理性、可行性，思路较清晰，较符合采购人的需求，得7分；  （3）方案内容不够详细、全面，部分内容切合实际，针对性、合理性、可行性一般，思路基本清晰，基本符合采购人的需求，得4分；  （4）方案内容不全面，内容不切合实际，针对性、合理性、可行性差，思路不清晰，不太符合采购人的需求，得1分；   （5）未提供康复服务方案，得0分。</w:t>
            </w:r>
          </w:p>
        </w:tc>
      </w:tr>
      <w:tr>
        <w:tc>
          <w:tcPr>
            <w:tcW w:type="dxa" w:w="922"/>
            <w:gridSpan w:val="2"/>
            <w:vMerge/>
          </w:tcPr>
          <w:p/>
        </w:tc>
        <w:tc>
          <w:tcPr>
            <w:tcW w:type="dxa" w:w="2307"/>
          </w:tcPr>
          <w:p>
            <w:pPr>
              <w:pStyle w:val="null3"/>
              <w:jc w:val="left"/>
            </w:pPr>
            <w:r>
              <w:rPr/>
              <w:t>人员管理方案 (8.0分)</w:t>
            </w:r>
            <w:r>
              <w:rPr/>
              <w:t>，（等次分值选择：</w:t>
            </w:r>
            <w:r>
              <w:rPr/>
              <w:t>0.0;</w:t>
            </w:r>
            <w:r>
              <w:rPr/>
              <w:t>2.0;</w:t>
            </w:r>
            <w:r>
              <w:rPr/>
              <w:t>4.0;</w:t>
            </w:r>
            <w:r>
              <w:rPr/>
              <w:t>6.0;</w:t>
            </w:r>
            <w:r>
              <w:rPr/>
              <w:t>8.0;</w:t>
            </w:r>
            <w:r>
              <w:rPr/>
              <w:t>）</w:t>
            </w:r>
          </w:p>
        </w:tc>
        <w:tc>
          <w:tcPr>
            <w:tcW w:type="dxa" w:w="5076"/>
          </w:tcPr>
          <w:p>
            <w:pPr>
              <w:pStyle w:val="null3"/>
              <w:jc w:val="left"/>
            </w:pPr>
            <w:r>
              <w:rPr/>
              <w:t>根据投标人提供的人员管理方案进行评审：（包括但不限于：人员招聘、人员培训、人员储备、人员激励、人员考核、人员管理规范等）  （1）方案内容完整全面，且切合实际，具有很强的针对性、合理性、可行性，得8分；   （2）方案内容比较完整全面，且比较切合实际，具有一定的针对性、合理性、可行性，得6分；  （3）方案内容不够详细、全面，部分内容切合实际，针对性、合理性、可行性一般，得4分；  （4）方案内容不全面，内容不切合实际，针对性、合理性、可行性差，得2分；  （5）未提供人员管理方案，得0分。</w:t>
            </w:r>
          </w:p>
        </w:tc>
      </w:tr>
      <w:tr>
        <w:tc>
          <w:tcPr>
            <w:tcW w:type="dxa" w:w="922"/>
            <w:gridSpan w:val="2"/>
            <w:vMerge/>
          </w:tcPr>
          <w:p/>
        </w:tc>
        <w:tc>
          <w:tcPr>
            <w:tcW w:type="dxa" w:w="2307"/>
          </w:tcPr>
          <w:p>
            <w:pPr>
              <w:pStyle w:val="null3"/>
              <w:jc w:val="left"/>
            </w:pPr>
            <w:r>
              <w:rPr/>
              <w:t>规章管理制度 (7.0分)</w:t>
            </w:r>
            <w:r>
              <w:rPr/>
              <w:t>，（等次分值选择：</w:t>
            </w:r>
            <w:r>
              <w:rPr/>
              <w:t>0.0;</w:t>
            </w:r>
            <w:r>
              <w:rPr/>
              <w:t>1.0;</w:t>
            </w:r>
            <w:r>
              <w:rPr/>
              <w:t>3.0;</w:t>
            </w:r>
            <w:r>
              <w:rPr/>
              <w:t>5.0;</w:t>
            </w:r>
            <w:r>
              <w:rPr/>
              <w:t>7.0;</w:t>
            </w:r>
            <w:r>
              <w:rPr/>
              <w:t>）</w:t>
            </w:r>
          </w:p>
        </w:tc>
        <w:tc>
          <w:tcPr>
            <w:tcW w:type="dxa" w:w="5076"/>
          </w:tcPr>
          <w:p>
            <w:pPr>
              <w:pStyle w:val="null3"/>
              <w:jc w:val="left"/>
            </w:pPr>
            <w:r>
              <w:rPr/>
              <w:t>根据投标人提供的规章管理制度进行评审：（包括但不限于内部管理架构、运营管理制度、服务管理制度、档案管理报送制度等）：  （1）管理制度健全、合理，可行性强，充分符合采购人的需求，能有效保障本项目实施的，得7分；  （2）管理制度较健全、合理，可行性较强，较符合采购人的需求，能保障本项目实施的，得5分； （3）管理制度不太健全，合理性、可行性一般，基本符合采购人的需求，基本保障本项目实施的，得3分； （4）管理制度粗略、不详细，可行性差，不太符合采购人的需求，不太能保障本项目实施的，得1分； （5）未提供规章管理制度，得0分。</w:t>
            </w:r>
          </w:p>
        </w:tc>
      </w:tr>
      <w:tr>
        <w:tc>
          <w:tcPr>
            <w:tcW w:type="dxa" w:w="922"/>
            <w:gridSpan w:val="2"/>
            <w:vMerge/>
          </w:tcPr>
          <w:p/>
        </w:tc>
        <w:tc>
          <w:tcPr>
            <w:tcW w:type="dxa" w:w="2307"/>
          </w:tcPr>
          <w:p>
            <w:pPr>
              <w:pStyle w:val="null3"/>
              <w:jc w:val="left"/>
            </w:pPr>
            <w:r>
              <w:rPr/>
              <w:t>应急响应能力 (10.0分)</w:t>
            </w:r>
            <w:r>
              <w:rPr/>
              <w:t>，（等次分值选择：</w:t>
            </w:r>
            <w:r>
              <w:rPr/>
              <w:t>0.0;</w:t>
            </w:r>
            <w:r>
              <w:rPr/>
              <w:t>1.0;</w:t>
            </w:r>
            <w:r>
              <w:rPr/>
              <w:t>4.0;</w:t>
            </w:r>
            <w:r>
              <w:rPr/>
              <w:t>7.0;</w:t>
            </w:r>
            <w:r>
              <w:rPr/>
              <w:t>10.0;</w:t>
            </w:r>
            <w:r>
              <w:rPr/>
              <w:t>）</w:t>
            </w:r>
          </w:p>
        </w:tc>
        <w:tc>
          <w:tcPr>
            <w:tcW w:type="dxa" w:w="5076"/>
          </w:tcPr>
          <w:p>
            <w:pPr>
              <w:pStyle w:val="null3"/>
              <w:jc w:val="left"/>
            </w:pPr>
            <w:r>
              <w:rPr/>
              <w:t>根据投标人提供本项目应急响应能力方案，是否能为本项目提供突发事件、应急处理、项目实施情况等优质服务进行评审：  （1）服务响应方案全面，服务便利性好，响应迅速，可行性高，得10分；  （2）服务响应方案较全面，服务便利性较好，响应较迅速，可行性较高，得7分；  （3）服务响应方案一般，服务便利性一般，响应一般，可行性一般，得4分；  （4）服务响应方案差，服务便利性差，响应差，可行性差，得1分；  （5）未提供应急响应能力，得0分。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(3.0分)</w:t>
            </w:r>
          </w:p>
        </w:tc>
        <w:tc>
          <w:tcPr>
            <w:tcW w:type="dxa" w:w="5076"/>
          </w:tcPr>
          <w:p>
            <w:pPr>
              <w:pStyle w:val="null3"/>
              <w:jc w:val="left"/>
            </w:pPr>
            <w:r>
              <w:rPr/>
              <w:t>根据投标人对采购包1的采购需求中“主要商务要求”所有小点（星号条款除外）的响应程度：  （1）每无偏离一项得0.3分，本项最高得3分。  （2）没有响应，得0分。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  2021年1月1日以来（以合同（协议）签订日期或合同（协议）约定生效日期或合同履约期限为准）投标人承接的同类项目业绩，每提供一个项目业绩得2分，最高得10分。   注：（1）按招标文件格式填写《投标人业绩情况表》并提供加盖投标人公章的业绩合同（协议）关键页复印件（《投标人业绩情况表》里客户名称、项目名称及合同（协议）金额为必填项； （2）合同（协议）关键页内容必须清晰阐明项目名称、双方单位名称、合同（协议）签订时间或合同（协议）约定生效日期或履约期限、合同（协议）履行主要内容）； （3）未按要求提供材料或所提供资料模糊不清的，得0分。</w:t>
            </w:r>
          </w:p>
        </w:tc>
      </w:tr>
      <w:tr>
        <w:tc>
          <w:tcPr>
            <w:tcW w:type="dxa" w:w="922"/>
            <w:gridSpan w:val="2"/>
            <w:vMerge/>
          </w:tcPr>
          <w:p/>
        </w:tc>
        <w:tc>
          <w:tcPr>
            <w:tcW w:type="dxa" w:w="2307"/>
          </w:tcPr>
          <w:p>
            <w:pPr>
              <w:pStyle w:val="null3"/>
              <w:jc w:val="left"/>
            </w:pPr>
            <w:r>
              <w:rPr/>
              <w:t>拟投入人员情况 (20.0分)</w:t>
            </w:r>
          </w:p>
        </w:tc>
        <w:tc>
          <w:tcPr>
            <w:tcW w:type="dxa" w:w="5076"/>
          </w:tcPr>
          <w:p>
            <w:pPr>
              <w:pStyle w:val="null3"/>
              <w:jc w:val="left"/>
            </w:pPr>
            <w:r>
              <w:rPr/>
              <w:t>根据投标人提供的拟投入本项目人员情况进行评审： （1）拟投入康复类专业人员（含执业医师、社工、具有教师资格证或接受过省级及以上相关康复系统培训的专业人员），每提供1人得2分，本项最高得16分； （2）拟投入下列4项①听力言语残疾儿童康复服务、②肢体（脑瘫）残疾儿童康复服务、③智力残疾儿童康复服务、④孤独症儿童康复服务具备大专或以上学历的管理人员，每项提供一人得1分，人员不得重复，本项最高得4分。  注：1.投标文件须同时提供：①上述人员相关证书复印件并加盖投标人公章，否则不得分；②上述人员投标截止时间前12个月内投标人为其购买任意一个月的参保证明复印件并加盖投标人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vMerge/>
          </w:tcPr>
          <w:p/>
        </w:tc>
        <w:tc>
          <w:tcPr>
            <w:tcW w:type="dxa" w:w="2307"/>
          </w:tcPr>
          <w:p>
            <w:pPr>
              <w:pStyle w:val="null3"/>
              <w:jc w:val="left"/>
            </w:pPr>
            <w:r>
              <w:rPr/>
              <w:t>设备配置 (16.0分)</w:t>
            </w:r>
          </w:p>
        </w:tc>
        <w:tc>
          <w:tcPr>
            <w:tcW w:type="dxa" w:w="5076"/>
          </w:tcPr>
          <w:p>
            <w:pPr>
              <w:pStyle w:val="null3"/>
              <w:jc w:val="left"/>
            </w:pPr>
            <w:r>
              <w:rPr/>
              <w:t>每提供以下一类开展康复服务配备的设备得4分，最高得16分。 （1）运动治疗设备； （2）理疗设备； （3）心理诊疗设备； （4）康复评定设备。 注：1.投标文件须同时提供：①设备图片并加盖投标人公章；②设备如为自有的，还须提供采购发票或采购合同复印件并加盖投标人公章；设备如为租赁的，须提供租赁合同（协议）复印件并加盖投标人公章。2.未提供或材料提供不全不得分。</w:t>
            </w:r>
          </w:p>
        </w:tc>
      </w:tr>
      <w:tr>
        <w:tc>
          <w:tcPr>
            <w:tcW w:type="dxa" w:w="922"/>
            <w:gridSpan w:val="2"/>
            <w:vMerge/>
          </w:tcPr>
          <w:p/>
        </w:tc>
        <w:tc>
          <w:tcPr>
            <w:tcW w:type="dxa" w:w="2307"/>
          </w:tcPr>
          <w:p>
            <w:pPr>
              <w:pStyle w:val="null3"/>
              <w:jc w:val="left"/>
            </w:pPr>
            <w:r>
              <w:rPr/>
              <w:t>服务场所设置 (8.0分)</w:t>
            </w:r>
          </w:p>
        </w:tc>
        <w:tc>
          <w:tcPr>
            <w:tcW w:type="dxa" w:w="5076"/>
          </w:tcPr>
          <w:p>
            <w:pPr>
              <w:pStyle w:val="null3"/>
              <w:jc w:val="left"/>
            </w:pPr>
            <w:r>
              <w:rPr/>
              <w:t>服务场所设置同时满足以下要求，得8分， （1）集体训练室至少1间，每间不少于20㎡； （2）个别训练室至少2间，每间不少于8㎡； （3）功能训练室至少2间，每间不少于30㎡； （4）有可利用的户外活动场所。 注：1.投标文件须同时提供：①场所图片及文字说明；②场地如为自有的，还须提供产权证明复印件并加盖投标人公章；场地如为租赁的，须提供租赁合同（协议）复印件并加盖投标人公章。 2.服务场所设置不符合要求或材料提供不齐全的，不得分。</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按照评标程序、评分标准以及权重分配的规定，评标委员会各成员分别首先就各个投标人的技术商务状况及其对招标文件要求的响应情况进行质量综合评分，评出其技术商务评分。各评委的技术商务评分的算术平均值即为该投标人的技术商务得分。4.2.评标结果按评审后的综合得分由高到低顺序排列。综合得分相同的按技术得分由高到低顺序排列。技术得分相同的按商务得分由高到低顺序排列，技术和商务得分均相同的，由评委会采取随机抽取的方式确定。综合得分最高的投标人为第一中标候选人，综合得分次高的投标人为第二、第三中标人候选人....以此类推。入围供应商无正当理由，不得主动放弃入围资格或者退出框架协议。</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ind w:firstLine="480"/>
        <w:jc w:val="center"/>
      </w:pPr>
      <w:r>
        <w:rPr>
          <w:sz w:val="21"/>
        </w:rPr>
        <w:t xml:space="preserve"> </w:t>
      </w:r>
    </w:p>
    <w:p>
      <w:pPr>
        <w:pStyle w:val="null3"/>
        <w:ind w:firstLine="480"/>
        <w:jc w:val="both"/>
      </w:pPr>
      <w:r>
        <w:rPr>
          <w:sz w:val="21"/>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center"/>
      </w:pPr>
      <w:r>
        <w:rPr>
          <w:b/>
          <w:sz w:val="21"/>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36"/>
        </w:rPr>
        <w:t>广东省政府采购</w:t>
      </w:r>
    </w:p>
    <w:p>
      <w:pPr>
        <w:pStyle w:val="null3"/>
        <w:ind w:firstLine="480"/>
        <w:jc w:val="both"/>
      </w:pPr>
      <w:r>
        <w:rPr>
          <w:sz w:val="21"/>
        </w:rPr>
        <w:t xml:space="preserve"> </w:t>
      </w:r>
    </w:p>
    <w:p>
      <w:pPr>
        <w:pStyle w:val="null3"/>
        <w:ind w:firstLine="480"/>
        <w:jc w:val="center"/>
      </w:pPr>
      <w:r>
        <w:rPr>
          <w:b/>
          <w:sz w:val="36"/>
        </w:rPr>
        <w:t>合　同　书</w:t>
      </w: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4"/>
        </w:rPr>
        <w:t>(</w:t>
      </w:r>
      <w:r>
        <w:rPr>
          <w:sz w:val="24"/>
        </w:rPr>
        <w:t>本合同范本仅供参考，成交人与</w:t>
      </w:r>
      <w:r>
        <w:rPr>
          <w:sz w:val="24"/>
        </w:rPr>
        <w:t>采购人</w:t>
      </w:r>
      <w:r>
        <w:rPr>
          <w:sz w:val="24"/>
        </w:rPr>
        <w:t>可根据双方的具体要求进行修订，双方所签订的合同不得对</w:t>
      </w:r>
      <w:r>
        <w:rPr>
          <w:sz w:val="24"/>
        </w:rPr>
        <w:t>招标文件</w:t>
      </w:r>
      <w:r>
        <w:rPr>
          <w:sz w:val="24"/>
        </w:rPr>
        <w:t>确定的事项和</w:t>
      </w:r>
      <w:r>
        <w:rPr>
          <w:sz w:val="24"/>
        </w:rPr>
        <w:t>入围供应商投标</w:t>
      </w:r>
      <w:r>
        <w:rPr>
          <w:sz w:val="24"/>
        </w:rPr>
        <w:t>文件作实质性修改。）</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 xml:space="preserve"> </w:t>
      </w:r>
    </w:p>
    <w:p>
      <w:pPr>
        <w:pStyle w:val="null3"/>
        <w:ind w:firstLine="480"/>
        <w:jc w:val="center"/>
      </w:pPr>
    </w:p>
    <w:p>
      <w:pPr>
        <w:pStyle w:val="null3"/>
        <w:ind w:firstLine="2520"/>
        <w:jc w:val="both"/>
      </w:pPr>
      <w:r>
        <w:rPr>
          <w:color w:val="222222"/>
          <w:sz w:val="28"/>
        </w:rPr>
        <w:t>采购计划编号：</w:t>
      </w:r>
      <w:r>
        <w:rPr>
          <w:sz w:val="21"/>
          <w:u w:val="single"/>
        </w:rPr>
        <w:t xml:space="preserve">                          </w:t>
      </w:r>
    </w:p>
    <w:p>
      <w:pPr>
        <w:pStyle w:val="null3"/>
        <w:ind w:firstLine="480"/>
        <w:jc w:val="both"/>
      </w:pPr>
      <w:r>
        <w:rPr>
          <w:sz w:val="21"/>
        </w:rPr>
        <w:t xml:space="preserve"> </w:t>
      </w:r>
    </w:p>
    <w:p>
      <w:pPr>
        <w:pStyle w:val="null3"/>
        <w:ind w:firstLine="2520"/>
        <w:jc w:val="both"/>
      </w:pPr>
      <w:r>
        <w:rPr>
          <w:color w:val="222222"/>
          <w:sz w:val="28"/>
        </w:rPr>
        <w:t>项目编号：</w:t>
      </w:r>
      <w:r>
        <w:rPr>
          <w:sz w:val="21"/>
          <w:u w:val="single"/>
        </w:rPr>
        <w:t xml:space="preserve">                              </w:t>
      </w:r>
    </w:p>
    <w:p>
      <w:pPr>
        <w:pStyle w:val="null3"/>
        <w:ind w:firstLine="480"/>
        <w:jc w:val="both"/>
      </w:pPr>
      <w:r>
        <w:rPr>
          <w:sz w:val="21"/>
        </w:rPr>
        <w:t xml:space="preserve"> </w:t>
      </w:r>
    </w:p>
    <w:p>
      <w:pPr>
        <w:pStyle w:val="null3"/>
        <w:ind w:firstLine="2520"/>
        <w:jc w:val="both"/>
      </w:pPr>
      <w:r>
        <w:rPr>
          <w:color w:val="222222"/>
          <w:sz w:val="28"/>
        </w:rPr>
        <w:t>项目名称：</w:t>
      </w:r>
      <w:r>
        <w:rPr>
          <w:sz w:val="21"/>
          <w:u w:val="single"/>
        </w:rPr>
        <w:t xml:space="preserve">                             </w:t>
      </w:r>
    </w:p>
    <w:p>
      <w:pPr>
        <w:pStyle w:val="null3"/>
        <w:ind w:firstLine="480"/>
        <w:jc w:val="both"/>
      </w:pPr>
      <w:r>
        <w:rPr>
          <w:sz w:val="21"/>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b/>
          <w:sz w:val="24"/>
        </w:rPr>
        <w:t>甲方：</w:t>
      </w:r>
      <w:r>
        <w:rPr>
          <w:sz w:val="21"/>
          <w:u w:val="single"/>
        </w:rPr>
        <w:t xml:space="preserve">          </w:t>
      </w:r>
    </w:p>
    <w:p>
      <w:pPr>
        <w:pStyle w:val="null3"/>
        <w:ind w:firstLine="480"/>
        <w:jc w:val="both"/>
      </w:pPr>
      <w:r>
        <w:rPr>
          <w:color w:val="222222"/>
          <w:sz w:val="24"/>
        </w:rPr>
        <w:t>电话：</w:t>
      </w:r>
      <w:r>
        <w:rPr>
          <w:sz w:val="21"/>
          <w:u w:val="single"/>
        </w:rPr>
        <w:t xml:space="preserve">          </w:t>
      </w:r>
      <w:r>
        <w:rPr>
          <w:color w:val="222222"/>
          <w:sz w:val="24"/>
        </w:rPr>
        <w:t>传真</w:t>
      </w:r>
      <w:r>
        <w:rPr>
          <w:color w:val="222222"/>
          <w:sz w:val="24"/>
        </w:rPr>
        <w:t>：</w:t>
      </w:r>
      <w:r>
        <w:rPr>
          <w:sz w:val="21"/>
          <w:u w:val="single"/>
        </w:rPr>
        <w:t xml:space="preserve">      </w:t>
      </w:r>
      <w:r>
        <w:rPr>
          <w:color w:val="222222"/>
          <w:sz w:val="24"/>
        </w:rPr>
        <w:t>地址：</w:t>
      </w:r>
      <w:r>
        <w:rPr>
          <w:sz w:val="21"/>
          <w:u w:val="single"/>
        </w:rPr>
        <w:t xml:space="preserve">          </w:t>
      </w:r>
    </w:p>
    <w:p>
      <w:pPr>
        <w:pStyle w:val="null3"/>
        <w:ind w:firstLine="480"/>
        <w:jc w:val="both"/>
      </w:pPr>
      <w:r>
        <w:rPr>
          <w:b/>
          <w:sz w:val="24"/>
        </w:rPr>
        <w:t>乙方：</w:t>
      </w:r>
      <w:r>
        <w:rPr>
          <w:sz w:val="21"/>
          <w:u w:val="single"/>
        </w:rPr>
        <w:t xml:space="preserve">          </w:t>
      </w:r>
    </w:p>
    <w:p>
      <w:pPr>
        <w:pStyle w:val="null3"/>
        <w:ind w:firstLine="480"/>
        <w:jc w:val="both"/>
      </w:pPr>
      <w:r>
        <w:rPr>
          <w:color w:val="222222"/>
          <w:sz w:val="24"/>
        </w:rPr>
        <w:t>电话：</w:t>
      </w:r>
      <w:r>
        <w:rPr>
          <w:sz w:val="21"/>
          <w:u w:val="single"/>
        </w:rPr>
        <w:t xml:space="preserve">          </w:t>
      </w:r>
      <w:r>
        <w:rPr>
          <w:color w:val="222222"/>
          <w:sz w:val="24"/>
        </w:rPr>
        <w:t>传真：</w:t>
      </w:r>
      <w:r>
        <w:rPr>
          <w:sz w:val="21"/>
          <w:u w:val="single"/>
        </w:rPr>
        <w:t xml:space="preserve">          </w:t>
      </w:r>
      <w:r>
        <w:rPr>
          <w:color w:val="222222"/>
          <w:sz w:val="24"/>
        </w:rPr>
        <w:t>地址：</w:t>
      </w:r>
      <w:r>
        <w:rPr>
          <w:sz w:val="21"/>
          <w:u w:val="single"/>
        </w:rPr>
        <w:t xml:space="preserve">          </w:t>
      </w:r>
      <w:r>
        <w:rPr>
          <w:sz w:val="21"/>
        </w:rPr>
        <w:t xml:space="preserve">  </w:t>
      </w:r>
    </w:p>
    <w:p>
      <w:pPr>
        <w:pStyle w:val="null3"/>
        <w:ind w:firstLine="480"/>
        <w:jc w:val="both"/>
      </w:pPr>
      <w:r>
        <w:rPr>
          <w:sz w:val="21"/>
        </w:rPr>
        <w:t xml:space="preserve"> </w:t>
      </w:r>
    </w:p>
    <w:p>
      <w:pPr>
        <w:pStyle w:val="null3"/>
        <w:ind w:firstLine="480"/>
        <w:jc w:val="both"/>
      </w:pPr>
      <w:r>
        <w:rPr>
          <w:color w:val="222222"/>
          <w:sz w:val="24"/>
        </w:rPr>
        <w:t xml:space="preserve">  </w:t>
      </w:r>
      <w:r>
        <w:rPr>
          <w:color w:val="222222"/>
          <w:sz w:val="24"/>
        </w:rPr>
        <w:t>根据</w:t>
      </w:r>
      <w:r>
        <w:rPr>
          <w:sz w:val="24"/>
          <w:u w:val="single"/>
        </w:rPr>
        <w:t xml:space="preserve">         </w:t>
      </w:r>
      <w:r>
        <w:rPr>
          <w:sz w:val="24"/>
          <w:u w:val="single"/>
        </w:rPr>
        <w:t>项目</w:t>
      </w:r>
      <w:r>
        <w:rPr>
          <w:color w:val="222222"/>
          <w:sz w:val="24"/>
        </w:rPr>
        <w:t>的采购结果，按照《中华人民共和国政府采购法》，《中华人民共和国民法典</w:t>
      </w:r>
      <w:r>
        <w:rPr>
          <w:color w:val="222222"/>
          <w:sz w:val="24"/>
        </w:rPr>
        <w:t>(合同编)》的规定，经双方协商，本着平等互利和诚实信用的原则，一致同意遵守本合同如下。</w:t>
      </w:r>
    </w:p>
    <w:p>
      <w:pPr>
        <w:pStyle w:val="null3"/>
        <w:ind w:firstLine="480"/>
        <w:jc w:val="both"/>
      </w:pPr>
      <w:r>
        <w:rPr>
          <w:b/>
          <w:sz w:val="24"/>
        </w:rPr>
        <w:t>一、合同金额</w:t>
      </w:r>
    </w:p>
    <w:p>
      <w:pPr>
        <w:pStyle w:val="null3"/>
        <w:ind w:firstLine="480"/>
        <w:jc w:val="both"/>
      </w:pPr>
      <w:r>
        <w:rPr>
          <w:color w:val="222222"/>
          <w:sz w:val="24"/>
        </w:rPr>
        <w:t>　　合同金额为（大写）：</w:t>
      </w:r>
      <w:r>
        <w:rPr>
          <w:color w:val="222222"/>
          <w:sz w:val="24"/>
        </w:rPr>
        <w:t>_____________元（￥_________元）人民币。</w:t>
      </w:r>
    </w:p>
    <w:p>
      <w:pPr>
        <w:pStyle w:val="null3"/>
        <w:ind w:firstLine="480"/>
        <w:jc w:val="both"/>
      </w:pPr>
      <w:r>
        <w:rPr>
          <w:b/>
          <w:sz w:val="24"/>
        </w:rPr>
        <w:t>二、服务范围</w:t>
      </w:r>
    </w:p>
    <w:p>
      <w:pPr>
        <w:pStyle w:val="null3"/>
        <w:ind w:firstLine="480"/>
        <w:jc w:val="both"/>
      </w:pPr>
      <w:r>
        <w:rPr>
          <w:color w:val="222222"/>
          <w:sz w:val="24"/>
        </w:rPr>
        <w:t>　　甲方聘请乙方提供以下服务：</w:t>
      </w:r>
    </w:p>
    <w:p>
      <w:pPr>
        <w:pStyle w:val="null3"/>
        <w:ind w:firstLine="480"/>
        <w:jc w:val="both"/>
      </w:pPr>
      <w:r>
        <w:rPr>
          <w:color w:val="222222"/>
          <w:sz w:val="24"/>
        </w:rPr>
        <w:t>1．</w:t>
      </w:r>
      <w:r>
        <w:rPr>
          <w:color w:val="222222"/>
          <w:sz w:val="24"/>
        </w:rPr>
        <w:t>。</w:t>
      </w:r>
    </w:p>
    <w:p>
      <w:pPr>
        <w:pStyle w:val="null3"/>
        <w:ind w:firstLine="480"/>
        <w:jc w:val="both"/>
      </w:pPr>
      <w:r>
        <w:rPr>
          <w:color w:val="222222"/>
          <w:sz w:val="24"/>
        </w:rPr>
        <w:t>2．</w:t>
      </w:r>
    </w:p>
    <w:p>
      <w:pPr>
        <w:pStyle w:val="null3"/>
        <w:ind w:firstLine="480"/>
        <w:jc w:val="both"/>
      </w:pPr>
      <w:r>
        <w:rPr>
          <w:color w:val="222222"/>
          <w:sz w:val="24"/>
        </w:rPr>
        <w:t>……</w:t>
      </w:r>
    </w:p>
    <w:p>
      <w:pPr>
        <w:pStyle w:val="null3"/>
        <w:ind w:firstLine="480"/>
        <w:jc w:val="both"/>
      </w:pPr>
      <w:r>
        <w:rPr>
          <w:b/>
          <w:sz w:val="24"/>
        </w:rPr>
        <w:t>三、甲方乙方的权利和义务</w:t>
      </w:r>
    </w:p>
    <w:p>
      <w:pPr>
        <w:pStyle w:val="null3"/>
        <w:ind w:firstLine="480"/>
        <w:jc w:val="both"/>
      </w:pPr>
      <w:r>
        <w:rPr>
          <w:color w:val="222222"/>
          <w:sz w:val="24"/>
        </w:rPr>
        <w:t>1.甲方的权利和义务</w:t>
      </w:r>
    </w:p>
    <w:p>
      <w:pPr>
        <w:pStyle w:val="null3"/>
        <w:ind w:firstLine="480"/>
        <w:jc w:val="both"/>
      </w:pPr>
      <w:r>
        <w:rPr>
          <w:color w:val="222222"/>
          <w:sz w:val="24"/>
        </w:rPr>
        <w:t>2.乙方的权利和义务</w:t>
      </w:r>
    </w:p>
    <w:p>
      <w:pPr>
        <w:pStyle w:val="null3"/>
        <w:ind w:firstLine="480"/>
        <w:jc w:val="both"/>
      </w:pPr>
      <w:r>
        <w:rPr>
          <w:b/>
          <w:sz w:val="24"/>
        </w:rPr>
        <w:t>四、服务期间（项目完成期限）</w:t>
      </w:r>
    </w:p>
    <w:p>
      <w:pPr>
        <w:pStyle w:val="null3"/>
        <w:ind w:firstLine="480"/>
        <w:jc w:val="both"/>
      </w:pPr>
      <w:r>
        <w:rPr>
          <w:color w:val="222222"/>
          <w:sz w:val="24"/>
        </w:rPr>
        <w:t>1.委托服务期间自______年______月至______年______月止。</w:t>
      </w:r>
    </w:p>
    <w:p>
      <w:pPr>
        <w:pStyle w:val="null3"/>
        <w:ind w:firstLine="480"/>
        <w:jc w:val="both"/>
      </w:pPr>
      <w:r>
        <w:rPr>
          <w:b/>
          <w:sz w:val="24"/>
        </w:rPr>
        <w:t>五、付款方式</w:t>
      </w:r>
    </w:p>
    <w:p>
      <w:pPr>
        <w:pStyle w:val="null3"/>
        <w:ind w:firstLine="540"/>
        <w:jc w:val="both"/>
      </w:pPr>
      <w:r>
        <w:rPr>
          <w:color w:val="222222"/>
          <w:sz w:val="24"/>
        </w:rPr>
        <w:t>1、</w:t>
      </w:r>
      <w:r>
        <w:rPr>
          <w:color w:val="222222"/>
          <w:sz w:val="24"/>
        </w:rPr>
        <w:t>甲方</w:t>
      </w:r>
      <w:r>
        <w:rPr>
          <w:color w:val="222222"/>
          <w:sz w:val="24"/>
        </w:rPr>
        <w:t>每月按照</w:t>
      </w:r>
      <w:r>
        <w:rPr>
          <w:color w:val="222222"/>
          <w:sz w:val="24"/>
        </w:rPr>
        <w:t>相关</w:t>
      </w:r>
      <w:r>
        <w:rPr>
          <w:color w:val="222222"/>
          <w:sz w:val="24"/>
        </w:rPr>
        <w:t>补助标准及相关规定根据实际服务情况向</w:t>
      </w:r>
      <w:r>
        <w:rPr>
          <w:color w:val="222222"/>
          <w:sz w:val="24"/>
        </w:rPr>
        <w:t>乙方</w:t>
      </w:r>
      <w:r>
        <w:rPr>
          <w:color w:val="222222"/>
          <w:sz w:val="24"/>
        </w:rPr>
        <w:t>支付相应资助费用，</w:t>
      </w:r>
      <w:r>
        <w:rPr>
          <w:color w:val="222222"/>
          <w:sz w:val="24"/>
        </w:rPr>
        <w:t>乙方</w:t>
      </w:r>
      <w:r>
        <w:rPr>
          <w:color w:val="222222"/>
          <w:sz w:val="24"/>
        </w:rPr>
        <w:t>应向</w:t>
      </w:r>
      <w:r>
        <w:rPr>
          <w:color w:val="222222"/>
          <w:sz w:val="24"/>
        </w:rPr>
        <w:t>甲方</w:t>
      </w:r>
      <w:r>
        <w:rPr>
          <w:color w:val="222222"/>
          <w:sz w:val="24"/>
        </w:rPr>
        <w:t>提供真实的、合法的发票。如果</w:t>
      </w:r>
      <w:r>
        <w:rPr>
          <w:color w:val="222222"/>
          <w:sz w:val="24"/>
        </w:rPr>
        <w:t>乙方</w:t>
      </w:r>
      <w:r>
        <w:rPr>
          <w:color w:val="222222"/>
          <w:sz w:val="24"/>
        </w:rPr>
        <w:t>提供的发票证实为虚假发票或与税务局数据不符的，</w:t>
      </w:r>
      <w:r>
        <w:rPr>
          <w:color w:val="222222"/>
          <w:sz w:val="24"/>
        </w:rPr>
        <w:t>甲方</w:t>
      </w:r>
      <w:r>
        <w:rPr>
          <w:color w:val="222222"/>
          <w:sz w:val="24"/>
        </w:rPr>
        <w:t>有权拒付票面金额，</w:t>
      </w:r>
      <w:r>
        <w:rPr>
          <w:color w:val="222222"/>
          <w:sz w:val="24"/>
        </w:rPr>
        <w:t>甲方</w:t>
      </w:r>
      <w:r>
        <w:rPr>
          <w:color w:val="222222"/>
          <w:sz w:val="24"/>
        </w:rPr>
        <w:t>已付款的，</w:t>
      </w:r>
      <w:r>
        <w:rPr>
          <w:color w:val="222222"/>
          <w:sz w:val="24"/>
        </w:rPr>
        <w:t>乙方</w:t>
      </w:r>
      <w:r>
        <w:rPr>
          <w:color w:val="222222"/>
          <w:sz w:val="24"/>
        </w:rPr>
        <w:t>应退回。由于发票原因造成的一切损失由</w:t>
      </w:r>
      <w:r>
        <w:rPr>
          <w:color w:val="222222"/>
          <w:sz w:val="24"/>
        </w:rPr>
        <w:t>乙方</w:t>
      </w:r>
      <w:r>
        <w:rPr>
          <w:color w:val="222222"/>
          <w:sz w:val="24"/>
        </w:rPr>
        <w:t>承担。</w:t>
      </w:r>
      <w:r>
        <w:rPr>
          <w:color w:val="222222"/>
          <w:sz w:val="24"/>
        </w:rPr>
        <w:t>2、如因非</w:t>
      </w:r>
      <w:r>
        <w:rPr>
          <w:color w:val="222222"/>
          <w:sz w:val="24"/>
        </w:rPr>
        <w:t>甲方</w:t>
      </w:r>
      <w:r>
        <w:rPr>
          <w:color w:val="222222"/>
          <w:sz w:val="24"/>
        </w:rPr>
        <w:t>原因导致的当期服务费未能准时到账，具体支付时间由双方共同协商解决。</w:t>
      </w:r>
    </w:p>
    <w:p>
      <w:pPr>
        <w:pStyle w:val="null3"/>
        <w:ind w:firstLine="540"/>
        <w:jc w:val="both"/>
      </w:pPr>
      <w:r>
        <w:rPr>
          <w:b/>
          <w:sz w:val="24"/>
        </w:rPr>
        <w:t>六、知识产权归属</w:t>
      </w:r>
    </w:p>
    <w:p>
      <w:pPr>
        <w:pStyle w:val="null3"/>
        <w:ind w:firstLine="480"/>
        <w:jc w:val="both"/>
      </w:pPr>
      <w:r>
        <w:rPr>
          <w:b/>
          <w:sz w:val="24"/>
        </w:rPr>
        <w:t>七、保密</w:t>
      </w:r>
    </w:p>
    <w:p>
      <w:pPr>
        <w:pStyle w:val="null3"/>
        <w:ind w:firstLine="480"/>
        <w:jc w:val="both"/>
      </w:pPr>
      <w:r>
        <w:rPr>
          <w:b/>
          <w:sz w:val="24"/>
        </w:rPr>
        <w:t>八、违约责任与赔偿损失</w:t>
      </w:r>
    </w:p>
    <w:p>
      <w:pPr>
        <w:pStyle w:val="null3"/>
        <w:ind w:firstLine="480"/>
        <w:jc w:val="both"/>
      </w:pPr>
      <w:r>
        <w:rPr>
          <w:color w:val="222222"/>
          <w:sz w:val="24"/>
        </w:rPr>
        <w:t>1.乙方提供的服务不符合本合同规定的，甲方有权拒收，并且乙方须向甲方方支付本合同总价5%的违约金。</w:t>
      </w:r>
    </w:p>
    <w:p>
      <w:pPr>
        <w:pStyle w:val="null3"/>
        <w:ind w:firstLine="480"/>
        <w:jc w:val="both"/>
      </w:pPr>
      <w:r>
        <w:rPr>
          <w:color w:val="222222"/>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color w:val="222222"/>
          <w:sz w:val="24"/>
        </w:rPr>
        <w:t>3.甲方无正当理由拒收接受服务，到期拒付服务款项的，甲方向乙方偿付本合同总的5%的违约金。甲方逾期付款，则每日按本合同总价的3‰向乙方偿付违约金。</w:t>
      </w:r>
    </w:p>
    <w:p>
      <w:pPr>
        <w:pStyle w:val="null3"/>
        <w:ind w:firstLine="480"/>
        <w:jc w:val="both"/>
      </w:pPr>
      <w:r>
        <w:rPr>
          <w:color w:val="222222"/>
          <w:sz w:val="24"/>
        </w:rPr>
        <w:t>4.对于因甲方原因导致变更、中止或者终止政府采购合同的，甲方应当依照以下合同约定对乙方受到的损失予以赔偿或者补偿：</w:t>
      </w:r>
    </w:p>
    <w:p>
      <w:pPr>
        <w:pStyle w:val="null3"/>
        <w:ind w:firstLine="480"/>
        <w:jc w:val="both"/>
      </w:pPr>
      <w:r>
        <w:rPr>
          <w:sz w:val="21"/>
          <w:u w:val="single"/>
        </w:rPr>
        <w:t xml:space="preserve">              </w:t>
      </w:r>
    </w:p>
    <w:p>
      <w:pPr>
        <w:pStyle w:val="null3"/>
        <w:ind w:firstLine="480"/>
        <w:jc w:val="both"/>
      </w:pPr>
      <w:r>
        <w:rPr>
          <w:color w:val="222222"/>
          <w:sz w:val="24"/>
        </w:rPr>
        <w:t>5.其它违约责任按《中华人民共和国民法典(合同编)》处理。</w:t>
      </w:r>
    </w:p>
    <w:p>
      <w:pPr>
        <w:pStyle w:val="null3"/>
        <w:ind w:firstLine="480"/>
        <w:jc w:val="both"/>
      </w:pPr>
      <w:r>
        <w:rPr>
          <w:b/>
          <w:sz w:val="24"/>
        </w:rPr>
        <w:t>九、争议的解决</w:t>
      </w:r>
    </w:p>
    <w:p>
      <w:pPr>
        <w:pStyle w:val="null3"/>
        <w:ind w:firstLine="400"/>
        <w:jc w:val="both"/>
      </w:pPr>
      <w:r>
        <w:rPr>
          <w:color w:val="222222"/>
          <w:sz w:val="24"/>
        </w:rPr>
        <w:t>合同执行过程中发生的任何争议，如双方不能通过友好协商解决，按相关法律法规处理。</w:t>
      </w:r>
      <w:r>
        <w:rPr>
          <w:color w:val="222222"/>
          <w:sz w:val="24"/>
        </w:rPr>
        <w:t xml:space="preserve">    </w:t>
      </w:r>
    </w:p>
    <w:p>
      <w:pPr>
        <w:pStyle w:val="null3"/>
        <w:ind w:firstLine="480"/>
        <w:jc w:val="both"/>
      </w:pPr>
      <w:r>
        <w:rPr>
          <w:b/>
          <w:sz w:val="24"/>
        </w:rPr>
        <w:t>十、不可抗力</w:t>
      </w:r>
    </w:p>
    <w:p>
      <w:pPr>
        <w:pStyle w:val="null3"/>
        <w:ind w:firstLine="480"/>
        <w:jc w:val="both"/>
      </w:pPr>
      <w:r>
        <w:rPr>
          <w:color w:val="222222"/>
          <w:sz w:val="24"/>
        </w:rPr>
        <w:t>　　任何一方由于不可抗力原因不能履行合同时，应在不可抗力事件结束后</w:t>
      </w:r>
      <w:r>
        <w:rPr>
          <w:color w:val="222222"/>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4"/>
        </w:rPr>
        <w:t>十一、税费</w:t>
      </w:r>
    </w:p>
    <w:p>
      <w:pPr>
        <w:pStyle w:val="null3"/>
        <w:ind w:firstLine="480"/>
        <w:jc w:val="both"/>
      </w:pPr>
      <w:r>
        <w:rPr>
          <w:color w:val="222222"/>
          <w:sz w:val="24"/>
        </w:rPr>
        <w:t>　　在中国境内、外发生的与本合同执行有关的一切税费均由乙方负担。</w:t>
      </w:r>
    </w:p>
    <w:p>
      <w:pPr>
        <w:pStyle w:val="null3"/>
        <w:ind w:firstLine="480"/>
        <w:jc w:val="both"/>
      </w:pPr>
      <w:r>
        <w:rPr>
          <w:b/>
          <w:sz w:val="24"/>
        </w:rPr>
        <w:t>十二、其它</w:t>
      </w:r>
    </w:p>
    <w:p>
      <w:pPr>
        <w:pStyle w:val="null3"/>
        <w:ind w:firstLine="480"/>
        <w:jc w:val="both"/>
      </w:pPr>
      <w:r>
        <w:rPr>
          <w:color w:val="222222"/>
          <w:sz w:val="24"/>
        </w:rPr>
        <w:t>1.本合同所有附件、招标文件、投标文件、中标通知书均为合同的有效组成部分，与本合同具有同等法律效力。</w:t>
      </w:r>
    </w:p>
    <w:p>
      <w:pPr>
        <w:pStyle w:val="null3"/>
        <w:ind w:firstLine="480"/>
        <w:jc w:val="both"/>
      </w:pPr>
      <w:r>
        <w:rPr>
          <w:color w:val="222222"/>
          <w:sz w:val="24"/>
        </w:rPr>
        <w:t>2.在执行本合同的过程中，所有经双方签署确认的文件（包括会议纪要、补充协议、往来信函）即成为本合同的有效组成部分。</w:t>
      </w:r>
    </w:p>
    <w:p>
      <w:pPr>
        <w:pStyle w:val="null3"/>
        <w:ind w:firstLine="480"/>
        <w:jc w:val="both"/>
      </w:pPr>
      <w:r>
        <w:rPr>
          <w:color w:val="222222"/>
          <w:sz w:val="24"/>
        </w:rPr>
        <w:t>3.如一方地址、电话、传真号码有变更，应在变更当日内书面通知对方，否则，应承担相应责任。</w:t>
      </w:r>
    </w:p>
    <w:p>
      <w:pPr>
        <w:pStyle w:val="null3"/>
        <w:ind w:firstLine="480"/>
        <w:jc w:val="both"/>
      </w:pPr>
      <w:r>
        <w:rPr>
          <w:color w:val="222222"/>
          <w:sz w:val="24"/>
        </w:rPr>
        <w:t>4.除甲方事先书面同意外，乙方不得部分或全部转让其应履行的合同项下的义务。</w:t>
      </w:r>
    </w:p>
    <w:p>
      <w:pPr>
        <w:pStyle w:val="null3"/>
        <w:ind w:firstLine="480"/>
        <w:jc w:val="both"/>
      </w:pPr>
      <w:r>
        <w:rPr>
          <w:b/>
          <w:sz w:val="24"/>
        </w:rPr>
        <w:t>十三、合同生效</w:t>
      </w:r>
    </w:p>
    <w:p>
      <w:pPr>
        <w:pStyle w:val="null3"/>
        <w:ind w:firstLine="480"/>
        <w:jc w:val="both"/>
      </w:pPr>
      <w:r>
        <w:rPr>
          <w:color w:val="222222"/>
          <w:sz w:val="24"/>
        </w:rPr>
        <w:t>1.本合同在甲乙双方法人代表或其授权代表签字盖章后生效。</w:t>
      </w:r>
    </w:p>
    <w:p>
      <w:pPr>
        <w:pStyle w:val="null3"/>
        <w:ind w:firstLine="480"/>
        <w:jc w:val="both"/>
      </w:pPr>
      <w:r>
        <w:rPr>
          <w:color w:val="222222"/>
          <w:sz w:val="24"/>
        </w:rPr>
        <w:t>2.合同一式</w:t>
      </w:r>
      <w:r>
        <w:rPr>
          <w:sz w:val="21"/>
          <w:u w:val="single"/>
        </w:rPr>
        <w:t xml:space="preserve">   </w:t>
      </w:r>
      <w:r>
        <w:rPr>
          <w:color w:val="222222"/>
          <w:sz w:val="24"/>
        </w:rPr>
        <w:t xml:space="preserve"> </w:t>
      </w:r>
      <w:r>
        <w:rPr>
          <w:color w:val="222222"/>
          <w:sz w:val="24"/>
        </w:rPr>
        <w:t>份，甲方执</w:t>
      </w:r>
      <w:r>
        <w:rPr>
          <w:sz w:val="21"/>
          <w:u w:val="single"/>
        </w:rPr>
        <w:t xml:space="preserve"> </w:t>
      </w:r>
      <w:r>
        <w:rPr>
          <w:color w:val="222222"/>
          <w:sz w:val="24"/>
        </w:rPr>
        <w:t>份，乙方执</w:t>
      </w:r>
      <w:r>
        <w:rPr>
          <w:sz w:val="21"/>
          <w:u w:val="single"/>
        </w:rPr>
        <w:t xml:space="preserve">  </w:t>
      </w:r>
      <w:r>
        <w:rPr>
          <w:color w:val="222222"/>
          <w:sz w:val="24"/>
        </w:rPr>
        <w:t>份，代理机构执</w:t>
      </w:r>
      <w:r>
        <w:rPr>
          <w:color w:val="222222"/>
          <w:sz w:val="24"/>
          <w:u w:val="single"/>
        </w:rPr>
        <w:t>壹</w:t>
      </w:r>
      <w:r>
        <w:rPr>
          <w:color w:val="222222"/>
          <w:sz w:val="24"/>
        </w:rPr>
        <w:t>份。</w:t>
      </w:r>
    </w:p>
    <w:p>
      <w:pPr>
        <w:pStyle w:val="null3"/>
        <w:ind w:firstLine="480"/>
        <w:jc w:val="both"/>
      </w:pPr>
      <w:r>
        <w:rPr>
          <w:sz w:val="21"/>
        </w:rPr>
        <w:t xml:space="preserve"> </w:t>
      </w:r>
    </w:p>
    <w:p>
      <w:pPr>
        <w:pStyle w:val="null3"/>
        <w:ind w:firstLine="480"/>
        <w:jc w:val="both"/>
      </w:pPr>
      <w:r>
        <w:rPr>
          <w:b/>
          <w:sz w:val="24"/>
        </w:rPr>
        <w:t>甲方（盖章）：</w:t>
      </w:r>
      <w:r>
        <w:rPr>
          <w:b/>
          <w:sz w:val="24"/>
        </w:rPr>
        <w:t xml:space="preserve">              </w:t>
      </w:r>
      <w:r>
        <w:rPr>
          <w:b/>
          <w:sz w:val="24"/>
        </w:rPr>
        <w:t>乙方（盖章）：</w:t>
      </w:r>
    </w:p>
    <w:p>
      <w:pPr>
        <w:pStyle w:val="null3"/>
        <w:ind w:firstLine="480"/>
        <w:jc w:val="both"/>
      </w:pPr>
      <w:r>
        <w:rPr>
          <w:b/>
          <w:sz w:val="24"/>
        </w:rPr>
        <w:t>代表：</w:t>
      </w:r>
      <w:r>
        <w:rPr>
          <w:b/>
          <w:sz w:val="24"/>
        </w:rPr>
        <w:t xml:space="preserve">                     </w:t>
      </w:r>
      <w:r>
        <w:rPr>
          <w:b/>
          <w:sz w:val="24"/>
        </w:rPr>
        <w:t>代表：</w:t>
      </w:r>
    </w:p>
    <w:p>
      <w:pPr>
        <w:pStyle w:val="null3"/>
        <w:ind w:firstLine="480"/>
        <w:jc w:val="both"/>
      </w:pPr>
      <w:r>
        <w:rPr>
          <w:color w:val="222222"/>
          <w:sz w:val="24"/>
        </w:rPr>
        <w:t>签订地点：</w:t>
      </w:r>
    </w:p>
    <w:p>
      <w:pPr>
        <w:pStyle w:val="null3"/>
        <w:ind w:firstLine="480"/>
        <w:jc w:val="both"/>
      </w:pPr>
      <w:r>
        <w:rPr>
          <w:color w:val="222222"/>
          <w:sz w:val="24"/>
        </w:rPr>
        <w:t>签订日期：　　　年　　月　　日</w:t>
      </w:r>
      <w:r>
        <w:rPr>
          <w:color w:val="222222"/>
          <w:sz w:val="24"/>
        </w:rPr>
        <w:t>签订日期：　　　年　　月　　日</w:t>
      </w:r>
    </w:p>
    <w:p>
      <w:pPr>
        <w:pStyle w:val="null3"/>
        <w:ind w:firstLine="480"/>
        <w:jc w:val="both"/>
      </w:pPr>
      <w:r>
        <w:rPr>
          <w:color w:val="222222"/>
          <w:sz w:val="24"/>
        </w:rPr>
        <w:t>开户名称：</w:t>
      </w:r>
    </w:p>
    <w:p>
      <w:pPr>
        <w:pStyle w:val="null3"/>
        <w:ind w:firstLine="480"/>
        <w:jc w:val="both"/>
      </w:pPr>
      <w:r>
        <w:rPr>
          <w:color w:val="222222"/>
          <w:sz w:val="24"/>
        </w:rPr>
        <w:t>银行帐号：</w:t>
      </w:r>
    </w:p>
    <w:p>
      <w:pPr>
        <w:pStyle w:val="null3"/>
        <w:ind w:firstLine="480"/>
        <w:jc w:val="both"/>
      </w:pPr>
      <w:r>
        <w:rPr>
          <w:color w:val="222222"/>
          <w:sz w:val="24"/>
        </w:rPr>
        <w:t>开</w:t>
      </w:r>
      <w:r>
        <w:rPr>
          <w:color w:val="222222"/>
          <w:sz w:val="24"/>
        </w:rPr>
        <w:t>户</w:t>
      </w:r>
      <w:r>
        <w:rPr>
          <w:color w:val="222222"/>
          <w:sz w:val="24"/>
        </w:rPr>
        <w:t>行：</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442000-2024-00484</w:t>
      </w:r>
    </w:p>
    <w:p>
      <w:pPr>
        <w:pStyle w:val="null3"/>
        <w:ind w:firstLine="480"/>
        <w:jc w:val="center"/>
        <w:outlineLvl w:val="3"/>
      </w:pPr>
      <w:r>
        <w:rPr>
          <w:b/>
          <w:sz w:val="24"/>
        </w:rPr>
        <w:t>采购项目编号：</w:t>
      </w:r>
      <w:r>
        <w:rPr>
          <w:b/>
          <w:sz w:val="24"/>
        </w:rPr>
        <w:t>442000-2024-00484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智林招标（广东）有限公司</w:t>
      </w:r>
    </w:p>
    <w:p>
      <w:pPr>
        <w:pStyle w:val="null3"/>
        <w:ind w:firstLine="480"/>
      </w:pPr>
      <w:r>
        <w:rPr/>
        <w:t>你方组织的</w:t>
      </w:r>
      <w:r>
        <w:rPr>
          <w:u w:val="single"/>
        </w:rPr>
        <w:t>“</w:t>
      </w:r>
      <w:r>
        <w:rPr>
          <w:u w:val="single"/>
        </w:rPr>
        <w:t>2024年中山市残疾人康复救助服务框架协议采购项目(二次)</w:t>
      </w:r>
      <w:r>
        <w:rPr>
          <w:u w:val="single"/>
        </w:rPr>
        <w:t>”</w:t>
      </w:r>
      <w:r>
        <w:rPr/>
        <w:t>项目的招标[采购项目编号为：</w:t>
      </w:r>
      <w:r>
        <w:rPr>
          <w:u w:val="single"/>
        </w:rPr>
        <w:t>442000-2024-00484</w:t>
      </w:r>
      <w:r>
        <w:rPr/>
        <w:t>]，我方愿参与投标。</w:t>
      </w:r>
    </w:p>
    <w:p>
      <w:pPr>
        <w:pStyle w:val="null3"/>
        <w:ind w:firstLine="480"/>
      </w:pPr>
      <w:r>
        <w:rPr/>
        <w:t>我方确认收到贵方提供的</w:t>
      </w:r>
      <w:r>
        <w:rPr>
          <w:u w:val="single"/>
        </w:rPr>
        <w:t>“</w:t>
      </w:r>
      <w:r>
        <w:rPr>
          <w:u w:val="single"/>
        </w:rPr>
        <w:t>2024年中山市残疾人康复救助服务框架协议采购项目(二次)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智林招标（广东）有限公司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2024年中山市残疾人康复救助服务框架协议采购项目(二次)</w:t>
      </w:r>
      <w:r>
        <w:rPr/>
        <w:t>”项目采购[采购项目编号为</w:t>
      </w:r>
      <w:r>
        <w:rPr/>
        <w:t>442000-2024-00484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智林招标（广东）有限公司</w:t>
      </w:r>
    </w:p>
    <w:p>
      <w:pPr>
        <w:pStyle w:val="null3"/>
        <w:ind w:firstLine="480"/>
      </w:pPr>
      <w:r>
        <w:rPr/>
        <w:t>如果我方在贵采购代理机构组织的</w:t>
      </w:r>
      <w:r>
        <w:rPr/>
        <w:t>2024年中山市残疾人康复救助服务框架协议采购项目(二次)</w:t>
      </w:r>
      <w:r>
        <w:rPr/>
        <w:t>招标中获中标（采购项目编号：</w:t>
      </w:r>
      <w:r>
        <w:rPr/>
        <w:t>442000-2024-00484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智林招标（广东）有限公司</w:t>
      </w:r>
    </w:p>
    <w:p>
      <w:pPr>
        <w:pStyle w:val="null3"/>
        <w:ind w:firstLine="480"/>
      </w:pPr>
      <w:r>
        <w:rPr/>
        <w:t>我单位已登记并准备参与“</w:t>
      </w:r>
      <w:r>
        <w:rPr/>
        <w:t>2024年中山市残疾人康复救助服务框架协议采购项目(二次)</w:t>
      </w:r>
      <w:r>
        <w:rPr/>
        <w:t>”项目（采购项目编号：</w:t>
      </w:r>
      <w:r>
        <w:rPr/>
        <w:t>442000-2024-00484</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