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：《中山市中心城区航标设施综合管养考核标准》</w:t>
      </w:r>
    </w:p>
    <w:tbl>
      <w:tblPr>
        <w:tblStyle w:val="5"/>
        <w:tblpPr w:leftFromText="180" w:rightFromText="180" w:vertAnchor="text" w:horzAnchor="page" w:tblpX="1252" w:tblpY="469"/>
        <w:tblOverlap w:val="never"/>
        <w:tblW w:w="98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"/>
        <w:gridCol w:w="735"/>
        <w:gridCol w:w="721"/>
        <w:gridCol w:w="3284"/>
        <w:gridCol w:w="1488"/>
        <w:gridCol w:w="1565"/>
        <w:gridCol w:w="15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895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highlight w:val="none"/>
                <w:lang w:bidi="ar"/>
              </w:rPr>
              <w:t>中山市中心城区航标设施综合管养考核标准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项目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编号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内容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扣罚（元）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扣分（分）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岗位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 xml:space="preserve">人员  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1.1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航标维护：安全员、资料员、焊工、内河船舶二类船长、内河船舶二类轮机员不按约定配备或不正常履行岗位职责的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500元/人·天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1分/人·次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1.2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特种作业人员没有持证上岗的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500元/人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0.5分/人·次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机械  设备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2.1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航标维护：不按合同规定配备施工船舶（起吊能力2t以上）、工作快艇的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500元/台·天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1分/台·次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2.2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投标文件中拟投入的机械设备在中标后没有投入到本项目的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500元/台·天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1分/台·次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9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7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航标维护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航标设施损坏后未在规定时间内修复完成的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500元/天·米</w:t>
            </w:r>
          </w:p>
        </w:tc>
        <w:tc>
          <w:tcPr>
            <w:tcW w:w="1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0.5分/米·次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建立经常性检查（每日巡查）制度，巡查过程中发现问题未上报的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1000元/处</w:t>
            </w:r>
          </w:p>
        </w:tc>
        <w:tc>
          <w:tcPr>
            <w:tcW w:w="1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1分/处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航标设施被盗、损坏时，未按原材质修复的（不能按原材质修复的，修复材料必须不低于原材料质量，且经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 w:bidi="ar"/>
              </w:rPr>
              <w:t>甲方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批准后实施）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500元/次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未按规定时间内完工验收，每延期一天扣罚1000元，扣1分/天。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0.5分/次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维修养护材料没有堆放整齐，或堆放时间超过24小时等原因，影响交通的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500元/次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0.5分/次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如发现他人对设施进行偷盗、毁坏，未立即通知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 w:bidi="ar"/>
              </w:rPr>
              <w:t>甲方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，或未采取报警等相应措施进行阻止的。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500元/处</w:t>
            </w:r>
          </w:p>
        </w:tc>
        <w:tc>
          <w:tcPr>
            <w:tcW w:w="1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1分/处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发现设施损坏或出现病害而没有在下一个月度经常性检查（日常巡查）报告中上报的，视为巡查不到位。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500元/处</w:t>
            </w:r>
          </w:p>
        </w:tc>
        <w:tc>
          <w:tcPr>
            <w:tcW w:w="1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0.5分/处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3.7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经检查发现不按时填写或伪造值班记录的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1000元/次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1分元/次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维修作业时未落实安全文明施工措施，或未配备相关安全警示标志及设施的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1000元/次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0.5分/次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3.9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发现有自毁、自盗行为的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2000元/次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2分/次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1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3.10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遇到迎检或特殊任务需加强维护时，必须无条件按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 w:bidi="ar"/>
              </w:rPr>
              <w:t>甲方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要求提供管理人员、维修人员、机具，按质按量按时完成突击抢险任务。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缺管理人员扣罚1000元/人，缺维修人员扣罚500元/人，迟到扣罚300元/次；缺小型机具扣罚500元/台，缺大型机具扣罚1000元/台；不按质按量按时完成突击抢险任务的扣罚2000元/次。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每延迟1天扣罚10000元，扣1分/天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缺管理人员扣罚1分/人，缺维修人员扣罚0.5分/人，迟到扣罚1分/次；缺小型机具扣罚1分/台，缺大型机具扣罚2分元/台；不按质按量按时完成突击抢险任务的扣罚5分/次。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3.11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不能发生与本项目有关的集体上访事件，发生3～5人群体上访事件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2000元/次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造成重大社会影响的视情况而定加重处罚，最高可罚至包干费用的10%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2分/次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不能发生与本项目有关的集体上访事件，发生5人或以上群体上访事件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3000元/次</w:t>
            </w: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5分/次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管辖范围内的航标设施有关的投诉（书面或电话），经查实属于维护作业单位责任的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1000元/次</w:t>
            </w: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0.5分/次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媒体曝光（含书面、电话、网络、电台、电视台、报纸等）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1000元/次</w:t>
            </w: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3.12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接获投诉时（含新闻媒体、市民等），项目负责人未亲自过问并监督解决的。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500元/次</w:t>
            </w:r>
          </w:p>
        </w:tc>
        <w:tc>
          <w:tcPr>
            <w:tcW w:w="1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3.13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不服从甲方的统一调配和安排的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1000元/次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3.14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无故停止工作的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2000元/次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3.15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如发现组织措施不当、计划不落实、管理不严、实施方案中所列人员、机械设备（工具）与现场实际不符，导致养护质量达不到标准的。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1000元/次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3.16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未能按时上报月度小结、月度完成维护量、下月工作计划、设施存在问题、日常巡查记录等的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1000元/天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无半年总结扣罚5000元，扣1分；无年度工作总结的扣罚10000元，扣2分。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1分/天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1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3.17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负责编制航标设施的日常巡查记录、日常维护计划、维护完成报表（维修记录），月度、半年及年度总结，并于每月20日前整理汇总上交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 w:bidi="ar"/>
              </w:rPr>
              <w:t>甲方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。航标设施资料存在与事实不符，或不能充分反映实际情况，或应付式上报，或未达到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 w:bidi="ar"/>
              </w:rPr>
              <w:t>甲方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要求的，视为未能按时上报，需重新编写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500元/项·天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1分/项·次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1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3.18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所从事的养护作业项目受到行政管理部门通报批评的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省级及以上扣罚10万元/次，情节严重的立即终止合同；市级扣罚5万元/次，情节严重的立即终止合同。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省级及以上扣10分/次，市级扣8分/次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3.19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当设施损坏或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 w:bidi="ar"/>
              </w:rPr>
              <w:t>甲方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下达工作任务时，以没有备用材料、机械、人员或忘记等为由减慢工作进度的。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500元/处·天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一切责任由乙方负责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1分/处·次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1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3.20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人员未按规定时间到达现场的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迟到30分钟的，每次每人扣罚500元，超过1小时的每次每人扣罚1000元，不到位的扣罚2000元；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迟到30分钟的，扣0.5分，超过1小时的扣1分，不到位的扣罚1.5元；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1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机械设备未按规定时间到达现场的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迟到30分钟的，每次每台扣罚500元，超过1小时后才到位的每次每台加扣罚1000元，不到位的扣罚2000元。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迟到30分钟的，扣0.5分，超过1小时的扣1分，不到位的扣罚1.5元；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3.21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未按相关的维护时间与质量要求施工的，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 w:bidi="ar"/>
              </w:rPr>
              <w:t>甲方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将发出书面警告。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1000元/次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累计两次书面警告，仍未按要求完成的，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 w:bidi="ar"/>
              </w:rPr>
              <w:t>甲方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将有权委托另外单位进场施工，由此而产生的责任与损失，概由中标人承担，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3.22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对验收不合格的返工至合格为止，对返工仍不合格项目的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1000元/次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直至返工合格为止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3.23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在迎检期间或上级领导安排的工作任务，未能按期完成的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1000元/次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3.24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在新一年维护期合同签定时提前一个月提交设施量的核查成果，未提交的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1000元/天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经核对设施量与现场不符的每处扣罚3000元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1分/次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3.25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如遇项目负责人离职，应在当月向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 w:bidi="ar"/>
              </w:rPr>
              <w:t>甲方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提出变更申请报告，否则按以下规定扣罚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500元/天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2分/次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1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3.26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应及时对油漆失效的航标构件（定光灯、标牌、界限标、鸣笛标、水中灯桩、信号灯等）进行除锈补漆，涂装的质量应满足相关的规范和标准要求，不低于原表面涂料标准（油漆颜色要与原金属构件油漆颜色一致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300元/处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bidi="ar"/>
              </w:rPr>
              <w:t>0.2分/处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说明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6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以上条款在日常检查中扣罚，季度考评中扣罚并扣分。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  <w:highlight w:val="none"/>
          <w:lang w:val="en-US" w:eastAsia="zh-Hans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MjZkYmIwYmFjMjhiOGEwOWQzMjQ5NmRmMmI1ZTEifQ=="/>
  </w:docVars>
  <w:rsids>
    <w:rsidRoot w:val="00000000"/>
    <w:rsid w:val="0D7D1BF8"/>
    <w:rsid w:val="1CC6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"/>
    <w:basedOn w:val="1"/>
    <w:next w:val="1"/>
    <w:autoRedefine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2023-12-04T06:07:00Z</dcterms:created>
  <dc:creator>Administrator</dc:creator>
  <cp:lastModifiedBy>XIAO</cp:lastModifiedBy>
  <dcterms:modified xsi:type="dcterms:W3CDTF">2024-03-13T07:21:23Z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B56C4372904F4EEDAE1B087ABCB03928_12</vt:lpwstr>
  </property>
</Properties>
</file>