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442000116-2023-00099</w:t>
      </w:r>
    </w:p>
    <w:p>
      <w:pPr>
        <w:jc w:val="center"/>
      </w:pPr>
      <w:r>
        <w:rPr>
          <w:b/>
          <w:sz w:val="24"/>
        </w:rPr>
        <w:t>采购项目编号：</w:t>
      </w:r>
      <w:r>
        <w:rPr>
          <w:b/>
          <w:sz w:val="24"/>
        </w:rPr>
        <w:t>442000116-2023-00099</w:t>
      </w:r>
    </w:p>
    <w:p>
      <w:pPr>
        <w:jc w:val="center"/>
      </w:pPr>
      <w:r>
        <w:rPr>
          <w:b/>
          <w:sz w:val="24"/>
        </w:rPr>
        <w:t>项目名称：</w:t>
      </w:r>
      <w:r>
        <w:rPr>
          <w:b/>
          <w:sz w:val="24"/>
        </w:rPr>
        <w:t>中山市大涌医院全自动生化分析仪采购项目</w:t>
      </w:r>
    </w:p>
    <w:p>
      <w:pPr>
        <w:jc w:val="center"/>
      </w:pPr>
      <w:r>
        <w:rPr>
          <w:b/>
          <w:sz w:val="24"/>
        </w:rPr>
        <w:t>采购人：</w:t>
      </w:r>
      <w:r>
        <w:rPr>
          <w:b/>
          <w:sz w:val="24"/>
        </w:rPr>
        <w:t>中山市大涌医院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中山市大涌医院</w:t>
      </w:r>
      <w:r>
        <w:rPr/>
        <w:t>的委托，采用</w:t>
      </w:r>
      <w:r>
        <w:rPr/>
        <w:t>公开招标</w:t>
      </w:r>
      <w:r>
        <w:rPr/>
        <w:t>方式组织采购</w:t>
      </w:r>
      <w:r>
        <w:rPr/>
        <w:t>中山市大涌医院全自动生化分析仪采购项目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中山市大涌医院全自动生化分析仪采购项目</w:t>
      </w:r>
    </w:p>
    <w:p>
      <w:pPr>
        <w:ind w:firstLine="480"/>
      </w:pPr>
      <w:r>
        <w:rPr/>
        <w:t>采购计划编号：</w:t>
      </w:r>
      <w:r>
        <w:rPr/>
        <w:t>442000116-2023-00099</w:t>
      </w:r>
    </w:p>
    <w:p>
      <w:pPr>
        <w:ind w:firstLine="480"/>
      </w:pPr>
      <w:r>
        <w:rPr/>
        <w:t>采购项目编号：</w:t>
      </w:r>
      <w:r>
        <w:rPr/>
        <w:t>442000116-2023-00099</w:t>
      </w:r>
    </w:p>
    <w:p>
      <w:pPr>
        <w:ind w:firstLine="480"/>
      </w:pPr>
      <w:r>
        <w:rPr/>
        <w:t>采购方式：</w:t>
      </w:r>
      <w:r>
        <w:rPr/>
        <w:t>公开招标</w:t>
      </w:r>
    </w:p>
    <w:p>
      <w:pPr>
        <w:ind w:firstLine="480"/>
      </w:pPr>
      <w:r>
        <w:rPr/>
        <w:t>预算金额：</w:t>
      </w:r>
      <w:r>
        <w:rPr/>
        <w:t>1,000,000.00</w:t>
      </w:r>
      <w:r>
        <w:rPr/>
        <w:t>元</w:t>
      </w:r>
    </w:p>
    <w:p>
      <w:r>
        <w:rPr>
          <w:b/>
          <w:sz w:val="24"/>
        </w:rPr>
        <w:t>2.项目内容及需求情况（采购项目技术规格、参数及要求）</w:t>
      </w:r>
    </w:p>
    <w:p>
      <w:pPr>
        <w:ind w:firstLine="480"/>
      </w:pPr>
    </w:p>
    <w:p/>
    <w:p>
      <w:r>
        <w:rPr/>
        <w:t>采购包1(中山市大涌医院全自动生化分析仪采购项目):</w:t>
      </w:r>
    </w:p>
    <w:p>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临床检验设备</w:t>
            </w:r>
          </w:p>
        </w:tc>
        <w:tc>
          <w:tcPr>
            <w:tcW w:type="dxa" w:w="2136"/>
          </w:tcPr>
          <w:p>
            <w:r>
              <w:rPr/>
              <w:t>全自动生化分析仪</w:t>
            </w:r>
          </w:p>
        </w:tc>
        <w:tc>
          <w:tcPr>
            <w:tcW w:type="dxa" w:w="1187"/>
          </w:tcPr>
          <w:p>
            <w:r>
              <w:rPr/>
              <w:t>1.00(台)</w:t>
            </w:r>
          </w:p>
        </w:tc>
        <w:tc>
          <w:tcPr>
            <w:tcW w:type="dxa" w:w="1187"/>
          </w:tcPr>
          <w:p>
            <w:r>
              <w:rPr/>
              <w:t>详见第二章</w:t>
            </w:r>
          </w:p>
        </w:tc>
        <w:tc>
          <w:tcPr>
            <w:tcW w:type="dxa" w:w="1187"/>
          </w:tcPr>
          <w:p>
            <w:r>
              <w:rPr/>
              <w:t>是</w:t>
            </w:r>
          </w:p>
        </w:tc>
      </w:tr>
    </w:tbl>
    <w:p/>
    <w:p>
      <w:r>
        <w:rPr/>
        <w:t>本采购包不接受联合体投标</w:t>
      </w:r>
    </w:p>
    <w:p/>
    <w:p>
      <w:r>
        <w:rPr/>
        <w:t>合同履行期限：签订合同后30天内到货完成装机。</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3）具有良好的商业信誉和健全的财务会计制度：提供2021年度或2022年度财务状况报告或投标截止日前12个月内任意1个月的财务报表复印件，财务报表须包含资产负债表、利润表或银行出具的资信证明材料复印件。</w:t>
      </w:r>
    </w:p>
    <w:p/>
    <w:p>
      <w:r>
        <w:rPr/>
        <w:t>4）履行合同所必需的设备和专业技术能力：请在投标文件里提供承诺书或说明书。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采购包1（中山市大涌医院全自动生化分析仪采购项目）：</w:t>
      </w:r>
      <w:r>
        <w:rPr/>
        <w:t>本项目不专门面向中小企业采购。</w:t>
      </w:r>
    </w:p>
    <w:p/>
    <w:p>
      <w:r>
        <w:rPr>
          <w:b/>
          <w:sz w:val="24"/>
        </w:rPr>
        <w:t>3.本项目特定的资格要求：</w:t>
      </w:r>
    </w:p>
    <w:p>
      <w:pPr>
        <w:ind w:firstLine="480"/>
      </w:pPr>
    </w:p>
    <w:p/>
    <w:p>
      <w:r>
        <w:rPr/>
        <w:t>采购包1（中山市大涌医院全自动生化分析仪采购项目）：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中山市大涌医院</w:t>
      </w:r>
    </w:p>
    <w:p>
      <w:pPr>
        <w:ind w:firstLine="480"/>
      </w:pPr>
      <w:r>
        <w:rPr/>
        <w:t>地址：</w:t>
      </w:r>
      <w:r>
        <w:rPr/>
        <w:t>中山市大涌旗山路496号</w:t>
      </w:r>
    </w:p>
    <w:p>
      <w:pPr>
        <w:ind w:firstLine="480"/>
      </w:pPr>
      <w:r>
        <w:rPr/>
        <w:t>联系方式：</w:t>
      </w:r>
      <w:r>
        <w:rPr/>
        <w:t>0760-87722800-5102</w:t>
      </w:r>
    </w:p>
    <w:p>
      <w:r>
        <w:rPr>
          <w:b/>
          <w:sz w:val="24"/>
        </w:rPr>
        <w:t>2.采购代理机构信息</w:t>
      </w:r>
    </w:p>
    <w:p>
      <w:pPr>
        <w:ind w:firstLine="480"/>
      </w:pPr>
      <w:r>
        <w:rPr/>
        <w:t>名称：</w:t>
      </w:r>
      <w:r>
        <w:rPr/>
        <w:t>智林招标（广东）有限公司</w:t>
      </w:r>
    </w:p>
    <w:p>
      <w:pPr>
        <w:ind w:firstLine="480"/>
      </w:pPr>
      <w:r>
        <w:rPr/>
        <w:t>地址：</w:t>
      </w:r>
      <w:r>
        <w:rPr/>
        <w:t>广东省中山市石岐街道中山市石岐区东明北路18号206卡（之十一）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许曼</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p>
    <w:p>
      <w:pPr>
        <w:jc w:val="both"/>
      </w:pPr>
    </w:p>
    <w:p>
      <w:pPr>
        <w:jc w:val="both"/>
      </w:pPr>
    </w:p>
    <w:p>
      <w:pPr>
        <w:jc w:val="both"/>
      </w:pPr>
    </w:p>
    <w:p>
      <w:pPr>
        <w:jc w:val="both"/>
      </w:pPr>
      <w:r>
        <w:rPr>
          <w:b/>
          <w:sz w:val="28"/>
        </w:rPr>
        <w:t>一、项目概况：</w:t>
      </w:r>
    </w:p>
    <w:p>
      <w:pPr>
        <w:jc w:val="both"/>
      </w:pPr>
      <w:r>
        <w:rPr>
          <w:sz w:val="21"/>
        </w:rPr>
        <w:t>1.项目名称：中山市</w:t>
      </w:r>
      <w:r>
        <w:rPr>
          <w:sz w:val="21"/>
        </w:rPr>
        <w:t>大涌</w:t>
      </w:r>
      <w:r>
        <w:rPr>
          <w:sz w:val="21"/>
        </w:rPr>
        <w:t>医院</w:t>
      </w:r>
      <w:r>
        <w:rPr>
          <w:sz w:val="21"/>
        </w:rPr>
        <w:t>全自动生化分析仪</w:t>
      </w:r>
      <w:r>
        <w:rPr>
          <w:sz w:val="21"/>
        </w:rPr>
        <w:t>采购项目</w:t>
      </w:r>
    </w:p>
    <w:p>
      <w:pPr>
        <w:jc w:val="both"/>
      </w:pPr>
      <w:r>
        <w:rPr>
          <w:sz w:val="21"/>
        </w:rPr>
        <w:t>2.采购计划编号：442000116-2023-00099</w:t>
      </w:r>
    </w:p>
    <w:p>
      <w:pPr>
        <w:jc w:val="both"/>
      </w:pPr>
      <w:r>
        <w:rPr>
          <w:sz w:val="21"/>
        </w:rPr>
        <w:t>3.采购项目编号：442000116-2023-00099</w:t>
      </w:r>
    </w:p>
    <w:p>
      <w:pPr>
        <w:jc w:val="both"/>
      </w:pPr>
      <w:r>
        <w:rPr>
          <w:sz w:val="21"/>
        </w:rPr>
        <w:t>4.采购方式：公开招标</w:t>
      </w:r>
    </w:p>
    <w:p>
      <w:pPr>
        <w:jc w:val="both"/>
      </w:pPr>
      <w:r>
        <w:rPr>
          <w:sz w:val="21"/>
        </w:rPr>
        <w:t>5.预算总金额：1</w:t>
      </w:r>
      <w:r>
        <w:rPr>
          <w:sz w:val="21"/>
        </w:rPr>
        <w:t>0</w:t>
      </w:r>
      <w:r>
        <w:rPr>
          <w:sz w:val="21"/>
        </w:rPr>
        <w:t>00000.00元</w:t>
      </w:r>
    </w:p>
    <w:p>
      <w:pPr>
        <w:jc w:val="both"/>
      </w:pPr>
      <w:r>
        <w:rPr>
          <w:sz w:val="21"/>
        </w:rPr>
        <w:t>6.</w:t>
      </w:r>
      <w:r>
        <w:rPr>
          <w:sz w:val="21"/>
        </w:rPr>
        <w:t>本项目不属于专门面向中小微企业项目。</w:t>
      </w:r>
    </w:p>
    <w:p>
      <w:pPr>
        <w:jc w:val="both"/>
      </w:pPr>
      <w:r>
        <w:rPr>
          <w:sz w:val="21"/>
        </w:rPr>
        <w:t>7.采购标的对应的中小企业划分标准所属行业为：工业</w:t>
      </w:r>
    </w:p>
    <w:p>
      <w:pPr>
        <w:jc w:val="both"/>
      </w:pPr>
      <w:r>
        <w:rPr>
          <w:sz w:val="21"/>
        </w:rPr>
        <w:t>8.本项目不接受联合体投标。</w:t>
      </w:r>
    </w:p>
    <w:p>
      <w:pPr>
        <w:jc w:val="both"/>
      </w:pPr>
      <w:r>
        <w:rPr>
          <w:sz w:val="21"/>
        </w:rPr>
        <w:t>9.项目内容及包组情况：</w:t>
      </w: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613"/>
        <w:gridCol w:w="1273"/>
        <w:gridCol w:w="602"/>
        <w:gridCol w:w="1739"/>
        <w:gridCol w:w="1971"/>
        <w:gridCol w:w="2108"/>
      </w:tblGrid>
      <w:tr>
        <w:tc>
          <w:tcPr>
            <w:tcW w:type="dxa" w:w="613"/>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273"/>
            <w:tcBorders>
              <w:top w:val="single" w:color="000000" w:sz="4"/>
              <w:left w:val="none" w:color="000000" w:sz="4"/>
              <w:bottom w:val="single" w:color="000000" w:sz="4"/>
              <w:right w:val="single" w:color="000000" w:sz="4"/>
            </w:tcBorders>
            <w:vAlign w:val="top"/>
          </w:tcPr>
          <w:p>
            <w:pPr>
              <w:jc w:val="center"/>
            </w:pPr>
            <w:r>
              <w:rPr>
                <w:sz w:val="21"/>
              </w:rPr>
              <w:t>名称</w:t>
            </w:r>
          </w:p>
        </w:tc>
        <w:tc>
          <w:tcPr>
            <w:tcW w:type="dxa" w:w="602"/>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1739"/>
            <w:tcBorders>
              <w:top w:val="single" w:color="000000" w:sz="4"/>
              <w:left w:val="none" w:color="000000" w:sz="4"/>
              <w:bottom w:val="single" w:color="000000" w:sz="4"/>
              <w:right w:val="single" w:color="000000" w:sz="4"/>
            </w:tcBorders>
            <w:vAlign w:val="top"/>
          </w:tcPr>
          <w:p>
            <w:pPr>
              <w:jc w:val="center"/>
            </w:pPr>
            <w:r>
              <w:rPr>
                <w:sz w:val="21"/>
              </w:rPr>
              <w:t>预算金额（元）</w:t>
            </w:r>
          </w:p>
        </w:tc>
        <w:tc>
          <w:tcPr>
            <w:tcW w:type="dxa" w:w="1971"/>
            <w:tcBorders>
              <w:top w:val="single" w:color="000000" w:sz="4"/>
              <w:left w:val="none" w:color="000000" w:sz="4"/>
              <w:bottom w:val="single" w:color="000000" w:sz="4"/>
              <w:right w:val="single" w:color="000000" w:sz="4"/>
            </w:tcBorders>
            <w:vAlign w:val="top"/>
          </w:tcPr>
          <w:p>
            <w:pPr>
              <w:jc w:val="center"/>
            </w:pPr>
            <w:r>
              <w:rPr>
                <w:sz w:val="21"/>
              </w:rPr>
              <w:t>投标上限价（元）</w:t>
            </w:r>
          </w:p>
        </w:tc>
        <w:tc>
          <w:tcPr>
            <w:tcW w:type="dxa" w:w="2108"/>
            <w:tcBorders>
              <w:top w:val="single" w:color="000000" w:sz="4"/>
              <w:left w:val="none" w:color="000000" w:sz="4"/>
              <w:bottom w:val="single" w:color="000000" w:sz="4"/>
              <w:right w:val="single" w:color="000000" w:sz="4"/>
            </w:tcBorders>
            <w:vAlign w:val="top"/>
          </w:tcPr>
          <w:p>
            <w:pPr>
              <w:jc w:val="center"/>
            </w:pPr>
            <w:r>
              <w:rPr>
                <w:sz w:val="21"/>
              </w:rPr>
              <w:t>合同履行期限</w:t>
            </w:r>
          </w:p>
        </w:tc>
      </w:tr>
      <w:tr>
        <w:tc>
          <w:tcPr>
            <w:tcW w:type="dxa" w:w="61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273"/>
            <w:tcBorders>
              <w:top w:val="none" w:color="000000" w:sz="4"/>
              <w:left w:val="none" w:color="000000" w:sz="4"/>
              <w:bottom w:val="single" w:color="000000" w:sz="4"/>
              <w:right w:val="single" w:color="000000" w:sz="4"/>
            </w:tcBorders>
            <w:vAlign w:val="top"/>
          </w:tcPr>
          <w:p>
            <w:pPr>
              <w:jc w:val="both"/>
            </w:pPr>
            <w:r>
              <w:rPr>
                <w:sz w:val="21"/>
              </w:rPr>
              <w:t>全自动生化分析仪</w:t>
            </w:r>
          </w:p>
        </w:tc>
        <w:tc>
          <w:tcPr>
            <w:tcW w:type="dxa" w:w="602"/>
            <w:tcBorders>
              <w:top w:val="none" w:color="000000" w:sz="4"/>
              <w:left w:val="none" w:color="000000" w:sz="4"/>
              <w:bottom w:val="single" w:color="000000" w:sz="4"/>
              <w:right w:val="single" w:color="000000" w:sz="4"/>
            </w:tcBorders>
            <w:vAlign w:val="top"/>
          </w:tcPr>
          <w:p>
            <w:pPr>
              <w:jc w:val="both"/>
            </w:pPr>
            <w:r>
              <w:rPr>
                <w:sz w:val="21"/>
              </w:rPr>
              <w:t>1</w:t>
            </w:r>
            <w:r>
              <w:rPr>
                <w:sz w:val="21"/>
              </w:rPr>
              <w:t>台</w:t>
            </w:r>
          </w:p>
        </w:tc>
        <w:tc>
          <w:tcPr>
            <w:tcW w:type="dxa" w:w="1739"/>
            <w:tcBorders>
              <w:top w:val="none" w:color="000000" w:sz="4"/>
              <w:left w:val="none" w:color="000000" w:sz="4"/>
              <w:bottom w:val="single" w:color="000000" w:sz="4"/>
              <w:right w:val="single" w:color="000000" w:sz="4"/>
            </w:tcBorders>
            <w:vAlign w:val="top"/>
          </w:tcPr>
          <w:p>
            <w:pPr>
              <w:jc w:val="both"/>
            </w:pPr>
            <w:r>
              <w:rPr>
                <w:sz w:val="21"/>
              </w:rPr>
              <w:t>1,</w:t>
            </w:r>
            <w:r>
              <w:rPr>
                <w:sz w:val="21"/>
              </w:rPr>
              <w:t>0</w:t>
            </w:r>
            <w:r>
              <w:rPr>
                <w:sz w:val="21"/>
              </w:rPr>
              <w:t>00,000.00</w:t>
            </w:r>
          </w:p>
        </w:tc>
        <w:tc>
          <w:tcPr>
            <w:tcW w:type="dxa" w:w="1971"/>
            <w:tcBorders>
              <w:top w:val="none" w:color="000000" w:sz="4"/>
              <w:left w:val="none" w:color="000000" w:sz="4"/>
              <w:bottom w:val="single" w:color="000000" w:sz="4"/>
              <w:right w:val="single" w:color="000000" w:sz="4"/>
            </w:tcBorders>
            <w:vAlign w:val="top"/>
          </w:tcPr>
          <w:p>
            <w:pPr>
              <w:jc w:val="both"/>
            </w:pPr>
            <w:r>
              <w:rPr>
                <w:sz w:val="21"/>
              </w:rPr>
              <w:t>1,</w:t>
            </w:r>
            <w:r>
              <w:rPr>
                <w:sz w:val="21"/>
              </w:rPr>
              <w:t>0</w:t>
            </w:r>
            <w:r>
              <w:rPr>
                <w:sz w:val="21"/>
              </w:rPr>
              <w:t>00,000.00</w:t>
            </w:r>
          </w:p>
        </w:tc>
        <w:tc>
          <w:tcPr>
            <w:tcW w:type="dxa" w:w="2108"/>
            <w:tcBorders>
              <w:top w:val="none" w:color="000000" w:sz="4"/>
              <w:left w:val="none" w:color="000000" w:sz="4"/>
              <w:bottom w:val="single" w:color="000000" w:sz="4"/>
              <w:right w:val="single" w:color="000000" w:sz="4"/>
            </w:tcBorders>
            <w:vAlign w:val="top"/>
          </w:tcPr>
          <w:p>
            <w:pPr>
              <w:jc w:val="both"/>
            </w:pPr>
            <w:r>
              <w:rPr>
                <w:sz w:val="21"/>
              </w:rPr>
              <w:t>签订合同后</w:t>
            </w:r>
            <w:r>
              <w:rPr>
                <w:sz w:val="21"/>
                <w:u w:val="single"/>
              </w:rPr>
              <w:t xml:space="preserve"> </w:t>
            </w:r>
            <w:r>
              <w:rPr>
                <w:sz w:val="21"/>
                <w:u w:val="single"/>
              </w:rPr>
              <w:t xml:space="preserve">30  </w:t>
            </w:r>
            <w:r>
              <w:rPr>
                <w:sz w:val="21"/>
              </w:rPr>
              <w:t>天内到货完成装机。</w:t>
            </w:r>
          </w:p>
        </w:tc>
      </w:tr>
    </w:tbl>
    <w:p>
      <w:pPr>
        <w:jc w:val="both"/>
      </w:pPr>
    </w:p>
    <w:p>
      <w:pPr>
        <w:jc w:val="both"/>
      </w:pPr>
      <w:r>
        <w:rPr>
          <w:sz w:val="21"/>
        </w:rPr>
        <w:t>10.根据财政部关于《政府采购进口产品管理办法》（财库〔2007〕119号）的规定，通过专家论证并经政府采购监管部门同意，本项目拟采购设备：</w:t>
      </w:r>
      <w:r>
        <w:rPr>
          <w:sz w:val="21"/>
        </w:rPr>
        <w:t>全自动生化分析仪</w:t>
      </w:r>
      <w:r>
        <w:rPr>
          <w:sz w:val="21"/>
        </w:rPr>
        <w:t>，可以采购本国产品或不属于国家法律法规政策明确规定限制的进口产品。（注：进口产品是指通过中国海关报关验放进入中国境内且产自关境外的产品，含已进入中国境内并在国内市场有销售的进口产品）。</w:t>
      </w:r>
    </w:p>
    <w:p>
      <w:pPr>
        <w:jc w:val="left"/>
      </w:pPr>
      <w:r>
        <w:rPr>
          <w:b/>
          <w:sz w:val="21"/>
        </w:rPr>
        <w:t>11.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jc w:val="left"/>
      </w:pPr>
      <w:r>
        <w:rPr>
          <w:sz w:val="21"/>
        </w:rPr>
        <w:t>12.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sz w:val="21"/>
        </w:rPr>
        <w:t>13.投标人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jc w:val="both"/>
      </w:pPr>
    </w:p>
    <w:p>
      <w:pPr>
        <w:jc w:val="both"/>
      </w:pPr>
    </w:p>
    <w:p>
      <w:pPr>
        <w:jc w:val="both"/>
      </w:pPr>
    </w:p>
    <w:p>
      <w:pPr>
        <w:jc w:val="both"/>
      </w:pPr>
    </w:p>
    <w:p/>
    <w:p>
      <w:pPr>
        <w:ind w:firstLine="480"/>
      </w:pPr>
    </w:p>
    <w:p/>
    <w:p>
      <w:r>
        <w:rPr/>
        <w:t>采购包1（中山市大涌医院全自动生化分析仪采购项目）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 30 天内到货完成装机。</w:t>
            </w:r>
          </w:p>
        </w:tc>
      </w:tr>
      <w:tr>
        <w:tc>
          <w:tcPr>
            <w:tcW w:type="dxa" w:w="4153"/>
          </w:tcPr>
          <w:p>
            <w:r>
              <w:rPr/>
              <w:t>标的提供的地点</w:t>
            </w:r>
          </w:p>
        </w:tc>
        <w:tc>
          <w:tcPr>
            <w:tcW w:type="dxa" w:w="4153"/>
          </w:tcPr>
          <w:p/>
          <w:p>
            <w:r>
              <w:rPr/>
              <w:t>中山市大涌医院指定地点。</w:t>
            </w:r>
          </w:p>
        </w:tc>
      </w:tr>
      <w:tr>
        <w:tc>
          <w:tcPr>
            <w:tcW w:type="dxa" w:w="4153"/>
          </w:tcPr>
          <w:p>
            <w:r>
              <w:rPr/>
              <w:t>付款方式</w:t>
            </w:r>
          </w:p>
        </w:tc>
        <w:tc>
          <w:tcPr>
            <w:tcW w:type="dxa" w:w="4153"/>
          </w:tcPr>
          <w:p/>
          <w:p/>
          <w:p>
            <w:r>
              <w:rPr/>
              <w:t>1期：支付比例70%,项目通过验收合格后采购人凭中标人提供合同总价70％的有效发票，90天内支付相应款项给中标人。</w:t>
            </w:r>
          </w:p>
          <w:p/>
          <w:p>
            <w:r>
              <w:rPr/>
              <w:t>2期：支付比例30%,项目通过验收合格日满一年后采购人凭中标人提供合同总价30％的有效发票，30天内支付相应款项给中标人。</w:t>
            </w:r>
          </w:p>
        </w:tc>
      </w:tr>
      <w:tr>
        <w:tc>
          <w:tcPr>
            <w:tcW w:type="dxa" w:w="4153"/>
          </w:tcPr>
          <w:p>
            <w:r>
              <w:rPr/>
              <w:t>验收要求</w:t>
            </w:r>
          </w:p>
        </w:tc>
        <w:tc>
          <w:tcPr>
            <w:tcW w:type="dxa" w:w="4153"/>
          </w:tcPr>
          <w:p/>
          <w:p/>
          <w:p/>
          <w:p>
            <w:r>
              <w:rPr/>
              <w:t>1期：合同设备安装调试完成并移交所有资料文档后 7 个工作日内验收，验收应在双方共同参加下进行，验收标准按照国家有关标准。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1.1.报价以人民币报价；1.2.涉及专机专用耗材、试剂、易损件等需填列报价。</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★2.1.整机免费保修期从验收合格日起至少3年；提供终身维护服务。  2.2.在保修期内要求至少回访6次，有问题做到及时处理，出现质量问题时，工程师须在2小时内对采购人提出的需求做出响应，6小时内服务到位、排除故障。若无法修复，中标人必提供同规格、同型号、同参数的设备保证采购人使用。   2.3.免费提供最新版本软件升级（包括拥有本次所要求出售货物的备件、专用设备和技术人员）。 2.4.中标人需按合同维保承诺进行维保。</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  3.2.有操作、维护、维修培训计划，必须由原厂工程师及技术人员直接提供保修、维修、免费技术培训服务； 3.3 .保证供应设备的维修与原厂配件；3.4中标人需要帮助采购人培训10名以上工作人员能够熟练使用该设备，所涉及到的培训费和差旅费由中标人承担。</w:t>
            </w:r>
          </w:p>
        </w:tc>
      </w:tr>
      <w:tr>
        <w:tc>
          <w:tcPr>
            <w:tcW w:type="dxa" w:w="2076"/>
          </w:tcPr>
          <w:p>
            <w:pPr>
              <w:jc w:val="center"/>
            </w:pPr>
          </w:p>
        </w:tc>
        <w:tc>
          <w:tcPr>
            <w:tcW w:type="dxa" w:w="2076"/>
          </w:tcPr>
          <w:p>
            <w:pPr>
              <w:jc w:val="center"/>
            </w:pPr>
            <w:r>
              <w:rPr/>
              <w:t>4</w:t>
            </w:r>
          </w:p>
        </w:tc>
        <w:tc>
          <w:tcPr>
            <w:tcW w:type="dxa" w:w="2076"/>
          </w:tcPr>
          <w:p>
            <w:pPr>
              <w:jc w:val="left"/>
            </w:pPr>
            <w:r>
              <w:rPr/>
              <w:t>其他</w:t>
            </w:r>
          </w:p>
        </w:tc>
        <w:tc>
          <w:tcPr>
            <w:tcW w:type="dxa" w:w="2076"/>
          </w:tcPr>
          <w:p>
            <w:pPr>
              <w:jc w:val="left"/>
            </w:pPr>
            <w:r>
              <w:rPr/>
              <w:t>4.1保证提供的是全新产品，未曾使用过的； 4.2.要求合同必须注明该产品（或主机）产地。 ★4.3.中标人保证设备能够接入采购人院内双向LIS等系统，并承担对接所产生的所有费用。</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临床检验设备</w:t>
            </w:r>
          </w:p>
        </w:tc>
        <w:tc>
          <w:tcPr>
            <w:tcW w:type="dxa" w:w="831"/>
          </w:tcPr>
          <w:p>
            <w:pPr>
              <w:jc w:val="left"/>
            </w:pPr>
            <w:r>
              <w:rPr/>
              <w:t>全自动生化分析仪</w:t>
            </w:r>
          </w:p>
        </w:tc>
        <w:tc>
          <w:tcPr>
            <w:tcW w:type="dxa" w:w="831"/>
          </w:tcPr>
          <w:p>
            <w:pPr>
              <w:jc w:val="left"/>
            </w:pPr>
            <w:r>
              <w:rPr/>
              <w:t>台</w:t>
            </w:r>
          </w:p>
        </w:tc>
        <w:tc>
          <w:tcPr>
            <w:tcW w:type="dxa" w:w="831"/>
          </w:tcPr>
          <w:p>
            <w:pPr>
              <w:jc w:val="right"/>
            </w:pPr>
            <w:r>
              <w:rPr/>
              <w:t>1.00</w:t>
            </w:r>
          </w:p>
        </w:tc>
        <w:tc>
          <w:tcPr>
            <w:tcW w:type="dxa" w:w="831"/>
          </w:tcPr>
          <w:p>
            <w:pPr>
              <w:jc w:val="right"/>
            </w:pPr>
            <w:r>
              <w:rPr/>
              <w:t>1,000,000.00</w:t>
            </w:r>
          </w:p>
        </w:tc>
        <w:tc>
          <w:tcPr>
            <w:tcW w:type="dxa" w:w="831"/>
          </w:tcPr>
          <w:p>
            <w:pPr>
              <w:jc w:val="right"/>
            </w:pPr>
            <w:r>
              <w:rPr/>
              <w:t>1,000,000.00</w:t>
            </w:r>
          </w:p>
        </w:tc>
        <w:tc>
          <w:tcPr>
            <w:tcW w:type="dxa" w:w="831"/>
          </w:tcPr>
          <w:p>
            <w:r>
              <w:rPr/>
              <w:t>工业</w:t>
            </w:r>
          </w:p>
        </w:tc>
        <w:tc>
          <w:tcPr>
            <w:tcW w:type="dxa" w:w="831"/>
          </w:tcPr>
          <w:p>
            <w:r>
              <w:rPr/>
              <w:t>详见附表一</w:t>
            </w:r>
          </w:p>
        </w:tc>
      </w:tr>
    </w:tbl>
    <w:p/>
    <w:p>
      <w:r>
        <w:rPr>
          <w:b/>
        </w:rPr>
        <w:t>附表</w:t>
      </w:r>
      <w:r>
        <w:rPr>
          <w:b/>
        </w:rPr>
        <w:t>一</w:t>
      </w:r>
      <w:r>
        <w:rPr>
          <w:b/>
        </w:rPr>
        <w:t>：</w:t>
      </w:r>
      <w:r>
        <w:rPr>
          <w:b/>
        </w:rPr>
        <w:t>全自动生化分析仪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sz w:val="24"/>
              </w:rPr>
              <w:t>一、</w:t>
            </w:r>
            <w:r>
              <w:rPr>
                <w:sz w:val="24"/>
              </w:rPr>
              <w:t>设备名称：全自动生化分析仪</w:t>
            </w:r>
          </w:p>
          <w:p>
            <w:pPr>
              <w:jc w:val="left"/>
            </w:pPr>
            <w:r>
              <w:rPr>
                <w:sz w:val="24"/>
              </w:rPr>
              <w:t>二、</w:t>
            </w:r>
            <w:r>
              <w:rPr>
                <w:sz w:val="24"/>
              </w:rPr>
              <w:t>全自动生化仪用于检测血清、血浆、尿液或脑脊液的临床生物化学项目。检测项目涵盖：肝功能、肾功能、特定蛋白、血脂、酶学、药物浓度等。提供临床生化方面的检验项目，为临床在疾病的诊断、治疗、监测及评估健康状态提供重要的科学依据。检测项目溯源至</w:t>
            </w:r>
            <w:r>
              <w:rPr>
                <w:sz w:val="24"/>
              </w:rPr>
              <w:t>WHO、IFCC、NIST等国家标准品。</w:t>
            </w:r>
          </w:p>
          <w:p>
            <w:pPr>
              <w:jc w:val="left"/>
            </w:pPr>
            <w:r>
              <w:rPr>
                <w:sz w:val="24"/>
              </w:rPr>
              <w:t>三、</w:t>
            </w:r>
            <w:r>
              <w:rPr>
                <w:sz w:val="24"/>
              </w:rPr>
              <w:t>主要技术规格</w:t>
            </w:r>
          </w:p>
          <w:p>
            <w:pPr>
              <w:jc w:val="left"/>
            </w:pPr>
            <w:r>
              <w:rPr>
                <w:sz w:val="24"/>
              </w:rPr>
              <w:t>1.生化测试速度：≥800测试/小时，电解质速度：≥600测试/小时；</w:t>
            </w:r>
          </w:p>
          <w:p>
            <w:pPr>
              <w:jc w:val="left"/>
            </w:pPr>
            <w:r>
              <w:rPr>
                <w:sz w:val="24"/>
              </w:rPr>
              <w:t>2.同时分析项目：≥63项（含ISE）；</w:t>
            </w:r>
          </w:p>
          <w:p>
            <w:pPr>
              <w:jc w:val="left"/>
            </w:pPr>
            <w:r>
              <w:rPr>
                <w:sz w:val="24"/>
              </w:rPr>
              <w:t xml:space="preserve">▲3.样本类型：血清、血浆、尿液、脑脊液，全血，支持在机溶血；     </w:t>
            </w:r>
          </w:p>
          <w:p>
            <w:pPr>
              <w:jc w:val="left"/>
            </w:pPr>
            <w:r>
              <w:rPr>
                <w:sz w:val="24"/>
              </w:rPr>
              <w:t>4.分析方法：终点法、两点法、动力学法、比浊法等；</w:t>
            </w:r>
          </w:p>
          <w:p>
            <w:pPr>
              <w:jc w:val="left"/>
            </w:pPr>
            <w:r>
              <w:rPr>
                <w:sz w:val="24"/>
              </w:rPr>
              <w:t>▲5.钾钠氯电极寿命：≥6个月或2万个样本（（请在投标文件中提供功能界面截图等相关证明材料并加盖原厂公章，在投标文件中标注页码位置）；</w:t>
            </w:r>
          </w:p>
          <w:p>
            <w:pPr>
              <w:jc w:val="left"/>
            </w:pPr>
            <w:r>
              <w:rPr>
                <w:sz w:val="24"/>
              </w:rPr>
              <w:t>6.钾、钠、氯电极可分别独立更换；</w:t>
            </w:r>
          </w:p>
          <w:p>
            <w:pPr>
              <w:jc w:val="left"/>
            </w:pPr>
            <w:r>
              <w:rPr>
                <w:sz w:val="24"/>
              </w:rPr>
              <w:t>7.波长数量：≥12个；</w:t>
            </w:r>
          </w:p>
          <w:p>
            <w:pPr>
              <w:jc w:val="left"/>
            </w:pPr>
            <w:r>
              <w:rPr>
                <w:sz w:val="24"/>
              </w:rPr>
              <w:t>8.分光方式：光栅后分光方式；</w:t>
            </w:r>
          </w:p>
          <w:p>
            <w:pPr>
              <w:jc w:val="left"/>
            </w:pPr>
            <w:r>
              <w:rPr>
                <w:sz w:val="24"/>
              </w:rPr>
              <w:t>9.吸光度线性范围：0-3.0；</w:t>
            </w:r>
          </w:p>
          <w:p>
            <w:pPr>
              <w:jc w:val="left"/>
            </w:pPr>
            <w:r>
              <w:rPr>
                <w:sz w:val="24"/>
              </w:rPr>
              <w:t xml:space="preserve">▲10.常规样本进样区容量：≥150管；   </w:t>
            </w:r>
          </w:p>
          <w:p>
            <w:pPr>
              <w:jc w:val="left"/>
            </w:pPr>
            <w:r>
              <w:rPr>
                <w:sz w:val="24"/>
              </w:rPr>
              <w:t>11.样本容器：各种试管、样品杯；</w:t>
            </w:r>
          </w:p>
          <w:p>
            <w:pPr>
              <w:jc w:val="left"/>
            </w:pPr>
            <w:r>
              <w:rPr>
                <w:sz w:val="24"/>
              </w:rPr>
              <w:t>12.具有液面检测、随量跟踪、空吸检测、堵针检测和防撞功能；</w:t>
            </w:r>
          </w:p>
          <w:p>
            <w:pPr>
              <w:jc w:val="left"/>
            </w:pPr>
            <w:r>
              <w:rPr>
                <w:sz w:val="24"/>
              </w:rPr>
              <w:t>▲13.可不停机装载试剂；</w:t>
            </w:r>
          </w:p>
          <w:p>
            <w:pPr>
              <w:jc w:val="left"/>
            </w:pPr>
            <w:r>
              <w:rPr>
                <w:sz w:val="24"/>
              </w:rPr>
              <w:t>14.进样方式：轨道进样或圆盘进样；</w:t>
            </w:r>
          </w:p>
          <w:p>
            <w:pPr>
              <w:jc w:val="left"/>
            </w:pPr>
            <w:r>
              <w:rPr>
                <w:sz w:val="24"/>
              </w:rPr>
              <w:t>15.孵育方式采用干式孵育；</w:t>
            </w:r>
          </w:p>
          <w:p>
            <w:pPr>
              <w:jc w:val="left"/>
            </w:pPr>
            <w:r>
              <w:rPr>
                <w:sz w:val="24"/>
              </w:rPr>
              <w:t>16.试剂仓：冷藏功能，R1+R2试剂位≥100个；</w:t>
            </w:r>
          </w:p>
          <w:p>
            <w:pPr>
              <w:jc w:val="left"/>
            </w:pPr>
            <w:r>
              <w:rPr>
                <w:sz w:val="24"/>
              </w:rPr>
              <w:t>17.配备样本和试剂条形码，具备试管液面自动跟踪功能；</w:t>
            </w:r>
          </w:p>
          <w:p>
            <w:pPr>
              <w:jc w:val="left"/>
            </w:pPr>
            <w:r>
              <w:rPr>
                <w:sz w:val="24"/>
              </w:rPr>
              <w:t>▲18.采用石英玻璃反应杯，反应杯个数≥165个；</w:t>
            </w:r>
          </w:p>
          <w:p>
            <w:pPr>
              <w:jc w:val="left"/>
            </w:pPr>
            <w:r>
              <w:rPr>
                <w:sz w:val="24"/>
              </w:rPr>
              <w:t>19.最小总反应体积：≤120uL；</w:t>
            </w:r>
          </w:p>
          <w:p>
            <w:pPr>
              <w:jc w:val="left"/>
            </w:pPr>
            <w:r>
              <w:rPr>
                <w:sz w:val="24"/>
              </w:rPr>
              <w:t>▲20.最小样品体积：≤1.0uL（0.1 uL步进）；</w:t>
            </w:r>
          </w:p>
          <w:p>
            <w:pPr>
              <w:jc w:val="left"/>
            </w:pPr>
            <w:r>
              <w:rPr>
                <w:sz w:val="24"/>
              </w:rPr>
              <w:t>▲21.R1与R2最小试剂体积：≤10uL（1 uL步进）；</w:t>
            </w:r>
          </w:p>
          <w:p>
            <w:pPr>
              <w:jc w:val="left"/>
            </w:pPr>
            <w:r>
              <w:rPr>
                <w:sz w:val="24"/>
              </w:rPr>
              <w:t>★</w:t>
            </w:r>
            <w:r>
              <w:rPr>
                <w:b/>
                <w:sz w:val="24"/>
              </w:rPr>
              <w:t>22.试剂系统完全开放，同时具备完善的溯源体系：厂家具有原厂试剂，校准品和质控品；</w:t>
            </w:r>
          </w:p>
          <w:p>
            <w:pPr>
              <w:jc w:val="left"/>
            </w:pPr>
            <w:r>
              <w:rPr>
                <w:sz w:val="24"/>
              </w:rPr>
              <w:t>23.内置Westgard质控规则、Twin Plot和Levey Jennings图形规则；</w:t>
            </w:r>
          </w:p>
          <w:p>
            <w:pPr>
              <w:jc w:val="left"/>
            </w:pPr>
            <w:r>
              <w:rPr>
                <w:sz w:val="24"/>
              </w:rPr>
              <w:t>24.标准配置RS-232C接口，具备单/双向通讯，可进行远程诊断；</w:t>
            </w:r>
          </w:p>
          <w:p>
            <w:pPr>
              <w:jc w:val="left"/>
            </w:pPr>
            <w:r>
              <w:rPr>
                <w:sz w:val="24"/>
              </w:rPr>
              <w:t>25.三种操作方式：鼠标、触摸屏、键盘；</w:t>
            </w:r>
          </w:p>
          <w:p>
            <w:pPr>
              <w:jc w:val="left"/>
            </w:pPr>
            <w:r>
              <w:rPr>
                <w:sz w:val="24"/>
              </w:rPr>
              <w:t>26.操作界面：配备中文操作系统；</w:t>
            </w:r>
          </w:p>
          <w:p>
            <w:pPr>
              <w:jc w:val="left"/>
            </w:pPr>
            <w:r>
              <w:rPr>
                <w:sz w:val="24"/>
              </w:rPr>
              <w:t>27.故障诊断：具备智能故障检测及在线帮助功能，可提示软硬件系统的故障原因和部位；</w:t>
            </w:r>
          </w:p>
          <w:p>
            <w:pPr>
              <w:jc w:val="left"/>
            </w:pPr>
            <w:r>
              <w:rPr>
                <w:sz w:val="24"/>
              </w:rPr>
              <w:t>28.厂家在广东省内设有售后服务点；（或提供承诺函承诺中标后满足）</w:t>
            </w:r>
          </w:p>
          <w:p>
            <w:pPr>
              <w:jc w:val="both"/>
            </w:pPr>
            <w:r>
              <w:rPr>
                <w:sz w:val="24"/>
              </w:rPr>
              <w:t>29.</w:t>
            </w:r>
            <w:r>
              <w:rPr>
                <w:sz w:val="24"/>
              </w:rPr>
              <w:t>售后服务：供应商承诺免费保修，软件免费升级</w:t>
            </w:r>
            <w:r>
              <w:rPr>
                <w:sz w:val="24"/>
              </w:rPr>
              <w:t>；（</w:t>
            </w:r>
            <w:r>
              <w:rPr>
                <w:sz w:val="24"/>
              </w:rPr>
              <w:t>提供承诺函）</w:t>
            </w:r>
          </w:p>
          <w:p>
            <w:pPr>
              <w:jc w:val="both"/>
            </w:pPr>
            <w:r>
              <w:rPr>
                <w:sz w:val="24"/>
              </w:rPr>
              <w:t>30.</w:t>
            </w:r>
            <w:r>
              <w:rPr>
                <w:sz w:val="24"/>
              </w:rPr>
              <w:t>试剂耗材在</w:t>
            </w:r>
            <w:r>
              <w:rPr>
                <w:sz w:val="24"/>
              </w:rPr>
              <w:t>广东省</w:t>
            </w:r>
            <w:r>
              <w:rPr>
                <w:sz w:val="24"/>
              </w:rPr>
              <w:t>采购平台上有采购目录</w:t>
            </w:r>
            <w:r>
              <w:rPr>
                <w:sz w:val="24"/>
              </w:rPr>
              <w:t>。</w:t>
            </w:r>
          </w:p>
          <w:p>
            <w:pPr>
              <w:jc w:val="both"/>
            </w:pPr>
            <w:r>
              <w:rPr>
                <w:b/>
                <w:sz w:val="21"/>
              </w:rPr>
              <w:t>★</w:t>
            </w:r>
            <w:r>
              <w:rPr>
                <w:b/>
                <w:color w:val="000000"/>
                <w:sz w:val="24"/>
              </w:rPr>
              <w:t>31.</w:t>
            </w:r>
            <w:r>
              <w:rPr>
                <w:b/>
                <w:sz w:val="24"/>
              </w:rPr>
              <w:t>配套纯水机一台，产水量</w:t>
            </w:r>
            <w:r>
              <w:rPr>
                <w:sz w:val="24"/>
              </w:rPr>
              <w:t>≥</w:t>
            </w:r>
            <w:r>
              <w:rPr>
                <w:b/>
                <w:sz w:val="24"/>
              </w:rPr>
              <w:t>100L/天。</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中山市大涌医院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次采购向成交人收取招标代理服务费。招标代理服务费收费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857号）及《关于进一步放开建设项目专业服务价格的通知》（发改价格〔2015〕299号）招标代理服务费标准收取。若招标服务费不足人民币5000元的，按人民币5000元收取。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大涌医院全自动生化分析仪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采购包1（中山市大涌医院全自动生化分析仪采购项目）：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采购包1（中山市大涌医院全自动生化分析仪采购项目）：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提供2021年度或2022年度财务状况报告或投标截止日前12个月内任意1个月的财务报表复印件，财务报表须包含资产负债表、利润表或银行出具的资信证明材料复印件。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特定资格性要求</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采购包1（中山市大涌医院全自动生化分析仪采购项目）：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带“★”号条款要求</w:t>
            </w:r>
          </w:p>
        </w:tc>
        <w:tc>
          <w:tcPr>
            <w:tcW w:type="dxa" w:w="4238"/>
          </w:tcPr>
          <w:p>
            <w:r>
              <w:rPr/>
              <w:t>实质性满足采购需求中的带“★”号条款要求。（本项目共5条“★”号条款）</w:t>
            </w:r>
          </w:p>
        </w:tc>
      </w:tr>
      <w:tr>
        <w:tc>
          <w:tcPr>
            <w:tcW w:type="dxa" w:w="890"/>
          </w:tcPr>
          <w:p>
            <w:r>
              <w:rPr/>
              <w:t>5</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采购包1(中山市大涌医院全自动生化分析仪采购项目):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技术部分60.0分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中的“具体技术(参数)要求”条款的响应情况 (20.0分)</w:t>
            </w:r>
          </w:p>
        </w:tc>
        <w:tc>
          <w:tcPr>
            <w:tcW w:type="dxa" w:w="5076"/>
          </w:tcPr>
          <w:p>
            <w:pPr>
              <w:jc w:val="left"/>
            </w:pPr>
            <w:r>
              <w:rPr/>
              <w:t>考核投标人对招标文件第二章《采购需求》中具体技术(参数)要求（★号条款除外）”中所有条款的响应程度（每条条款最小一级序号均以一项计算）： 1. 完全响应技术要求的得20分；2.本项目▲条款参数共7条，按量化指标，评审分数按以下公式进行计算： 优于或完全响应的参数数量/▲参数总数量*7分=▲条款参数得分（得分按四舍五入保留两位小数），本小项共7分； 3.本项目非▲条款参数共23条，按量化指标，评审分数按以下公式进行计算： 优于或完全响应的参数数量/非▲参数总数量*13分=非▲条款参数得分（得分按四舍五入保留两位小数），本小项共13分。   注：1）评审依据以投标人投标文件中《技术和服务要求响应表》填写内容为准，未填写的视为负偏离。投标文件中必须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安装、检测、验收计划  (12.0分)</w:t>
            </w:r>
            <w:r>
              <w:rPr/>
              <w:t>，（等次分值选择：</w:t>
            </w:r>
            <w:r>
              <w:rPr/>
              <w:t>0.0;</w:t>
            </w:r>
            <w:r>
              <w:rPr/>
              <w:t>3.0;</w:t>
            </w:r>
            <w:r>
              <w:rPr/>
              <w:t>6.0;</w:t>
            </w:r>
            <w:r>
              <w:rPr/>
              <w:t>9.0;</w:t>
            </w:r>
            <w:r>
              <w:rPr/>
              <w:t>12.0;</w:t>
            </w:r>
            <w:r>
              <w:rPr/>
              <w:t>）</w:t>
            </w:r>
          </w:p>
        </w:tc>
        <w:tc>
          <w:tcPr>
            <w:tcW w:type="dxa" w:w="5076"/>
          </w:tcPr>
          <w:p>
            <w:pPr>
              <w:jc w:val="left"/>
            </w:pPr>
            <w:r>
              <w:rPr/>
              <w:t>评委对各投标人提供的安装、检测、验收计划进行评审 。 1、安装、检测、验收计划条理清晰，脉络分明，操作性强，人性化，能体现以人为本、服务至上的售后理念，得12 分； 2、安装、检测、验收计划条理较清晰，脉络较分明，操作性较强，能体现以人为本、服务至上的售后理念，得9分； 3、安装、检测、验收计划条理模糊，脉络较分明，操作性一般，不能体现以人为本、 服务至上的售后理念，得6分； 4、安装、检测、验收计划条理模糊 ，脉络不分明，操作性差，不能体现以人为本、服务至上的售后理念，得 3分； 5、未提供相应计划不得分。</w:t>
            </w:r>
          </w:p>
        </w:tc>
      </w:tr>
      <w:tr>
        <w:tc>
          <w:tcPr>
            <w:tcW w:type="dxa" w:w="922"/>
            <w:gridSpan w:val="2"/>
            <w:vMerge/>
          </w:tcPr>
          <w:p/>
        </w:tc>
        <w:tc>
          <w:tcPr>
            <w:tcW w:type="dxa" w:w="2307"/>
          </w:tcPr>
          <w:p>
            <w:pPr>
              <w:jc w:val="left"/>
            </w:pPr>
            <w:r>
              <w:rPr/>
              <w:t>产品的配置、选型及性能 (8.0分)</w:t>
            </w:r>
            <w:r>
              <w:rPr/>
              <w:t>，（等次分值选择：</w:t>
            </w:r>
            <w:r>
              <w:rPr/>
              <w:t>0.0;</w:t>
            </w:r>
            <w:r>
              <w:rPr/>
              <w:t>2.0;</w:t>
            </w:r>
            <w:r>
              <w:rPr/>
              <w:t>4.0;</w:t>
            </w:r>
            <w:r>
              <w:rPr/>
              <w:t>6.0;</w:t>
            </w:r>
            <w:r>
              <w:rPr/>
              <w:t>8.0;</w:t>
            </w:r>
            <w:r>
              <w:rPr/>
              <w:t>）</w:t>
            </w:r>
          </w:p>
        </w:tc>
        <w:tc>
          <w:tcPr>
            <w:tcW w:type="dxa" w:w="5076"/>
          </w:tcPr>
          <w:p>
            <w:pPr>
              <w:jc w:val="left"/>
            </w:pPr>
            <w:r>
              <w:rPr/>
              <w:t>评委根据各投标人提供的产品配置、选型及性能进行评审。 1、所投产品的配置完全满足或优于招标文件要求，选型及性能非常好，完全能满足采购人需求，得8分；  2、所投产品的配置基本满足招标文件要求，选型及性能比较好，比较能满足采购人需求，得6分；  3、所投产品的配置勉强满足招标文件要求，选型及性能一般，勉强能满足采购人需求，得 4分；  4、所投产品的配置不能满足招标文件要求，选型及性能不太好，不能满足采购人需求，得2分；  5、未提供的不得分。</w:t>
            </w:r>
          </w:p>
        </w:tc>
      </w:tr>
      <w:tr>
        <w:tc>
          <w:tcPr>
            <w:tcW w:type="dxa" w:w="922"/>
            <w:gridSpan w:val="2"/>
            <w:vMerge/>
          </w:tcPr>
          <w:p/>
        </w:tc>
        <w:tc>
          <w:tcPr>
            <w:tcW w:type="dxa" w:w="2307"/>
          </w:tcPr>
          <w:p>
            <w:pPr>
              <w:jc w:val="left"/>
            </w:pPr>
            <w:r>
              <w:rPr/>
              <w:t>培训计划 (10.0分)</w:t>
            </w:r>
            <w:r>
              <w:rPr/>
              <w:t>，（等次分值选择：</w:t>
            </w:r>
            <w:r>
              <w:rPr/>
              <w:t>0.0;</w:t>
            </w:r>
            <w:r>
              <w:rPr/>
              <w:t>1.0;</w:t>
            </w:r>
            <w:r>
              <w:rPr/>
              <w:t>4.0;</w:t>
            </w:r>
            <w:r>
              <w:rPr/>
              <w:t>7.0;</w:t>
            </w:r>
            <w:r>
              <w:rPr/>
              <w:t>10.0;</w:t>
            </w:r>
            <w:r>
              <w:rPr/>
              <w:t>）</w:t>
            </w:r>
          </w:p>
        </w:tc>
        <w:tc>
          <w:tcPr>
            <w:tcW w:type="dxa" w:w="5076"/>
          </w:tcPr>
          <w:p>
            <w:pPr>
              <w:jc w:val="left"/>
            </w:pPr>
            <w:r>
              <w:rPr/>
              <w:t>评委对各投标人提供的培训计划方案进行评审，培训内容应包含本次所有设备项目。 1、培训计划方案能针对项目具体内容展开，分别对操作人员及维护人员提供操作培训及维护培训，方案可行性非常强，能在项目履约进度计划时间安排内完成培训计划，操作人员及维护人员能快速熟练掌握，得10分；2、培训计划方案能针对项目具体内容展开，分别对操作人员及维护人员提供操作培训及维护培训，方案可行性比较强，能在项目履约进度计划时间安排内完成培训计划，操作人员及维护人员比较能熟练掌握，得7分； 3、培训计划方案能针对项目具体内容展开，分别对操作人员及维护人员提供操作培训及维护培训，方案可行性一般，勉强能在项目履约进度计划时间安排内完成培训计划，操作人员及维护人员不太能熟练掌握，得4分； 4、培训计划方案没有针对项目具体内容展开，没有对操作人员及维护人员提供操作培训及维护培训，方案可行性差，不能在项目履约进度计划时间安排内完成培训计划，操作人员及维护人员不能熟练掌握，得1分；5、未提供方案不得分。</w:t>
            </w:r>
          </w:p>
        </w:tc>
      </w:tr>
      <w:tr>
        <w:tc>
          <w:tcPr>
            <w:tcW w:type="dxa" w:w="922"/>
            <w:gridSpan w:val="2"/>
            <w:vMerge/>
          </w:tcPr>
          <w:p/>
        </w:tc>
        <w:tc>
          <w:tcPr>
            <w:tcW w:type="dxa" w:w="2307"/>
          </w:tcPr>
          <w:p>
            <w:pPr>
              <w:jc w:val="left"/>
            </w:pPr>
            <w:r>
              <w:rPr/>
              <w:t>售后及应急措施方案 (10.0分)</w:t>
            </w:r>
            <w:r>
              <w:rPr/>
              <w:t>，（等次分值选择：</w:t>
            </w:r>
            <w:r>
              <w:rPr/>
              <w:t>0.0;</w:t>
            </w:r>
            <w:r>
              <w:rPr/>
              <w:t>1.0;</w:t>
            </w:r>
            <w:r>
              <w:rPr/>
              <w:t>4.0;</w:t>
            </w:r>
            <w:r>
              <w:rPr/>
              <w:t>7.0;</w:t>
            </w:r>
            <w:r>
              <w:rPr/>
              <w:t>10.0;</w:t>
            </w:r>
            <w:r>
              <w:rPr/>
              <w:t>）</w:t>
            </w:r>
          </w:p>
        </w:tc>
        <w:tc>
          <w:tcPr>
            <w:tcW w:type="dxa" w:w="5076"/>
          </w:tcPr>
          <w:p>
            <w:pPr>
              <w:jc w:val="left"/>
            </w:pPr>
            <w:r>
              <w:rPr/>
              <w:t>评委对各投标人售后及应急措施方案（含保修、维护、服务、技术支持措施计划和承诺，及应急方案等）进行评审。 1、有详细具体可行的保修、维护、服务、技术支持措施计划和承诺，处理问题能力强，售后及保修期内的服务方案优；应急措施方案非常周全、详尽、可行，得 10分； 2、有比较详细具体可行的保修、维护、服务、技术支持措施计划和承诺，售后及保修期内的服务方案较好；应急措施方案比较周全、详尽、可行，得7分；  3、保修、维护、服务、技术支持措施计划和承诺可行性一般，售后及保修期内的服务方案一般；应急措施方案可行性一般，得 4分；  4、保修、维护、服务、技术支持措施计划和承诺不太可行，售后及保修期内的服务方案不够具体；应急措施方案不太可行，得1分；  5、未提供方案的不得分。</w:t>
            </w:r>
          </w:p>
        </w:tc>
      </w:tr>
      <w:tr>
        <w:tc>
          <w:tcPr>
            <w:tcW w:type="dxa" w:w="922"/>
            <w:gridSpan w:val="2"/>
            <w:vMerge w:val="restart"/>
          </w:tcPr>
          <w:p>
            <w:pPr>
              <w:jc w:val="center"/>
            </w:pPr>
            <w:r>
              <w:rPr/>
              <w:t>商务部分</w:t>
            </w:r>
          </w:p>
        </w:tc>
        <w:tc>
          <w:tcPr>
            <w:tcW w:type="dxa" w:w="2307"/>
          </w:tcPr>
          <w:p>
            <w:pPr>
              <w:jc w:val="left"/>
            </w:pPr>
            <w:r>
              <w:rPr/>
              <w:t>同类项目业绩 (6.0分)</w:t>
            </w:r>
          </w:p>
        </w:tc>
        <w:tc>
          <w:tcPr>
            <w:tcW w:type="dxa" w:w="5076"/>
          </w:tcPr>
          <w:p>
            <w:pPr>
              <w:jc w:val="left"/>
            </w:pPr>
            <w:r>
              <w:rPr/>
              <w:t>评标委员会应根据投标人提供的业绩情况进行评审： 2020年1月1日以来 （以合同签订日期为准）投标人承接的同类项目业绩，每提供一个项目业绩得2分，最多得6分。 注：1.按招标文件格式填写《投标人业绩情况表 》并提供加盖投标人公章的业绩合同关键页复印件； 2.关键页内容必须清晰阐明项目名称、双方单位名称、合同签订日期、合同履行主要内容），未按要求提供或所提供资料模糊不清的，得0分。</w:t>
            </w:r>
          </w:p>
        </w:tc>
      </w:tr>
      <w:tr>
        <w:tc>
          <w:tcPr>
            <w:tcW w:type="dxa" w:w="922"/>
            <w:gridSpan w:val="2"/>
            <w:vMerge/>
          </w:tcPr>
          <w:p/>
        </w:tc>
        <w:tc>
          <w:tcPr>
            <w:tcW w:type="dxa" w:w="2307"/>
          </w:tcPr>
          <w:p>
            <w:pPr>
              <w:jc w:val="left"/>
            </w:pPr>
            <w:r>
              <w:rPr/>
              <w:t>企业资质 (3.0分)</w:t>
            </w:r>
          </w:p>
        </w:tc>
        <w:tc>
          <w:tcPr>
            <w:tcW w:type="dxa" w:w="5076"/>
          </w:tcPr>
          <w:p>
            <w:pPr>
              <w:jc w:val="left"/>
            </w:pPr>
            <w:r>
              <w:rPr/>
              <w:t>1、质量管理体系认证证书（1分）； 2、环境管理体系认证证书（1分）； 3、职业健康安全管理体系认证证书（1分）。  注：投标人或所投设备生产厂家具备以上证书，每提供一个证书得1分，满分3分。 提供有效期内的证书复印件和全国认证认可业务信息平台网站的官网截图并加盖投标人的公章，不按要求提供不得分。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①提供信用报告且无不良记录的得 1 分； ②不提供信用报告或提供信用报告但是有不良记录的均不得分。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 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48"/>
        </w:rPr>
        <w:t>广东省政府采购</w:t>
      </w:r>
    </w:p>
    <w:p>
      <w:pPr>
        <w:jc w:val="both"/>
      </w:pPr>
      <w:r>
        <w:rPr>
          <w:b/>
          <w:sz w:val="21"/>
        </w:rPr>
        <w:t xml:space="preserve"> </w:t>
      </w:r>
    </w:p>
    <w:p>
      <w:pPr>
        <w:jc w:val="center"/>
      </w:pPr>
      <w:r>
        <w:rPr>
          <w:b/>
          <w:sz w:val="48"/>
        </w:rPr>
        <w:t>合　同　书</w:t>
      </w:r>
    </w:p>
    <w:p>
      <w:pPr>
        <w:jc w:val="center"/>
      </w:pPr>
      <w:r>
        <w:br/>
      </w:r>
      <w:r>
        <w:br/>
      </w:r>
    </w:p>
    <w:p>
      <w:pPr>
        <w:jc w:val="center"/>
      </w:pPr>
      <w:r>
        <w:rPr>
          <w:b/>
          <w:sz w:val="21"/>
        </w:rPr>
        <w:t xml:space="preserve"> </w:t>
      </w:r>
      <w:r>
        <w:rPr>
          <w:b/>
          <w:sz w:val="21"/>
        </w:rPr>
        <w:t>（本合同范本仅供参考，中标人与采购人可根据双方的具体要求进行修订，双方所签订的合同不得对招标文件确定的事项和中标人投标文件作实质性修改。）</w:t>
      </w:r>
      <w:r>
        <w:br/>
      </w:r>
      <w:r>
        <w:br/>
      </w:r>
      <w:r>
        <w:br/>
      </w:r>
      <w:r>
        <w:rPr>
          <w:sz w:val="21"/>
        </w:rPr>
        <w:t xml:space="preserve"> </w:t>
      </w:r>
    </w:p>
    <w:p>
      <w:pPr>
        <w:ind w:firstLine="2240"/>
        <w:jc w:val="both"/>
      </w:pPr>
      <w:r>
        <w:rPr>
          <w:color w:val="222222"/>
          <w:sz w:val="28"/>
        </w:rPr>
        <w:t xml:space="preserve">   采购计划编号：</w:t>
      </w:r>
      <w:r>
        <w:rPr>
          <w:sz w:val="21"/>
          <w:u w:val="single"/>
        </w:rPr>
        <w:t xml:space="preserve">                          </w:t>
      </w:r>
    </w:p>
    <w:p>
      <w:pPr>
        <w:jc w:val="both"/>
      </w:pPr>
      <w:r>
        <w:rPr>
          <w:sz w:val="21"/>
        </w:rPr>
        <w:t xml:space="preserve"> </w:t>
      </w:r>
    </w:p>
    <w:p>
      <w:pPr>
        <w:ind w:firstLine="2240"/>
        <w:jc w:val="both"/>
      </w:pPr>
      <w:r>
        <w:rPr>
          <w:color w:val="222222"/>
          <w:sz w:val="28"/>
        </w:rPr>
        <w:t xml:space="preserve">   项目编号：</w:t>
      </w:r>
      <w:r>
        <w:rPr>
          <w:sz w:val="21"/>
          <w:u w:val="single"/>
        </w:rPr>
        <w:t xml:space="preserve">                               </w:t>
      </w:r>
    </w:p>
    <w:p>
      <w:pPr>
        <w:jc w:val="both"/>
      </w:pPr>
      <w:r>
        <w:rPr>
          <w:sz w:val="21"/>
        </w:rPr>
        <w:t xml:space="preserve"> </w:t>
      </w:r>
    </w:p>
    <w:p>
      <w:pPr>
        <w:ind w:firstLine="2240"/>
        <w:jc w:val="both"/>
      </w:pPr>
      <w:r>
        <w:rPr>
          <w:color w:val="222222"/>
          <w:sz w:val="28"/>
        </w:rPr>
        <w:t xml:space="preserve">   项目名称：</w:t>
      </w:r>
      <w:r>
        <w:rPr>
          <w:sz w:val="21"/>
          <w:u w:val="single"/>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sz w:val="21"/>
        </w:rPr>
        <w:t xml:space="preserve"> </w:t>
      </w:r>
    </w:p>
    <w:p>
      <w:pPr>
        <w:jc w:val="center"/>
      </w:pPr>
    </w:p>
    <w:p>
      <w:pPr>
        <w:jc w:val="center"/>
      </w:pPr>
    </w:p>
    <w:p>
      <w:pPr>
        <w:jc w:val="both"/>
      </w:pPr>
      <w:r>
        <w:rPr>
          <w:sz w:val="21"/>
        </w:rPr>
        <w:t xml:space="preserve"> </w:t>
      </w:r>
    </w:p>
    <w:p>
      <w:pPr>
        <w:jc w:val="both"/>
      </w:pPr>
      <w:r>
        <w:rPr/>
        <w:t xml:space="preserve"> </w:t>
      </w:r>
    </w:p>
    <w:p>
      <w:pPr>
        <w:jc w:val="both"/>
      </w:pPr>
      <w:r>
        <w:rPr/>
        <w:t xml:space="preserve"> </w:t>
      </w:r>
    </w:p>
    <w:p>
      <w:pPr>
        <w:jc w:val="both"/>
      </w:pPr>
      <w:r>
        <w:rPr>
          <w:b/>
          <w:sz w:val="27"/>
        </w:rPr>
        <w:t>甲　　方：</w:t>
      </w:r>
    </w:p>
    <w:p>
      <w:pPr>
        <w:jc w:val="both"/>
      </w:pPr>
      <w:r>
        <w:rPr>
          <w:sz w:val="27"/>
        </w:rPr>
        <w:t>电　　话：</w:t>
      </w:r>
      <w:r>
        <w:rPr>
          <w:sz w:val="27"/>
        </w:rPr>
        <w:t>　　传　　真：</w:t>
      </w:r>
      <w:r>
        <w:rPr>
          <w:sz w:val="27"/>
        </w:rPr>
        <w:t>　　地　　址：</w:t>
      </w:r>
    </w:p>
    <w:p>
      <w:pPr>
        <w:jc w:val="both"/>
      </w:pPr>
      <w:r>
        <w:rPr>
          <w:b/>
          <w:sz w:val="27"/>
        </w:rPr>
        <w:t>乙　　方：</w:t>
      </w:r>
    </w:p>
    <w:p>
      <w:pPr>
        <w:jc w:val="both"/>
      </w:pPr>
      <w:r>
        <w:rPr>
          <w:sz w:val="27"/>
        </w:rPr>
        <w:t>电　　话：</w:t>
      </w:r>
      <w:r>
        <w:rPr>
          <w:sz w:val="27"/>
        </w:rPr>
        <w:t>　　传　　真：</w:t>
      </w:r>
      <w:r>
        <w:rPr>
          <w:sz w:val="27"/>
        </w:rPr>
        <w:t>　　地　　址：</w:t>
      </w:r>
    </w:p>
    <w:p>
      <w:pPr>
        <w:jc w:val="both"/>
      </w:pPr>
      <w:r>
        <w:rPr>
          <w:sz w:val="21"/>
        </w:rPr>
        <w:t xml:space="preserve"> </w:t>
      </w:r>
    </w:p>
    <w:p>
      <w:pPr>
        <w:ind w:firstLine="404"/>
        <w:jc w:val="both"/>
      </w:pPr>
      <w:r>
        <w:rPr>
          <w:sz w:val="27"/>
        </w:rPr>
        <w:t>根据</w:t>
      </w:r>
      <w:r>
        <w:rPr>
          <w:sz w:val="21"/>
          <w:u w:val="single"/>
        </w:rPr>
        <w:t xml:space="preserve">             </w:t>
      </w:r>
      <w:r>
        <w:rPr>
          <w:sz w:val="27"/>
        </w:rPr>
        <w:t>项目</w:t>
      </w:r>
      <w:r>
        <w:rPr>
          <w:sz w:val="27"/>
        </w:rPr>
        <w:t>的采购结果，按照《中华人民共和国政府采购法》、《中华人民共和国民法典</w:t>
      </w:r>
      <w:r>
        <w:rPr>
          <w:sz w:val="27"/>
        </w:rPr>
        <w:t>(</w:t>
      </w:r>
      <w:r>
        <w:rPr>
          <w:sz w:val="27"/>
        </w:rPr>
        <w:t>合同编</w:t>
      </w:r>
      <w:r>
        <w:rPr>
          <w:sz w:val="27"/>
        </w:rPr>
        <w:t>)</w:t>
      </w:r>
      <w:r>
        <w:rPr>
          <w:sz w:val="27"/>
        </w:rPr>
        <w:t>》的规定，经双方协商，本着平等互利和诚实信用的原则，一致同意签订本合同如下。</w:t>
      </w:r>
    </w:p>
    <w:p>
      <w:pPr>
        <w:jc w:val="both"/>
      </w:pPr>
      <w:r>
        <w:rPr>
          <w:b/>
          <w:sz w:val="27"/>
        </w:rPr>
        <w:t>一、货物内容</w:t>
      </w:r>
    </w:p>
    <w:p>
      <w:pPr>
        <w:jc w:val="center"/>
      </w:pPr>
    </w:p>
    <w:tbl>
      <w:tblPr>
        <w:tblW w:w="0" w:type="auto"/>
        <w:tblBorders>
          <w:top w:val="none" w:color="000000" w:sz="4"/>
          <w:left w:val="none" w:color="000000" w:sz="4"/>
          <w:bottom w:val="none" w:color="000000" w:sz="4"/>
          <w:right w:val="none" w:color="000000" w:sz="4"/>
          <w:insideH w:val="none"/>
          <w:insideV w:val="none"/>
        </w:tblBorders>
      </w:tblPr>
      <w:tblGrid>
        <w:gridCol w:w="793"/>
        <w:gridCol w:w="4032"/>
        <w:gridCol w:w="793"/>
        <w:gridCol w:w="534"/>
        <w:gridCol w:w="534"/>
        <w:gridCol w:w="810"/>
        <w:gridCol w:w="810"/>
      </w:tblGrid>
      <w:tr>
        <w:tc>
          <w:tcPr>
            <w:tcW w:type="dxa" w:w="793"/>
            <w:tcBorders>
              <w:top w:val="single" w:color="CCCCCC" w:sz="4"/>
              <w:left w:val="single" w:color="CCCCCC" w:sz="4"/>
              <w:bottom w:val="single" w:color="CCCCCC" w:sz="4"/>
              <w:right w:val="single" w:color="CCCCCC" w:sz="4"/>
            </w:tcBorders>
            <w:vAlign w:val="top"/>
          </w:tcPr>
          <w:p>
            <w:pPr>
              <w:jc w:val="both"/>
            </w:pPr>
            <w:r>
              <w:rPr>
                <w:sz w:val="24"/>
              </w:rPr>
              <w:t>名称</w:t>
            </w:r>
          </w:p>
        </w:tc>
        <w:tc>
          <w:tcPr>
            <w:tcW w:type="dxa" w:w="4032"/>
            <w:tcBorders>
              <w:top w:val="single" w:color="CCCCCC" w:sz="4"/>
              <w:left w:val="single" w:color="000000" w:sz="4"/>
              <w:bottom w:val="single" w:color="CCCCCC" w:sz="4"/>
              <w:right w:val="single" w:color="CCCCCC" w:sz="4"/>
            </w:tcBorders>
            <w:vAlign w:val="top"/>
          </w:tcPr>
          <w:p>
            <w:pPr>
              <w:jc w:val="center"/>
            </w:pPr>
            <w:r>
              <w:rPr>
                <w:sz w:val="24"/>
              </w:rPr>
              <w:t>品牌、规格、标准</w:t>
            </w:r>
            <w:r>
              <w:rPr>
                <w:sz w:val="24"/>
              </w:rPr>
              <w:t>/</w:t>
            </w:r>
            <w:r>
              <w:rPr>
                <w:sz w:val="24"/>
              </w:rPr>
              <w:t>主要服务内容</w:t>
            </w:r>
          </w:p>
        </w:tc>
        <w:tc>
          <w:tcPr>
            <w:tcW w:type="dxa" w:w="793"/>
            <w:tcBorders>
              <w:top w:val="single" w:color="CCCCCC" w:sz="4"/>
              <w:left w:val="single" w:color="000000" w:sz="4"/>
              <w:bottom w:val="single" w:color="CCCCCC" w:sz="4"/>
              <w:right w:val="single" w:color="CCCCCC" w:sz="4"/>
            </w:tcBorders>
            <w:vAlign w:val="top"/>
          </w:tcPr>
          <w:p>
            <w:pPr>
              <w:jc w:val="both"/>
            </w:pPr>
            <w:r>
              <w:rPr>
                <w:sz w:val="24"/>
              </w:rPr>
              <w:t>产地</w:t>
            </w:r>
          </w:p>
        </w:tc>
        <w:tc>
          <w:tcPr>
            <w:tcW w:type="dxa" w:w="534"/>
            <w:tcBorders>
              <w:top w:val="single" w:color="CCCCCC" w:sz="4"/>
              <w:left w:val="single" w:color="000000" w:sz="4"/>
              <w:bottom w:val="single" w:color="CCCCCC" w:sz="4"/>
              <w:right w:val="single" w:color="CCCCCC" w:sz="4"/>
            </w:tcBorders>
            <w:vAlign w:val="top"/>
          </w:tcPr>
          <w:p>
            <w:pPr>
              <w:jc w:val="center"/>
            </w:pPr>
            <w:r>
              <w:rPr>
                <w:sz w:val="24"/>
              </w:rPr>
              <w:t>数量</w:t>
            </w:r>
          </w:p>
        </w:tc>
        <w:tc>
          <w:tcPr>
            <w:tcW w:type="dxa" w:w="534"/>
            <w:tcBorders>
              <w:top w:val="single" w:color="CCCCCC" w:sz="4"/>
              <w:left w:val="single" w:color="000000" w:sz="4"/>
              <w:bottom w:val="single" w:color="CCCCCC" w:sz="4"/>
              <w:right w:val="single" w:color="CCCCCC" w:sz="4"/>
            </w:tcBorders>
            <w:vAlign w:val="top"/>
          </w:tcPr>
          <w:p>
            <w:pPr>
              <w:jc w:val="center"/>
            </w:pPr>
            <w:r>
              <w:rPr>
                <w:sz w:val="24"/>
              </w:rPr>
              <w:t>单位</w:t>
            </w:r>
          </w:p>
        </w:tc>
        <w:tc>
          <w:tcPr>
            <w:tcW w:type="dxa" w:w="810"/>
            <w:tcBorders>
              <w:top w:val="single" w:color="CCCCCC" w:sz="4"/>
              <w:left w:val="single" w:color="000000" w:sz="4"/>
              <w:bottom w:val="single" w:color="CCCCCC" w:sz="4"/>
              <w:right w:val="single" w:color="CCCCCC" w:sz="4"/>
            </w:tcBorders>
            <w:vAlign w:val="top"/>
          </w:tcPr>
          <w:p>
            <w:pPr>
              <w:jc w:val="center"/>
            </w:pPr>
            <w:r>
              <w:rPr>
                <w:sz w:val="24"/>
              </w:rPr>
              <w:t>单价</w:t>
            </w:r>
          </w:p>
          <w:p>
            <w:pPr>
              <w:jc w:val="center"/>
            </w:pPr>
            <w:r>
              <w:rPr>
                <w:sz w:val="24"/>
              </w:rPr>
              <w:t>（元）</w:t>
            </w:r>
          </w:p>
        </w:tc>
        <w:tc>
          <w:tcPr>
            <w:tcW w:type="dxa" w:w="810"/>
            <w:tcBorders>
              <w:top w:val="single" w:color="CCCCCC" w:sz="4"/>
              <w:left w:val="single" w:color="000000" w:sz="4"/>
              <w:bottom w:val="single" w:color="CCCCCC" w:sz="4"/>
              <w:right w:val="single" w:color="CCCCCC" w:sz="4"/>
            </w:tcBorders>
            <w:vAlign w:val="top"/>
          </w:tcPr>
          <w:p>
            <w:pPr>
              <w:jc w:val="center"/>
            </w:pPr>
            <w:r>
              <w:rPr>
                <w:sz w:val="24"/>
              </w:rPr>
              <w:t>金额</w:t>
            </w:r>
          </w:p>
          <w:p>
            <w:pPr>
              <w:jc w:val="center"/>
            </w:pPr>
            <w:r>
              <w:rPr>
                <w:sz w:val="24"/>
              </w:rPr>
              <w:t>（元）</w:t>
            </w:r>
          </w:p>
        </w:tc>
      </w:tr>
      <w:tr>
        <w:tc>
          <w:tcPr>
            <w:tcW w:type="dxa" w:w="793"/>
            <w:tcBorders>
              <w:top w:val="single" w:color="000000" w:sz="4"/>
              <w:left w:val="single" w:color="CCCCCC" w:sz="4"/>
              <w:bottom w:val="single" w:color="CCCCCC" w:sz="4"/>
              <w:right w:val="single" w:color="CCCCCC" w:sz="4"/>
            </w:tcBorders>
            <w:vAlign w:val="top"/>
          </w:tcPr>
          <w:p>
            <w:pPr>
              <w:jc w:val="center"/>
            </w:pPr>
            <w:r>
              <w:rPr>
                <w:sz w:val="24"/>
              </w:rPr>
              <w:t xml:space="preserve"> **</w:t>
            </w:r>
          </w:p>
        </w:tc>
        <w:tc>
          <w:tcPr>
            <w:tcW w:type="dxa" w:w="4032"/>
            <w:tcBorders>
              <w:top w:val="single" w:color="000000" w:sz="4"/>
              <w:left w:val="single" w:color="000000" w:sz="4"/>
              <w:bottom w:val="single" w:color="CCCCCC" w:sz="4"/>
              <w:right w:val="single" w:color="CCCCCC" w:sz="4"/>
            </w:tcBorders>
            <w:vAlign w:val="top"/>
          </w:tcPr>
          <w:p>
            <w:pPr>
              <w:jc w:val="center"/>
            </w:pPr>
            <w:r>
              <w:rPr>
                <w:sz w:val="24"/>
              </w:rPr>
              <w:t>**</w:t>
            </w:r>
          </w:p>
        </w:tc>
        <w:tc>
          <w:tcPr>
            <w:tcW w:type="dxa" w:w="793"/>
            <w:tcBorders>
              <w:top w:val="single" w:color="000000" w:sz="4"/>
              <w:left w:val="single" w:color="000000" w:sz="4"/>
              <w:bottom w:val="single" w:color="CCCCCC" w:sz="4"/>
              <w:right w:val="single" w:color="CCCCCC" w:sz="4"/>
            </w:tcBorders>
            <w:vAlign w:val="top"/>
          </w:tcPr>
          <w:p>
            <w:pPr>
              <w:jc w:val="center"/>
            </w:pPr>
            <w:r>
              <w:rPr>
                <w:sz w:val="24"/>
              </w:rPr>
              <w:t>**</w:t>
            </w:r>
          </w:p>
        </w:tc>
        <w:tc>
          <w:tcPr>
            <w:tcW w:type="dxa" w:w="534"/>
            <w:tcBorders>
              <w:top w:val="single" w:color="000000" w:sz="4"/>
              <w:left w:val="single" w:color="000000" w:sz="4"/>
              <w:bottom w:val="single" w:color="CCCCCC" w:sz="4"/>
              <w:right w:val="single" w:color="CCCCCC" w:sz="4"/>
            </w:tcBorders>
            <w:vAlign w:val="top"/>
          </w:tcPr>
          <w:p>
            <w:pPr>
              <w:jc w:val="center"/>
            </w:pPr>
            <w:r>
              <w:rPr>
                <w:sz w:val="24"/>
              </w:rPr>
              <w:t>**</w:t>
            </w:r>
          </w:p>
        </w:tc>
        <w:tc>
          <w:tcPr>
            <w:tcW w:type="dxa" w:w="534"/>
            <w:tcBorders>
              <w:top w:val="single" w:color="000000" w:sz="4"/>
              <w:left w:val="single" w:color="000000" w:sz="4"/>
              <w:bottom w:val="single" w:color="CCCCCC" w:sz="4"/>
              <w:right w:val="single" w:color="CCCCCC" w:sz="4"/>
            </w:tcBorders>
            <w:vAlign w:val="top"/>
          </w:tcPr>
          <w:p>
            <w:pPr>
              <w:jc w:val="center"/>
            </w:pPr>
            <w:r>
              <w:rPr>
                <w:sz w:val="24"/>
              </w:rPr>
              <w:t>**</w:t>
            </w:r>
          </w:p>
        </w:tc>
        <w:tc>
          <w:tcPr>
            <w:tcW w:type="dxa" w:w="810"/>
            <w:tcBorders>
              <w:top w:val="single" w:color="000000" w:sz="4"/>
              <w:left w:val="single" w:color="000000" w:sz="4"/>
              <w:bottom w:val="single" w:color="CCCCCC" w:sz="4"/>
              <w:right w:val="single" w:color="CCCCCC" w:sz="4"/>
            </w:tcBorders>
            <w:vAlign w:val="top"/>
          </w:tcPr>
          <w:p>
            <w:pPr>
              <w:jc w:val="center"/>
            </w:pPr>
            <w:r>
              <w:rPr>
                <w:sz w:val="24"/>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4"/>
              </w:rPr>
              <w:t>**</w:t>
            </w:r>
          </w:p>
        </w:tc>
      </w:tr>
      <w:tr>
        <w:tc>
          <w:tcPr>
            <w:tcW w:type="dxa" w:w="793"/>
            <w:tcBorders>
              <w:top w:val="single" w:color="000000" w:sz="4"/>
              <w:left w:val="single" w:color="CCCCCC" w:sz="4"/>
              <w:bottom w:val="single" w:color="CCCCCC" w:sz="4"/>
              <w:right w:val="single" w:color="CCCCCC" w:sz="4"/>
            </w:tcBorders>
            <w:vAlign w:val="top"/>
          </w:tcPr>
          <w:p>
            <w:pPr>
              <w:jc w:val="center"/>
            </w:pPr>
            <w:r>
              <w:rPr>
                <w:sz w:val="21"/>
              </w:rPr>
              <w:t xml:space="preserve"> </w:t>
            </w:r>
          </w:p>
        </w:tc>
        <w:tc>
          <w:tcPr>
            <w:tcW w:type="dxa" w:w="4032"/>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793"/>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r>
      <w:tr>
        <w:tc>
          <w:tcPr>
            <w:tcW w:type="dxa" w:w="793"/>
            <w:tcBorders>
              <w:top w:val="single" w:color="000000" w:sz="4"/>
              <w:left w:val="single" w:color="CCCCCC" w:sz="4"/>
              <w:bottom w:val="single" w:color="CCCCCC" w:sz="4"/>
              <w:right w:val="single" w:color="CCCCCC" w:sz="4"/>
            </w:tcBorders>
            <w:vAlign w:val="top"/>
          </w:tcPr>
          <w:p>
            <w:pPr>
              <w:jc w:val="center"/>
            </w:pPr>
            <w:r>
              <w:rPr>
                <w:sz w:val="21"/>
              </w:rPr>
              <w:t xml:space="preserve"> </w:t>
            </w:r>
          </w:p>
        </w:tc>
        <w:tc>
          <w:tcPr>
            <w:tcW w:type="dxa" w:w="4032"/>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793"/>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r>
      <w:tr>
        <w:tc>
          <w:tcPr>
            <w:tcW w:type="dxa" w:w="793"/>
            <w:tcBorders>
              <w:top w:val="single" w:color="000000" w:sz="4"/>
              <w:left w:val="single" w:color="CCCCCC" w:sz="4"/>
              <w:bottom w:val="single" w:color="CCCCCC" w:sz="4"/>
              <w:right w:val="single" w:color="CCCCCC" w:sz="4"/>
            </w:tcBorders>
            <w:vAlign w:val="top"/>
          </w:tcPr>
          <w:p>
            <w:pPr>
              <w:jc w:val="center"/>
            </w:pPr>
            <w:r>
              <w:rPr>
                <w:sz w:val="21"/>
              </w:rPr>
              <w:t xml:space="preserve"> </w:t>
            </w:r>
          </w:p>
        </w:tc>
        <w:tc>
          <w:tcPr>
            <w:tcW w:type="dxa" w:w="4032"/>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793"/>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r>
      <w:tr>
        <w:tc>
          <w:tcPr>
            <w:tcW w:type="dxa" w:w="793"/>
            <w:tcBorders>
              <w:top w:val="single" w:color="000000" w:sz="4"/>
              <w:left w:val="single" w:color="CCCCCC" w:sz="4"/>
              <w:bottom w:val="single" w:color="CCCCCC" w:sz="4"/>
              <w:right w:val="single" w:color="CCCCCC" w:sz="4"/>
            </w:tcBorders>
            <w:vAlign w:val="top"/>
          </w:tcPr>
          <w:p>
            <w:pPr>
              <w:jc w:val="center"/>
            </w:pPr>
            <w:r>
              <w:rPr>
                <w:sz w:val="21"/>
              </w:rPr>
              <w:t xml:space="preserve"> </w:t>
            </w:r>
          </w:p>
        </w:tc>
        <w:tc>
          <w:tcPr>
            <w:tcW w:type="dxa" w:w="4032"/>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793"/>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r>
      <w:tr>
        <w:tc>
          <w:tcPr>
            <w:tcW w:type="dxa" w:w="7496"/>
            <w:gridSpan w:val="6"/>
            <w:tcBorders>
              <w:top w:val="single" w:color="000000" w:sz="4"/>
              <w:left w:val="single" w:color="CCCCCC" w:sz="4"/>
              <w:bottom w:val="single" w:color="CCCCCC" w:sz="4"/>
              <w:right w:val="single" w:color="CCCCCC" w:sz="4"/>
            </w:tcBorders>
            <w:vAlign w:val="top"/>
          </w:tcPr>
          <w:p>
            <w:pPr>
              <w:jc w:val="center"/>
            </w:pPr>
            <w:r>
              <w:rPr>
                <w:sz w:val="24"/>
              </w:rPr>
              <w:t>合计：人民币大写：</w:t>
            </w:r>
            <w:r>
              <w:rPr>
                <w:sz w:val="24"/>
              </w:rPr>
              <w:t>**</w:t>
            </w:r>
            <w:r>
              <w:rPr>
                <w:sz w:val="24"/>
              </w:rPr>
              <w:t>元整</w:t>
            </w:r>
          </w:p>
        </w:tc>
        <w:tc>
          <w:tcPr>
            <w:tcW w:type="dxa" w:w="810"/>
            <w:tcBorders>
              <w:top w:val="single" w:color="000000" w:sz="4"/>
              <w:left w:val="single" w:color="000000" w:sz="4"/>
              <w:bottom w:val="single" w:color="CCCCCC" w:sz="4"/>
              <w:right w:val="single" w:color="CCCCCC" w:sz="4"/>
            </w:tcBorders>
            <w:vAlign w:val="top"/>
          </w:tcPr>
          <w:p>
            <w:pPr>
              <w:jc w:val="center"/>
            </w:pPr>
            <w:r>
              <w:rPr>
                <w:sz w:val="24"/>
              </w:rPr>
              <w:t>￥：</w:t>
            </w:r>
            <w:r>
              <w:rPr>
                <w:sz w:val="24"/>
              </w:rPr>
              <w:t>**</w:t>
            </w:r>
          </w:p>
        </w:tc>
      </w:tr>
      <w:tr>
        <w:tc>
          <w:tcPr>
            <w:tcW w:type="dxa" w:w="793"/>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4032"/>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793"/>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534"/>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534"/>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810"/>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810"/>
            <w:tcBorders>
              <w:top w:val="none" w:color="000000" w:sz="4"/>
              <w:left w:val="none" w:color="000000" w:sz="4"/>
              <w:bottom w:val="none" w:color="000000" w:sz="4"/>
              <w:right w:val="none" w:color="000000" w:sz="4"/>
            </w:tcBorders>
            <w:vAlign w:val="top"/>
          </w:tcPr>
          <w:p>
            <w:pPr>
              <w:jc w:val="both"/>
            </w:pPr>
            <w:r>
              <w:rPr>
                <w:sz w:val="21"/>
              </w:rPr>
              <w:t xml:space="preserve"> </w:t>
            </w:r>
          </w:p>
        </w:tc>
      </w:tr>
    </w:tbl>
    <w:p>
      <w:pPr>
        <w:jc w:val="both"/>
      </w:pPr>
      <w:r>
        <w:rPr>
          <w:sz w:val="21"/>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二、合同金额</w:t>
      </w:r>
    </w:p>
    <w:p>
      <w:pPr>
        <w:jc w:val="both"/>
      </w:pPr>
      <w:r>
        <w:rPr>
          <w:sz w:val="27"/>
        </w:rPr>
        <w:t>合同金额为（大写）：</w:t>
      </w:r>
      <w:r>
        <w:rPr>
          <w:sz w:val="27"/>
        </w:rPr>
        <w:t>_________________</w:t>
      </w:r>
      <w:r>
        <w:rPr>
          <w:sz w:val="27"/>
        </w:rPr>
        <w:t>元（￥</w:t>
      </w:r>
      <w:r>
        <w:rPr>
          <w:sz w:val="27"/>
        </w:rPr>
        <w:t>_______________</w:t>
      </w:r>
      <w:r>
        <w:rPr>
          <w:sz w:val="27"/>
        </w:rPr>
        <w:t>元）人民币。</w:t>
      </w:r>
    </w:p>
    <w:p>
      <w:pPr>
        <w:jc w:val="both"/>
      </w:pPr>
      <w:r>
        <w:rPr>
          <w:b/>
          <w:sz w:val="27"/>
        </w:rPr>
        <w:t>三、设备要求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8"/>
        </w:rPr>
        <w:t>四、交货期、交货方式及交货地点</w:t>
      </w:r>
    </w:p>
    <w:p>
      <w:pPr>
        <w:jc w:val="both"/>
      </w:pPr>
      <w:r>
        <w:rPr>
          <w:sz w:val="28"/>
        </w:rPr>
        <w:t xml:space="preserve">    </w:t>
      </w:r>
      <w:r>
        <w:rPr>
          <w:sz w:val="28"/>
        </w:rPr>
        <w:t>1.交货期：签订合同后 30 天内到货完成装机。</w:t>
      </w:r>
    </w:p>
    <w:p>
      <w:pPr>
        <w:jc w:val="both"/>
      </w:pPr>
      <w:r>
        <w:rPr>
          <w:sz w:val="28"/>
        </w:rPr>
        <w:t xml:space="preserve">    </w:t>
      </w:r>
      <w:r>
        <w:rPr>
          <w:sz w:val="28"/>
        </w:rPr>
        <w:t>2.交货方式：</w:t>
      </w:r>
    </w:p>
    <w:p>
      <w:pPr>
        <w:jc w:val="both"/>
      </w:pPr>
      <w:r>
        <w:rPr>
          <w:sz w:val="28"/>
        </w:rPr>
        <w:t xml:space="preserve">    </w:t>
      </w:r>
      <w:r>
        <w:rPr>
          <w:sz w:val="28"/>
        </w:rPr>
        <w:t>3.交货地点：中山市</w:t>
      </w:r>
      <w:r>
        <w:rPr>
          <w:sz w:val="28"/>
        </w:rPr>
        <w:t>大涌</w:t>
      </w:r>
      <w:r>
        <w:rPr>
          <w:sz w:val="28"/>
        </w:rPr>
        <w:t>医院指定地点。</w:t>
      </w:r>
    </w:p>
    <w:p>
      <w:pPr>
        <w:jc w:val="both"/>
      </w:pPr>
      <w:r>
        <w:rPr>
          <w:b/>
          <w:sz w:val="27"/>
        </w:rPr>
        <w:t>五</w:t>
      </w:r>
      <w:r>
        <w:rPr>
          <w:b/>
          <w:sz w:val="27"/>
        </w:rPr>
        <w:t>、付款方式</w:t>
      </w:r>
    </w:p>
    <w:p>
      <w:pPr>
        <w:jc w:val="both"/>
      </w:pPr>
      <w:r>
        <w:rPr>
          <w:sz w:val="28"/>
        </w:rPr>
        <w:t xml:space="preserve">  </w:t>
      </w:r>
      <w:r>
        <w:rPr>
          <w:sz w:val="28"/>
        </w:rPr>
        <w:t>1期：支付比例</w:t>
      </w:r>
      <w:r>
        <w:rPr>
          <w:sz w:val="28"/>
        </w:rPr>
        <w:t>7</w:t>
      </w:r>
      <w:r>
        <w:rPr>
          <w:sz w:val="28"/>
        </w:rPr>
        <w:t>0%,项目通过验收合格后</w:t>
      </w:r>
      <w:r>
        <w:rPr>
          <w:sz w:val="28"/>
        </w:rPr>
        <w:t>甲方</w:t>
      </w:r>
      <w:r>
        <w:rPr>
          <w:sz w:val="28"/>
        </w:rPr>
        <w:t>凭</w:t>
      </w:r>
      <w:r>
        <w:rPr>
          <w:sz w:val="28"/>
        </w:rPr>
        <w:t>乙方提供合同</w:t>
      </w:r>
      <w:r>
        <w:rPr>
          <w:sz w:val="28"/>
        </w:rPr>
        <w:t>总价</w:t>
      </w:r>
      <w:r>
        <w:rPr>
          <w:sz w:val="28"/>
        </w:rPr>
        <w:t>7</w:t>
      </w:r>
      <w:r>
        <w:rPr>
          <w:sz w:val="28"/>
        </w:rPr>
        <w:t>0％的</w:t>
      </w:r>
      <w:r>
        <w:rPr>
          <w:sz w:val="28"/>
        </w:rPr>
        <w:t>有效</w:t>
      </w:r>
      <w:r>
        <w:rPr>
          <w:sz w:val="28"/>
        </w:rPr>
        <w:t>发票，</w:t>
      </w:r>
      <w:r>
        <w:rPr>
          <w:sz w:val="28"/>
        </w:rPr>
        <w:t>90天内甲方支付相应款项给乙方。</w:t>
      </w:r>
    </w:p>
    <w:p>
      <w:pPr>
        <w:ind w:firstLine="280"/>
        <w:jc w:val="both"/>
      </w:pPr>
      <w:r>
        <w:rPr>
          <w:sz w:val="28"/>
        </w:rPr>
        <w:t>2期：支付比例</w:t>
      </w:r>
      <w:r>
        <w:rPr>
          <w:sz w:val="28"/>
        </w:rPr>
        <w:t>3</w:t>
      </w:r>
      <w:r>
        <w:rPr>
          <w:sz w:val="28"/>
        </w:rPr>
        <w:t>0%, 项目通过验收合格后满</w:t>
      </w:r>
      <w:r>
        <w:rPr>
          <w:sz w:val="28"/>
        </w:rPr>
        <w:t>一年后甲方</w:t>
      </w:r>
      <w:r>
        <w:rPr>
          <w:sz w:val="28"/>
        </w:rPr>
        <w:t>凭</w:t>
      </w:r>
      <w:r>
        <w:rPr>
          <w:sz w:val="28"/>
        </w:rPr>
        <w:t>乙方提供合同</w:t>
      </w:r>
      <w:r>
        <w:rPr>
          <w:sz w:val="28"/>
        </w:rPr>
        <w:t>总价</w:t>
      </w:r>
      <w:r>
        <w:rPr>
          <w:sz w:val="28"/>
        </w:rPr>
        <w:t>3</w:t>
      </w:r>
      <w:r>
        <w:rPr>
          <w:sz w:val="28"/>
        </w:rPr>
        <w:t>0％的</w:t>
      </w:r>
      <w:r>
        <w:rPr>
          <w:sz w:val="28"/>
        </w:rPr>
        <w:t>有效</w:t>
      </w:r>
      <w:r>
        <w:rPr>
          <w:sz w:val="28"/>
        </w:rPr>
        <w:t>发票，</w:t>
      </w:r>
      <w:r>
        <w:rPr>
          <w:sz w:val="28"/>
        </w:rPr>
        <w:t>30天内甲方支付相应款项给乙方。</w:t>
      </w:r>
    </w:p>
    <w:p>
      <w:pPr>
        <w:jc w:val="both"/>
      </w:pPr>
    </w:p>
    <w:p>
      <w:pPr>
        <w:jc w:val="both"/>
      </w:pPr>
      <w:r>
        <w:rPr>
          <w:b/>
          <w:sz w:val="27"/>
        </w:rPr>
        <w:t>六、质保期及售后服务要求</w:t>
      </w:r>
    </w:p>
    <w:p>
      <w:pPr>
        <w:jc w:val="both"/>
      </w:pPr>
    </w:p>
    <w:p>
      <w:pPr>
        <w:jc w:val="both"/>
      </w:pPr>
      <w:r>
        <w:rPr>
          <w:sz w:val="27"/>
        </w:rPr>
        <w:t>1.</w:t>
      </w:r>
      <w:r>
        <w:rPr>
          <w:sz w:val="27"/>
        </w:rPr>
        <w:t>整机免费保修期</w:t>
      </w:r>
      <w:r>
        <w:rPr>
          <w:sz w:val="27"/>
        </w:rPr>
        <w:t>从验收合格日起</w:t>
      </w:r>
      <w:r>
        <w:rPr>
          <w:sz w:val="27"/>
          <w:u w:val="single"/>
        </w:rPr>
        <w:t xml:space="preserve">  </w:t>
      </w:r>
      <w:r>
        <w:rPr>
          <w:sz w:val="27"/>
          <w:u w:val="single"/>
        </w:rPr>
        <w:t>3</w:t>
      </w:r>
      <w:r>
        <w:rPr>
          <w:sz w:val="21"/>
          <w:u w:val="single"/>
        </w:rPr>
        <w:t xml:space="preserve"> </w:t>
      </w:r>
      <w:r>
        <w:rPr>
          <w:sz w:val="27"/>
        </w:rPr>
        <w:t>年；提供终身维护服务。</w:t>
      </w:r>
    </w:p>
    <w:p>
      <w:pPr>
        <w:jc w:val="left"/>
      </w:pPr>
      <w:r>
        <w:rPr>
          <w:sz w:val="27"/>
        </w:rPr>
        <w:t>2.</w:t>
      </w:r>
      <w:r>
        <w:rPr>
          <w:sz w:val="27"/>
        </w:rPr>
        <w:t>在保修期内要求至少回访</w:t>
      </w:r>
      <w:r>
        <w:rPr>
          <w:sz w:val="21"/>
          <w:u w:val="single"/>
        </w:rPr>
        <w:t xml:space="preserve"> </w:t>
      </w:r>
      <w:r>
        <w:rPr>
          <w:sz w:val="27"/>
          <w:u w:val="single"/>
        </w:rPr>
        <w:t>6</w:t>
      </w:r>
      <w:r>
        <w:rPr>
          <w:sz w:val="21"/>
          <w:u w:val="single"/>
        </w:rPr>
        <w:t xml:space="preserve"> </w:t>
      </w:r>
      <w:r>
        <w:rPr>
          <w:sz w:val="27"/>
        </w:rPr>
        <w:t>次，有问题做到及时处理，出现质量问题时，工程师须在</w:t>
      </w:r>
      <w:r>
        <w:rPr>
          <w:sz w:val="27"/>
          <w:u w:val="single"/>
        </w:rPr>
        <w:t xml:space="preserve"> </w:t>
      </w:r>
      <w:r>
        <w:rPr>
          <w:sz w:val="27"/>
          <w:u w:val="single"/>
        </w:rPr>
        <w:t>2</w:t>
      </w:r>
      <w:r>
        <w:rPr>
          <w:sz w:val="27"/>
        </w:rPr>
        <w:t>小时内对甲方提出的需求做出响应，</w:t>
      </w:r>
      <w:r>
        <w:rPr>
          <w:sz w:val="21"/>
          <w:u w:val="single"/>
        </w:rPr>
        <w:t xml:space="preserve"> </w:t>
      </w:r>
      <w:r>
        <w:rPr>
          <w:sz w:val="27"/>
          <w:u w:val="single"/>
        </w:rPr>
        <w:t xml:space="preserve"> </w:t>
      </w:r>
      <w:r>
        <w:rPr>
          <w:sz w:val="27"/>
          <w:u w:val="single"/>
        </w:rPr>
        <w:t xml:space="preserve">6  </w:t>
      </w:r>
      <w:r>
        <w:rPr>
          <w:sz w:val="27"/>
        </w:rPr>
        <w:t>小时内服务到位、排除故障。若无法修复，乙方必提供同规格、同型号、同参数的设备保证甲方使用。</w:t>
      </w:r>
    </w:p>
    <w:p>
      <w:pPr>
        <w:jc w:val="left"/>
      </w:pPr>
      <w:r>
        <w:rPr>
          <w:sz w:val="27"/>
        </w:rPr>
        <w:t>3.</w:t>
      </w:r>
      <w:r>
        <w:rPr>
          <w:sz w:val="27"/>
        </w:rPr>
        <w:t>免费提供最新版本软件升级（包括拥有本次所要求出售货物</w:t>
      </w:r>
      <w:r>
        <w:rPr>
          <w:sz w:val="27"/>
        </w:rPr>
        <w:t>的备件、专用设备和技术人员）。</w:t>
      </w:r>
    </w:p>
    <w:p>
      <w:pPr>
        <w:jc w:val="left"/>
      </w:pPr>
      <w:r>
        <w:rPr>
          <w:sz w:val="27"/>
        </w:rPr>
        <w:t>4.</w:t>
      </w:r>
      <w:r>
        <w:rPr>
          <w:sz w:val="27"/>
        </w:rPr>
        <w:t>乙方</w:t>
      </w:r>
      <w:r>
        <w:rPr>
          <w:sz w:val="27"/>
        </w:rPr>
        <w:t>提供技术资料，含使用说明书、图纸等；</w:t>
      </w:r>
    </w:p>
    <w:p>
      <w:pPr>
        <w:jc w:val="both"/>
      </w:pPr>
      <w:r>
        <w:rPr>
          <w:sz w:val="27"/>
        </w:rPr>
        <w:t>5.</w:t>
      </w:r>
      <w:r>
        <w:rPr>
          <w:sz w:val="27"/>
        </w:rPr>
        <w:t>乙方</w:t>
      </w:r>
      <w:r>
        <w:rPr>
          <w:sz w:val="27"/>
        </w:rPr>
        <w:t>提供操作、维护、维修培训计划，必须由原厂工程师及技术人员直接提供保修、维修、免费技术培训服务；</w:t>
      </w:r>
    </w:p>
    <w:p>
      <w:r>
        <w:rPr>
          <w:color w:val="000000"/>
          <w:sz w:val="27"/>
        </w:rPr>
        <w:t>6.</w:t>
      </w:r>
      <w:r>
        <w:rPr>
          <w:color w:val="000000"/>
          <w:sz w:val="27"/>
        </w:rPr>
        <w:t>乙方</w:t>
      </w:r>
      <w:r>
        <w:rPr>
          <w:color w:val="000000"/>
          <w:sz w:val="27"/>
        </w:rPr>
        <w:t>供应设备的维修、原厂配件；</w:t>
      </w:r>
    </w:p>
    <w:p>
      <w:r>
        <w:rPr>
          <w:color w:val="000000"/>
          <w:sz w:val="27"/>
        </w:rPr>
        <w:t>7.</w:t>
      </w:r>
      <w:r>
        <w:rPr>
          <w:color w:val="000000"/>
          <w:sz w:val="27"/>
        </w:rPr>
        <w:t>乙方</w:t>
      </w:r>
      <w:r>
        <w:rPr>
          <w:color w:val="000000"/>
          <w:sz w:val="27"/>
        </w:rPr>
        <w:t>需要帮助</w:t>
      </w:r>
      <w:r>
        <w:rPr>
          <w:color w:val="000000"/>
          <w:sz w:val="27"/>
        </w:rPr>
        <w:t>甲方</w:t>
      </w:r>
      <w:r>
        <w:rPr>
          <w:color w:val="000000"/>
          <w:sz w:val="27"/>
        </w:rPr>
        <w:t>培训</w:t>
      </w:r>
      <w:r>
        <w:rPr>
          <w:color w:val="000000"/>
          <w:sz w:val="27"/>
          <w:u w:val="single"/>
        </w:rPr>
        <w:t xml:space="preserve"> </w:t>
      </w:r>
      <w:r>
        <w:rPr>
          <w:color w:val="000000"/>
          <w:sz w:val="27"/>
          <w:u w:val="single"/>
        </w:rPr>
        <w:t>10</w:t>
      </w:r>
      <w:r>
        <w:rPr>
          <w:color w:val="000000"/>
          <w:sz w:val="27"/>
        </w:rPr>
        <w:t>名以上工作人员能够熟练使用该设备，所</w:t>
      </w:r>
      <w:r>
        <w:rPr>
          <w:color w:val="000000"/>
          <w:sz w:val="27"/>
        </w:rPr>
        <w:t>涉及到的培训费和差旅费由中标人承担。</w:t>
      </w:r>
    </w:p>
    <w:p>
      <w:r>
        <w:rPr>
          <w:color w:val="000000"/>
          <w:sz w:val="27"/>
        </w:rPr>
        <w:t>8.</w:t>
      </w:r>
      <w:r>
        <w:rPr>
          <w:color w:val="000000"/>
          <w:sz w:val="27"/>
        </w:rPr>
        <w:t>乙方</w:t>
      </w:r>
      <w:r>
        <w:rPr>
          <w:color w:val="000000"/>
          <w:sz w:val="27"/>
        </w:rPr>
        <w:t>提供的设备能接入甲方院内双向</w:t>
      </w:r>
      <w:r>
        <w:rPr>
          <w:color w:val="000000"/>
          <w:sz w:val="27"/>
          <w:u w:val="single"/>
        </w:rPr>
        <w:t xml:space="preserve"> </w:t>
      </w:r>
      <w:r>
        <w:rPr>
          <w:color w:val="000000"/>
          <w:sz w:val="27"/>
          <w:u w:val="single"/>
        </w:rPr>
        <w:t>LIS</w:t>
      </w:r>
      <w:r>
        <w:rPr>
          <w:color w:val="000000"/>
          <w:sz w:val="27"/>
        </w:rPr>
        <w:t>等系统，并承担对接所产生的所有费用。</w:t>
      </w:r>
    </w:p>
    <w:p>
      <w:r>
        <w:rPr>
          <w:color w:val="000000"/>
          <w:sz w:val="27"/>
        </w:rPr>
        <w:t>9.</w:t>
      </w:r>
      <w:r>
        <w:rPr>
          <w:color w:val="000000"/>
          <w:sz w:val="27"/>
        </w:rPr>
        <w:t>乙方</w:t>
      </w:r>
      <w:r>
        <w:rPr>
          <w:color w:val="000000"/>
          <w:sz w:val="27"/>
        </w:rPr>
        <w:t>配套纯水机一套。</w:t>
      </w:r>
    </w:p>
    <w:p>
      <w:pPr>
        <w:jc w:val="both"/>
      </w:pPr>
      <w:r>
        <w:rPr>
          <w:b/>
          <w:sz w:val="27"/>
        </w:rPr>
        <w:t>七、安装与调试</w:t>
      </w:r>
    </w:p>
    <w:p>
      <w:pPr>
        <w:jc w:val="both"/>
      </w:pPr>
      <w:r>
        <w:rPr>
          <w:sz w:val="27"/>
        </w:rPr>
        <w:t>1.</w:t>
      </w:r>
      <w:r>
        <w:rPr>
          <w:sz w:val="27"/>
        </w:rPr>
        <w:t>乙方必须依照招标文件的要求和报价文件的承诺，将设备、系统安装并调试至正常运行的最佳状态。</w:t>
      </w:r>
    </w:p>
    <w:p>
      <w:pPr>
        <w:jc w:val="both"/>
      </w:pPr>
      <w:r>
        <w:rPr>
          <w:b/>
          <w:sz w:val="27"/>
        </w:rPr>
        <w:t>八、验收：</w:t>
      </w:r>
    </w:p>
    <w:p>
      <w:pPr>
        <w:jc w:val="both"/>
      </w:pPr>
      <w:r>
        <w:rPr>
          <w:sz w:val="27"/>
        </w:rPr>
        <w:t>1.</w:t>
      </w:r>
      <w:r>
        <w:rPr>
          <w:sz w:val="27"/>
        </w:rPr>
        <w:t>合同设备安装调试完成并移交所有资料文档后</w:t>
      </w:r>
      <w:r>
        <w:rPr>
          <w:sz w:val="27"/>
          <w:u w:val="single"/>
        </w:rPr>
        <w:t xml:space="preserve">  </w:t>
      </w:r>
      <w:r>
        <w:rPr>
          <w:sz w:val="27"/>
          <w:u w:val="single"/>
        </w:rPr>
        <w:t xml:space="preserve">7  </w:t>
      </w:r>
      <w:r>
        <w:rPr>
          <w:sz w:val="27"/>
        </w:rPr>
        <w:t>个工作日内验收，验收应在双方共同参加下进行，验收标准按照国家有关标准。</w:t>
      </w:r>
    </w:p>
    <w:p>
      <w:pPr>
        <w:jc w:val="both"/>
      </w:pPr>
      <w:r>
        <w:rPr>
          <w:sz w:val="27"/>
        </w:rPr>
        <w:t>2.</w:t>
      </w:r>
      <w:r>
        <w:rPr>
          <w:sz w:val="27"/>
        </w:rPr>
        <w:t>交付验收标准依次序对照适用标准为：</w:t>
      </w:r>
      <w:r>
        <w:rPr>
          <w:sz w:val="27"/>
        </w:rPr>
        <w:t>①</w:t>
      </w:r>
      <w:r>
        <w:rPr>
          <w:sz w:val="27"/>
        </w:rPr>
        <w:t>符合中华人民共和国国家安全质量标准、环保标准或行业标准；</w:t>
      </w:r>
      <w:r>
        <w:rPr>
          <w:sz w:val="27"/>
        </w:rPr>
        <w:t>②</w:t>
      </w:r>
      <w:r>
        <w:rPr>
          <w:sz w:val="27"/>
        </w:rPr>
        <w:t>符合招标文件和响应承诺中甲方认可的合理最佳配置、参数及各项要求；</w:t>
      </w:r>
      <w:r>
        <w:rPr>
          <w:sz w:val="27"/>
        </w:rPr>
        <w:t>③</w:t>
      </w:r>
      <w:r>
        <w:rPr>
          <w:sz w:val="27"/>
        </w:rPr>
        <w:t>货物来源国官方标准。</w:t>
      </w:r>
    </w:p>
    <w:p>
      <w:pPr>
        <w:jc w:val="both"/>
      </w:pPr>
      <w:r>
        <w:rPr>
          <w:sz w:val="27"/>
        </w:rPr>
        <w:t>3.</w:t>
      </w:r>
      <w:r>
        <w:rPr>
          <w:sz w:val="27"/>
        </w:rPr>
        <w:t>进口产品必须具备原产地证明和商检局的检验证明及合法进货渠道证明。</w:t>
      </w:r>
    </w:p>
    <w:p>
      <w:pPr>
        <w:jc w:val="both"/>
      </w:pPr>
      <w:r>
        <w:rPr>
          <w:sz w:val="27"/>
        </w:rPr>
        <w:t xml:space="preserve"> 4.</w:t>
      </w:r>
      <w:r>
        <w:rPr>
          <w:sz w:val="27"/>
        </w:rPr>
        <w:t>货物为原厂商未启封全新包装，具出厂合格证，序列号、包装箱号与出厂批号一致，并可追索查阅。所有随设备的附件必须齐全。</w:t>
      </w:r>
    </w:p>
    <w:p>
      <w:pPr>
        <w:jc w:val="both"/>
      </w:pPr>
      <w:r>
        <w:rPr>
          <w:sz w:val="27"/>
        </w:rPr>
        <w:t xml:space="preserve"> 5.</w:t>
      </w:r>
      <w:r>
        <w:rPr>
          <w:sz w:val="27"/>
        </w:rPr>
        <w:t>乙方应将关键主机设备的用户手册、保修手册、有关单证资料及配备件、随机工具等交付给甲方，使用操作及安全须知等重要资料应附有中文说明。</w:t>
      </w:r>
    </w:p>
    <w:p>
      <w:pPr>
        <w:jc w:val="both"/>
      </w:pPr>
      <w:r>
        <w:rPr>
          <w:sz w:val="27"/>
        </w:rPr>
        <w:t xml:space="preserve"> 6.</w:t>
      </w:r>
      <w:r>
        <w:rPr>
          <w:sz w:val="27"/>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jc w:val="both"/>
      </w:pPr>
      <w:r>
        <w:rPr>
          <w:b/>
          <w:sz w:val="27"/>
        </w:rPr>
        <w:t>九、违约责任与赔偿损失</w:t>
      </w:r>
    </w:p>
    <w:p>
      <w:pPr>
        <w:jc w:val="both"/>
      </w:pPr>
      <w:r>
        <w:rPr>
          <w:sz w:val="27"/>
        </w:rPr>
        <w:t>1.</w:t>
      </w:r>
      <w:r>
        <w:rPr>
          <w:sz w:val="27"/>
        </w:rPr>
        <w:t>乙方交付的货物、工程</w:t>
      </w:r>
      <w:r>
        <w:rPr>
          <w:sz w:val="27"/>
        </w:rPr>
        <w:t>/</w:t>
      </w:r>
      <w:r>
        <w:rPr>
          <w:sz w:val="27"/>
        </w:rPr>
        <w:t>提供的服务不符合本合同规定的，甲方有权拒收，并且乙方须向甲方支付本合同总价</w:t>
      </w:r>
      <w:r>
        <w:rPr>
          <w:sz w:val="21"/>
          <w:u w:val="single"/>
        </w:rPr>
        <w:t xml:space="preserve">   </w:t>
      </w:r>
      <w:r>
        <w:rPr>
          <w:sz w:val="27"/>
        </w:rPr>
        <w:t>%</w:t>
      </w:r>
      <w:r>
        <w:rPr>
          <w:sz w:val="27"/>
        </w:rPr>
        <w:t>的违约金。</w:t>
      </w:r>
    </w:p>
    <w:p>
      <w:pPr>
        <w:jc w:val="both"/>
      </w:pPr>
      <w:r>
        <w:rPr>
          <w:sz w:val="27"/>
        </w:rPr>
        <w:t>2.</w:t>
      </w:r>
      <w:r>
        <w:rPr>
          <w:sz w:val="27"/>
        </w:rPr>
        <w:t>乙方未能按本合同规定的交货时间交付货物的</w:t>
      </w:r>
      <w:r>
        <w:rPr>
          <w:sz w:val="27"/>
        </w:rPr>
        <w:t>/</w:t>
      </w:r>
      <w:r>
        <w:rPr>
          <w:sz w:val="27"/>
        </w:rPr>
        <w:t>提供服务，从逾期之日起每日按本合同总价</w:t>
      </w:r>
      <w:r>
        <w:rPr>
          <w:sz w:val="21"/>
          <w:u w:val="single"/>
        </w:rPr>
        <w:t xml:space="preserve">    </w:t>
      </w:r>
      <w:r>
        <w:rPr>
          <w:sz w:val="27"/>
        </w:rPr>
        <w:t>‰</w:t>
      </w:r>
      <w:r>
        <w:rPr>
          <w:sz w:val="27"/>
        </w:rPr>
        <w:t>的数额向甲方支付违约金；逾期半个月以上的，甲方有权终止合同，由此造成的甲方经济损失由乙方承担。</w:t>
      </w:r>
    </w:p>
    <w:p>
      <w:pPr>
        <w:jc w:val="both"/>
      </w:pPr>
      <w:r>
        <w:rPr>
          <w:sz w:val="27"/>
        </w:rPr>
        <w:t>3.</w:t>
      </w:r>
      <w:r>
        <w:rPr>
          <w:sz w:val="27"/>
        </w:rPr>
        <w:t>甲方无正当理由拒收货物</w:t>
      </w:r>
      <w:r>
        <w:rPr>
          <w:sz w:val="27"/>
        </w:rPr>
        <w:t>/</w:t>
      </w:r>
      <w:r>
        <w:rPr>
          <w:sz w:val="27"/>
        </w:rPr>
        <w:t>接受服务，到期拒付货物</w:t>
      </w:r>
      <w:r>
        <w:rPr>
          <w:sz w:val="27"/>
        </w:rPr>
        <w:t>/</w:t>
      </w:r>
      <w:r>
        <w:rPr>
          <w:sz w:val="27"/>
        </w:rPr>
        <w:t>服务款项的，甲方向乙方偿付本合同总的</w:t>
      </w:r>
      <w:r>
        <w:rPr>
          <w:sz w:val="21"/>
          <w:u w:val="single"/>
        </w:rPr>
        <w:t xml:space="preserve">    </w:t>
      </w:r>
      <w:r>
        <w:rPr>
          <w:sz w:val="27"/>
        </w:rPr>
        <w:t>%</w:t>
      </w:r>
      <w:r>
        <w:rPr>
          <w:sz w:val="27"/>
        </w:rPr>
        <w:t>的违约金。甲方人逾期付款，则每日按本合同总价的</w:t>
      </w:r>
      <w:r>
        <w:rPr>
          <w:sz w:val="21"/>
          <w:u w:val="single"/>
        </w:rPr>
        <w:t xml:space="preserve">    </w:t>
      </w:r>
      <w:r>
        <w:rPr>
          <w:sz w:val="27"/>
        </w:rPr>
        <w:t>‰</w:t>
      </w:r>
      <w:r>
        <w:rPr>
          <w:sz w:val="27"/>
        </w:rPr>
        <w:t>向乙方偿付违约金。</w:t>
      </w:r>
    </w:p>
    <w:p>
      <w:pPr>
        <w:jc w:val="both"/>
      </w:pPr>
      <w:r>
        <w:rPr>
          <w:sz w:val="27"/>
        </w:rPr>
        <w:t xml:space="preserve">4.   </w:t>
      </w:r>
      <w:r>
        <w:rPr>
          <w:sz w:val="27"/>
        </w:rPr>
        <w:t>对于因甲方原因导致变更、中止或者终止政府采购合同的，甲方应当依照以下合同约定对供应商受到的损失予以赔偿或者补偿：</w:t>
      </w:r>
    </w:p>
    <w:p>
      <w:pPr>
        <w:jc w:val="both"/>
      </w:pPr>
      <w:r>
        <w:rPr>
          <w:sz w:val="21"/>
        </w:rPr>
        <w:t xml:space="preserve">       </w:t>
      </w:r>
      <w:r>
        <w:rPr>
          <w:sz w:val="21"/>
          <w:u w:val="single"/>
        </w:rPr>
        <w:t xml:space="preserve">                                                </w:t>
      </w:r>
    </w:p>
    <w:p>
      <w:pPr>
        <w:jc w:val="both"/>
      </w:pPr>
      <w:r>
        <w:rPr>
          <w:sz w:val="27"/>
        </w:rPr>
        <w:t>5.</w:t>
      </w:r>
      <w:r>
        <w:rPr>
          <w:sz w:val="27"/>
        </w:rPr>
        <w:t>其它违约责任按《中华人民共和国民法典</w:t>
      </w:r>
      <w:r>
        <w:rPr>
          <w:sz w:val="27"/>
        </w:rPr>
        <w:t>(</w:t>
      </w:r>
      <w:r>
        <w:rPr>
          <w:sz w:val="27"/>
        </w:rPr>
        <w:t>合同编</w:t>
      </w:r>
      <w:r>
        <w:rPr>
          <w:sz w:val="27"/>
        </w:rPr>
        <w:t>)</w:t>
      </w:r>
      <w:r>
        <w:rPr>
          <w:sz w:val="27"/>
        </w:rPr>
        <w:t>》处理。</w:t>
      </w:r>
    </w:p>
    <w:p>
      <w:pPr>
        <w:jc w:val="both"/>
      </w:pPr>
      <w:r>
        <w:rPr>
          <w:b/>
          <w:sz w:val="27"/>
        </w:rPr>
        <w:t>十、争议的解决</w:t>
      </w:r>
      <w:r>
        <w:rPr>
          <w:sz w:val="27"/>
        </w:rPr>
        <w:t xml:space="preserve">  </w:t>
      </w:r>
      <w:r>
        <w:rPr>
          <w:sz w:val="27"/>
        </w:rPr>
        <w:t>合同执行过程中发生的任何争议，如双方不能通过友好协商解决，按相关法律法规处理。</w:t>
      </w:r>
    </w:p>
    <w:p>
      <w:pPr>
        <w:jc w:val="both"/>
      </w:pPr>
      <w:r>
        <w:rPr>
          <w:b/>
          <w:sz w:val="27"/>
        </w:rPr>
        <w:t>十一、不可抗力</w:t>
      </w:r>
    </w:p>
    <w:p>
      <w:pPr>
        <w:jc w:val="both"/>
      </w:pPr>
      <w:r>
        <w:rPr>
          <w:sz w:val="27"/>
        </w:rPr>
        <w:t>1.</w:t>
      </w:r>
      <w:r>
        <w:rPr>
          <w:sz w:val="27"/>
        </w:rPr>
        <w:t>任何一方由于不可抗力原因不能履行合同时，应在不可抗力事件结束后</w:t>
      </w:r>
      <w:r>
        <w:rPr>
          <w:sz w:val="27"/>
        </w:rPr>
        <w:t>1</w:t>
      </w:r>
      <w:r>
        <w:rPr>
          <w:sz w:val="27"/>
        </w:rPr>
        <w:t>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十二、税费</w:t>
      </w:r>
    </w:p>
    <w:p>
      <w:pPr>
        <w:jc w:val="both"/>
      </w:pPr>
      <w:r>
        <w:rPr>
          <w:sz w:val="27"/>
        </w:rPr>
        <w:t>1.</w:t>
      </w:r>
      <w:r>
        <w:rPr>
          <w:sz w:val="27"/>
        </w:rPr>
        <w:t>在中国境内、外发生的与本合同执行有关的一切税费均由乙方负担。</w:t>
      </w:r>
    </w:p>
    <w:p>
      <w:pPr>
        <w:jc w:val="both"/>
      </w:pPr>
      <w:r>
        <w:rPr>
          <w:b/>
          <w:sz w:val="27"/>
        </w:rPr>
        <w:t>十三、</w:t>
      </w:r>
      <w:r>
        <w:rPr>
          <w:sz w:val="21"/>
        </w:rPr>
        <w:t xml:space="preserve"> </w:t>
      </w:r>
      <w:r>
        <w:rPr>
          <w:b/>
          <w:sz w:val="27"/>
        </w:rPr>
        <w:t>其它</w:t>
      </w:r>
    </w:p>
    <w:p>
      <w:pPr>
        <w:jc w:val="both"/>
      </w:pPr>
      <w:r>
        <w:rPr>
          <w:sz w:val="27"/>
        </w:rPr>
        <w:t>1.</w:t>
      </w:r>
      <w:r>
        <w:rPr>
          <w:sz w:val="27"/>
        </w:rPr>
        <w:t>本合同所有附件、招标文件、投标文件、中标通知书均为合同的有效组成部分，与本合同具有同等法律效力。</w:t>
      </w:r>
    </w:p>
    <w:p>
      <w:pPr>
        <w:jc w:val="both"/>
      </w:pPr>
      <w:r>
        <w:rPr>
          <w:sz w:val="27"/>
        </w:rPr>
        <w:t>2.</w:t>
      </w:r>
      <w:r>
        <w:rPr>
          <w:sz w:val="27"/>
        </w:rPr>
        <w:t>在执行本合同的过程中，所有经双方签署确认的文件（包括会议纪要、补充协议、往来信函）即成为本合同的有效组成部分。</w:t>
      </w:r>
    </w:p>
    <w:p>
      <w:pPr>
        <w:jc w:val="both"/>
      </w:pPr>
      <w:r>
        <w:rPr>
          <w:sz w:val="27"/>
        </w:rPr>
        <w:t>3.</w:t>
      </w:r>
      <w:r>
        <w:rPr>
          <w:sz w:val="27"/>
        </w:rPr>
        <w:t>如一方地址、电话、传真号码有变更，应在变更当日内书面通知对方，否则，应承担相应责任。</w:t>
      </w:r>
    </w:p>
    <w:p>
      <w:pPr>
        <w:jc w:val="both"/>
      </w:pPr>
      <w:r>
        <w:rPr>
          <w:sz w:val="27"/>
        </w:rPr>
        <w:t>4.</w:t>
      </w:r>
      <w:r>
        <w:rPr>
          <w:sz w:val="27"/>
        </w:rPr>
        <w:t>除甲方事先书面同意外，乙方不得部分或全部转让其应履行的合同项下的义务。</w:t>
      </w:r>
    </w:p>
    <w:p>
      <w:pPr>
        <w:jc w:val="both"/>
      </w:pPr>
      <w:r>
        <w:rPr>
          <w:b/>
          <w:sz w:val="27"/>
        </w:rPr>
        <w:t>十四、</w:t>
      </w:r>
      <w:r>
        <w:rPr>
          <w:sz w:val="21"/>
        </w:rPr>
        <w:t xml:space="preserve">     </w:t>
      </w:r>
      <w:r>
        <w:rPr>
          <w:b/>
          <w:sz w:val="27"/>
        </w:rPr>
        <w:t>合同生效</w:t>
      </w:r>
    </w:p>
    <w:p>
      <w:pPr>
        <w:jc w:val="both"/>
      </w:pPr>
      <w:r>
        <w:rPr>
          <w:sz w:val="27"/>
        </w:rPr>
        <w:t>1.</w:t>
      </w:r>
      <w:r>
        <w:rPr>
          <w:sz w:val="27"/>
        </w:rPr>
        <w:t>本合同在甲乙双方法人代表或其授权代表签字盖章后生效。</w:t>
      </w:r>
    </w:p>
    <w:p>
      <w:pPr>
        <w:jc w:val="both"/>
      </w:pPr>
      <w:r>
        <w:rPr>
          <w:sz w:val="27"/>
        </w:rPr>
        <w:t>2.</w:t>
      </w:r>
      <w:r>
        <w:rPr>
          <w:sz w:val="27"/>
        </w:rPr>
        <w:t>合同一式</w:t>
      </w:r>
      <w:r>
        <w:rPr>
          <w:sz w:val="21"/>
          <w:u w:val="single"/>
        </w:rPr>
        <w:t xml:space="preserve">   </w:t>
      </w:r>
      <w:r>
        <w:rPr>
          <w:sz w:val="27"/>
        </w:rPr>
        <w:t>份。甲乙双方各执</w:t>
      </w:r>
      <w:r>
        <w:rPr>
          <w:sz w:val="21"/>
          <w:u w:val="single"/>
        </w:rPr>
        <w:t xml:space="preserve">   </w:t>
      </w:r>
      <w:r>
        <w:rPr>
          <w:sz w:val="27"/>
        </w:rPr>
        <w:t>份，代理机构执壹份。</w:t>
      </w:r>
    </w:p>
    <w:p>
      <w:pPr>
        <w:jc w:val="both"/>
      </w:pPr>
      <w:r>
        <w:rPr>
          <w:sz w:val="21"/>
        </w:rPr>
        <w:t xml:space="preserve"> </w:t>
      </w:r>
    </w:p>
    <w:p>
      <w:pPr>
        <w:jc w:val="both"/>
      </w:pPr>
      <w:r>
        <w:rPr>
          <w:b/>
          <w:sz w:val="27"/>
        </w:rPr>
        <w:t>甲方（盖章）：</w:t>
      </w:r>
      <w:r>
        <w:rPr>
          <w:b/>
          <w:sz w:val="21"/>
        </w:rPr>
        <w:t xml:space="preserve">                 </w:t>
      </w:r>
      <w:r>
        <w:rPr>
          <w:b/>
          <w:sz w:val="27"/>
        </w:rPr>
        <w:t>乙方（盖章）：</w:t>
      </w:r>
    </w:p>
    <w:p>
      <w:pPr>
        <w:jc w:val="both"/>
      </w:pPr>
      <w:r>
        <w:rPr>
          <w:b/>
          <w:sz w:val="27"/>
        </w:rPr>
        <w:t>代表：</w:t>
      </w:r>
      <w:r>
        <w:rPr>
          <w:b/>
          <w:sz w:val="21"/>
        </w:rPr>
        <w:t xml:space="preserve">                         </w:t>
      </w:r>
      <w:r>
        <w:rPr>
          <w:b/>
          <w:sz w:val="27"/>
        </w:rPr>
        <w:t>代表：</w:t>
      </w:r>
    </w:p>
    <w:p>
      <w:pPr>
        <w:jc w:val="both"/>
      </w:pPr>
      <w:r>
        <w:rPr>
          <w:sz w:val="27"/>
        </w:rPr>
        <w:t>签订地点：</w:t>
      </w:r>
    </w:p>
    <w:p>
      <w:pPr>
        <w:jc w:val="both"/>
      </w:pPr>
      <w:r>
        <w:rPr>
          <w:sz w:val="27"/>
        </w:rPr>
        <w:t>签订日期：　　　年　　月　　日签订日期：　　　年　　月　　日</w:t>
      </w:r>
    </w:p>
    <w:p>
      <w:pPr>
        <w:jc w:val="both"/>
      </w:pPr>
      <w:r>
        <w:rPr>
          <w:sz w:val="27"/>
        </w:rPr>
        <w:t>开户名称：</w:t>
      </w:r>
    </w:p>
    <w:p>
      <w:pPr>
        <w:jc w:val="both"/>
      </w:pPr>
      <w:r>
        <w:rPr>
          <w:sz w:val="27"/>
        </w:rPr>
        <w:t>银行帐号：</w:t>
      </w:r>
    </w:p>
    <w:p>
      <w:pPr>
        <w:jc w:val="both"/>
      </w:pPr>
      <w:r>
        <w:rPr>
          <w:sz w:val="27"/>
        </w:rPr>
        <w:t>开</w:t>
      </w:r>
      <w:r>
        <w:rPr>
          <w:sz w:val="27"/>
        </w:rPr>
        <w:t>户</w:t>
      </w:r>
      <w:r>
        <w:rPr>
          <w:sz w:val="27"/>
        </w:rPr>
        <w:t>行：</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442000116-2023-00099</w:t>
      </w:r>
    </w:p>
    <w:p>
      <w:pPr>
        <w:jc w:val="center"/>
      </w:pPr>
      <w:r>
        <w:rPr>
          <w:b/>
          <w:sz w:val="24"/>
        </w:rPr>
        <w:t>采购项目编号：</w:t>
      </w:r>
      <w:r>
        <w:rPr>
          <w:b/>
          <w:sz w:val="24"/>
        </w:rPr>
        <w:t>442000116-2023-00099</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中山市大涌医院全自动生化分析仪采购项目</w:t>
      </w:r>
      <w:r>
        <w:rPr>
          <w:u w:val="single"/>
        </w:rPr>
        <w:t>”</w:t>
      </w:r>
      <w:r>
        <w:rPr/>
        <w:t>项目的招标[采购项目编号为：</w:t>
      </w:r>
      <w:r>
        <w:rPr>
          <w:u w:val="single"/>
        </w:rPr>
        <w:t>442000116-2023-00099</w:t>
      </w:r>
      <w:r>
        <w:rPr/>
        <w:t>]，我方愿参与投标。</w:t>
      </w:r>
    </w:p>
    <w:p>
      <w:pPr>
        <w:ind w:firstLine="480"/>
      </w:pPr>
      <w:r>
        <w:rPr/>
        <w:t>我方确认收到贵方提供的</w:t>
      </w:r>
      <w:r>
        <w:rPr>
          <w:u w:val="single"/>
        </w:rPr>
        <w:t>“</w:t>
      </w:r>
      <w:r>
        <w:rPr>
          <w:u w:val="single"/>
        </w:rPr>
        <w:t>中山市大涌医院全自动生化分析仪采购项目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中山市大涌医院全自动生化分析仪采购项目</w:t>
      </w:r>
      <w:r>
        <w:rPr/>
        <w:t>”项目采购[采购项目编号为</w:t>
      </w:r>
      <w:r>
        <w:rPr/>
        <w:t>442000116-2023-00099</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中山市大涌医院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中山市大涌医院全自动生化分析仪采购项目</w:t>
      </w:r>
      <w:r>
        <w:rPr/>
        <w:t>招标中获中标（采购项目编号：</w:t>
      </w:r>
      <w:r>
        <w:rPr/>
        <w:t>442000116-2023-00099</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中山市大涌医院全自动生化分析仪采购项目</w:t>
      </w:r>
      <w:r>
        <w:rPr/>
        <w:t>”项目（采购项目编号：</w:t>
      </w:r>
      <w:r>
        <w:rPr/>
        <w:t>442000116-2023-00099</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