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442000-2023-02330</w:t>
      </w:r>
    </w:p>
    <w:p>
      <w:pPr>
        <w:jc w:val="center"/>
      </w:pPr>
      <w:r>
        <w:rPr>
          <w:b/>
          <w:sz w:val="24"/>
        </w:rPr>
        <w:t>采购项目编号：</w:t>
      </w:r>
      <w:r>
        <w:rPr>
          <w:b/>
          <w:sz w:val="24"/>
        </w:rPr>
        <w:t>442000-2023-02330</w:t>
      </w:r>
    </w:p>
    <w:p>
      <w:pPr>
        <w:jc w:val="center"/>
      </w:pPr>
      <w:r>
        <w:rPr>
          <w:b/>
          <w:sz w:val="24"/>
        </w:rPr>
        <w:t>项目名称：</w:t>
      </w:r>
      <w:r>
        <w:rPr>
          <w:b/>
          <w:sz w:val="24"/>
        </w:rPr>
        <w:t>中山市农业农村局2023年中山市农药包装废弃物回收处理项目</w:t>
      </w:r>
    </w:p>
    <w:p>
      <w:pPr>
        <w:jc w:val="center"/>
      </w:pPr>
      <w:r>
        <w:rPr>
          <w:b/>
          <w:sz w:val="24"/>
        </w:rPr>
        <w:t>采购人：</w:t>
      </w:r>
      <w:r>
        <w:rPr>
          <w:b/>
          <w:sz w:val="24"/>
        </w:rPr>
        <w:t>中山市农业农村局</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 磋商邀请</w:t>
      </w:r>
    </w:p>
    <w:p>
      <w:pPr>
        <w:ind w:firstLine="480"/>
      </w:pPr>
      <w:r>
        <w:rPr/>
        <w:t>智林招标（广东）有限公司</w:t>
      </w:r>
      <w:r>
        <w:rPr/>
        <w:t>受</w:t>
      </w:r>
      <w:r>
        <w:rPr/>
        <w:t>中山市农业农村局</w:t>
      </w:r>
      <w:r>
        <w:rPr/>
        <w:t>的委托，采用</w:t>
      </w:r>
      <w:r>
        <w:rPr/>
        <w:t>竞争性磋商</w:t>
      </w:r>
      <w:r>
        <w:rPr/>
        <w:t>方式组织采购</w:t>
      </w:r>
      <w:r>
        <w:rPr/>
        <w:t>中山市农业农村局2023年中山市农药包装废弃物回收处理项目</w:t>
      </w:r>
      <w:r>
        <w:rPr/>
        <w:t>。欢迎符合资格条件的供应商参加。</w:t>
      </w:r>
    </w:p>
    <w:p>
      <w:r>
        <w:rPr>
          <w:b/>
          <w:sz w:val="28"/>
        </w:rPr>
        <w:t>一.项目概述</w:t>
      </w:r>
    </w:p>
    <w:p>
      <w:r>
        <w:rPr>
          <w:b/>
          <w:sz w:val="24"/>
        </w:rPr>
        <w:t>1.名称与编号</w:t>
      </w:r>
    </w:p>
    <w:p>
      <w:pPr>
        <w:ind w:firstLine="480"/>
      </w:pPr>
      <w:r>
        <w:rPr/>
        <w:t>采购项目名称：</w:t>
      </w:r>
      <w:r>
        <w:rPr/>
        <w:t>中山市农业农村局2023年中山市农药包装废弃物回收处理项目</w:t>
      </w:r>
    </w:p>
    <w:p>
      <w:pPr>
        <w:ind w:firstLine="480"/>
      </w:pPr>
      <w:r>
        <w:rPr/>
        <w:t>采购计划编号：</w:t>
      </w:r>
      <w:r>
        <w:rPr/>
        <w:t>442000-2023-02330</w:t>
      </w:r>
    </w:p>
    <w:p>
      <w:pPr>
        <w:ind w:firstLine="480"/>
      </w:pPr>
      <w:r>
        <w:rPr/>
        <w:t>采购项目编号：</w:t>
      </w:r>
      <w:r>
        <w:rPr/>
        <w:t>442000-2023-02330</w:t>
      </w:r>
    </w:p>
    <w:p>
      <w:pPr>
        <w:ind w:firstLine="480"/>
      </w:pPr>
      <w:r>
        <w:rPr/>
        <w:t>采购方式：</w:t>
      </w:r>
      <w:r>
        <w:rPr/>
        <w:t>竞争性磋商</w:t>
      </w:r>
    </w:p>
    <w:p>
      <w:pPr>
        <w:ind w:firstLine="480"/>
      </w:pPr>
      <w:r>
        <w:rPr/>
        <w:t>预算金额：</w:t>
      </w:r>
      <w:r>
        <w:rPr/>
        <w:t>1,300,000.00</w:t>
      </w:r>
      <w:r>
        <w:rPr/>
        <w:t>元</w:t>
      </w:r>
    </w:p>
    <w:p>
      <w:r>
        <w:rPr>
          <w:b/>
          <w:sz w:val="24"/>
        </w:rPr>
        <w:t>2.项目内容及需求情况（采购项目技术规格、参数及要求）</w:t>
      </w:r>
    </w:p>
    <w:p>
      <w:pPr>
        <w:ind w:firstLine="480"/>
      </w:pPr>
    </w:p>
    <w:p/>
    <w:p>
      <w:r>
        <w:rPr/>
        <w:t>采购包1(中山市农业农村局2023年中山市农药包装废弃物回收处理项目):</w:t>
      </w:r>
    </w:p>
    <w:p>
      <w:r>
        <w:rPr/>
        <w:t>采购包预算金额：1,300,000.00元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农业资源与环境保护服务</w:t>
            </w:r>
          </w:p>
        </w:tc>
        <w:tc>
          <w:tcPr>
            <w:tcW w:type="dxa" w:w="2052"/>
          </w:tcPr>
          <w:p>
            <w:r>
              <w:rPr/>
              <w:t>2023年中山市农药包装废弃物回收处理</w:t>
            </w:r>
          </w:p>
        </w:tc>
        <w:tc>
          <w:tcPr>
            <w:tcW w:type="dxa" w:w="977"/>
          </w:tcPr>
          <w:p>
            <w:r>
              <w:rPr/>
              <w:t>1(批)</w:t>
            </w:r>
          </w:p>
        </w:tc>
        <w:tc>
          <w:tcPr>
            <w:tcW w:type="dxa" w:w="977"/>
          </w:tcPr>
          <w:p>
            <w:r>
              <w:rPr/>
              <w:t>详见第二章</w:t>
            </w:r>
          </w:p>
        </w:tc>
        <w:tc>
          <w:tcPr>
            <w:tcW w:type="dxa" w:w="977"/>
          </w:tcPr>
          <w:p>
            <w:r>
              <w:rPr/>
              <w:t>1,300,000.00</w:t>
            </w:r>
          </w:p>
        </w:tc>
        <w:tc>
          <w:tcPr>
            <w:tcW w:type="dxa" w:w="977"/>
          </w:tcPr>
          <w:p>
            <w:r>
              <w:rPr/>
              <w:t>否</w:t>
            </w:r>
          </w:p>
        </w:tc>
      </w:tr>
    </w:tbl>
    <w:p/>
    <w:p>
      <w:r>
        <w:rPr/>
        <w:t>本采购包不接受联合体响应</w:t>
      </w:r>
    </w:p>
    <w:p/>
    <w:p>
      <w:r>
        <w:rPr/>
        <w:t>合同履行期限：自合同签订之日起一年内完成所有服务内容。</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3）具有良好的商业信誉和健全的财务会计制度：提供2021年或2022年度财务状况报告或投标截止日前12个月内任意1个月的财务报表复印件，财务报表须包含资产负债表、利润表或银行出具的资信证明材料复印件。</w:t>
      </w:r>
    </w:p>
    <w:p/>
    <w:p>
      <w:r>
        <w:rPr/>
        <w:t>4）履行合同所必需的设备和专业技术能力：请在投标文件里提供承诺书或说明书。</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采购包1（中山市农业农村局2023年中山市农药包装废弃物回收处理项目）：</w:t>
      </w:r>
      <w:r>
        <w:rPr/>
        <w:t>本项目专门面向中小企业采购。参与的供应商服务全部由符合政策要求的中小企业承接，①采购标的对应的中小企业划分标准所属行业为：其他未列明行业。供应商须是符合本项目所属行业（其他未列明行业）政策划分标准的中小微企业。监狱企业、残疾人福利单位视同小型、微型企业。注：中小企业以供应商填写的《中小企业声明函》为判定标准，残疾人福利性单位以供应商填写的《残疾人福利性单位声明函》为判定标准，监狱企业须提供由省级以上监狱管理局、戒毒管理局（含新疆生产建设兵团）出具的属于监狱企业的证明文件，否则不予认定。②《中小企业声明函》作为资格条件之一，须填写完整准确。</w:t>
      </w:r>
    </w:p>
    <w:p/>
    <w:p>
      <w:r>
        <w:rPr>
          <w:b/>
          <w:sz w:val="24"/>
        </w:rPr>
        <w:t>3.本项目特定的资格要求：</w:t>
      </w:r>
    </w:p>
    <w:p>
      <w:pPr>
        <w:ind w:firstLine="480"/>
      </w:pPr>
    </w:p>
    <w:p/>
    <w:p>
      <w:r>
        <w:rPr/>
        <w:t>采购包1（中山市农业农村局2023年中山市农药包装废弃物回收处理项目）：</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中山市农业农村局</w:t>
      </w:r>
    </w:p>
    <w:p>
      <w:pPr>
        <w:ind w:firstLine="480"/>
      </w:pPr>
      <w:r>
        <w:rPr/>
        <w:t>地址：</w:t>
      </w:r>
      <w:r>
        <w:rPr/>
        <w:t>中山市中山三路26号</w:t>
      </w:r>
    </w:p>
    <w:p>
      <w:pPr>
        <w:ind w:firstLine="480"/>
      </w:pPr>
      <w:r>
        <w:rPr/>
        <w:t>联系方式：</w:t>
      </w:r>
      <w:r>
        <w:rPr/>
        <w:t>0760-88221387</w:t>
      </w:r>
    </w:p>
    <w:p>
      <w:r>
        <w:rPr>
          <w:b/>
          <w:sz w:val="24"/>
        </w:rPr>
        <w:t>2.采购代理机构信息</w:t>
      </w:r>
    </w:p>
    <w:p>
      <w:pPr>
        <w:ind w:firstLine="480"/>
      </w:pPr>
      <w:r>
        <w:rPr/>
        <w:t>名称：</w:t>
      </w:r>
      <w:r>
        <w:rPr/>
        <w:t>智林招标（广东）有限公司</w:t>
      </w:r>
    </w:p>
    <w:p>
      <w:pPr>
        <w:ind w:firstLine="480"/>
      </w:pPr>
      <w:r>
        <w:rPr/>
        <w:t>地址：</w:t>
      </w:r>
      <w:r>
        <w:rPr/>
        <w:t>广东省中山市石岐街道中山市石岐区东明北路18号206卡（之十一）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color w:val="000000"/>
          <w:sz w:val="21"/>
        </w:rPr>
        <w:t>1.项目名称：中山市农业农村局2023年中山市农药包装废弃物回收处理项目</w:t>
      </w:r>
    </w:p>
    <w:p>
      <w:pPr>
        <w:jc w:val="both"/>
      </w:pPr>
      <w:r>
        <w:rPr>
          <w:color w:val="000000"/>
          <w:sz w:val="21"/>
        </w:rPr>
        <w:t>2.项目编号：442000-2023-02330</w:t>
      </w:r>
    </w:p>
    <w:p>
      <w:pPr>
        <w:jc w:val="both"/>
      </w:pPr>
      <w:r>
        <w:rPr>
          <w:color w:val="000000"/>
          <w:sz w:val="21"/>
        </w:rPr>
        <w:t>3.预算金额：1300000.00元</w:t>
      </w:r>
    </w:p>
    <w:p>
      <w:pPr>
        <w:jc w:val="both"/>
      </w:pPr>
      <w:r>
        <w:rPr>
          <w:color w:val="000000"/>
          <w:sz w:val="21"/>
        </w:rPr>
        <w:t>4</w:t>
      </w:r>
      <w:r>
        <w:rPr>
          <w:color w:val="000000"/>
          <w:sz w:val="21"/>
        </w:rPr>
        <w:t>.采购方式：竞争性磋商</w:t>
      </w:r>
    </w:p>
    <w:p>
      <w:pPr>
        <w:jc w:val="both"/>
      </w:pPr>
      <w:r>
        <w:rPr>
          <w:color w:val="000000"/>
          <w:sz w:val="21"/>
        </w:rPr>
        <w:t>5</w:t>
      </w:r>
      <w:r>
        <w:rPr>
          <w:color w:val="000000"/>
          <w:sz w:val="21"/>
        </w:rPr>
        <w:t>.报价方式：按单价报价，报价不得超过单价最高限价。</w:t>
      </w:r>
    </w:p>
    <w:p>
      <w:pPr>
        <w:jc w:val="both"/>
      </w:pPr>
      <w:r>
        <w:rPr>
          <w:color w:val="000000"/>
          <w:sz w:val="21"/>
        </w:rPr>
        <w:t>6</w:t>
      </w:r>
      <w:r>
        <w:rPr>
          <w:color w:val="000000"/>
          <w:sz w:val="21"/>
        </w:rPr>
        <w:t>.</w:t>
      </w:r>
      <w:r>
        <w:rPr>
          <w:color w:val="000000"/>
          <w:sz w:val="21"/>
        </w:rPr>
        <w:t>报价详细要求（预估数量）：</w:t>
      </w:r>
      <w:r>
        <w:br/>
      </w:r>
    </w:p>
    <w:tbl>
      <w:tblPr>
        <w:tblW w:w="0" w:type="auto"/>
        <w:tblBorders>
          <w:top w:val="none" w:color="000000" w:sz="4"/>
          <w:left w:val="none" w:color="000000" w:sz="4"/>
          <w:bottom w:val="none" w:color="000000" w:sz="4"/>
          <w:right w:val="none" w:color="000000" w:sz="4"/>
          <w:insideH w:val="none"/>
          <w:insideV w:val="none"/>
        </w:tblBorders>
      </w:tblPr>
      <w:tblGrid>
        <w:gridCol w:w="848"/>
        <w:gridCol w:w="2481"/>
        <w:gridCol w:w="1216"/>
        <w:gridCol w:w="2097"/>
        <w:gridCol w:w="1664"/>
      </w:tblGrid>
      <w:tr>
        <w:tc>
          <w:tcPr>
            <w:tcW w:type="dxa" w:w="848"/>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2481"/>
            <w:tcBorders>
              <w:top w:val="single" w:color="000000" w:sz="4"/>
              <w:left w:val="single" w:color="000000" w:sz="4"/>
              <w:bottom w:val="single" w:color="000000" w:sz="4"/>
              <w:right w:val="single" w:color="000000" w:sz="4"/>
            </w:tcBorders>
            <w:vAlign w:val="top"/>
          </w:tcPr>
          <w:p>
            <w:pPr>
              <w:jc w:val="center"/>
            </w:pPr>
            <w:r>
              <w:rPr>
                <w:sz w:val="21"/>
              </w:rPr>
              <w:t>服务项目</w:t>
            </w:r>
          </w:p>
        </w:tc>
        <w:tc>
          <w:tcPr>
            <w:tcW w:type="dxa" w:w="1216"/>
            <w:tcBorders>
              <w:top w:val="single" w:color="000000" w:sz="4"/>
              <w:left w:val="single" w:color="000000" w:sz="4"/>
              <w:bottom w:val="single" w:color="000000" w:sz="4"/>
              <w:right w:val="single" w:color="000000" w:sz="4"/>
            </w:tcBorders>
            <w:vAlign w:val="top"/>
          </w:tcPr>
          <w:p>
            <w:pPr>
              <w:jc w:val="center"/>
            </w:pPr>
            <w:r>
              <w:rPr>
                <w:sz w:val="21"/>
              </w:rPr>
              <w:t>单位</w:t>
            </w:r>
          </w:p>
        </w:tc>
        <w:tc>
          <w:tcPr>
            <w:tcW w:type="dxa" w:w="2097"/>
            <w:tcBorders>
              <w:top w:val="single" w:color="000000" w:sz="4"/>
              <w:left w:val="single" w:color="000000" w:sz="4"/>
              <w:bottom w:val="single" w:color="000000" w:sz="4"/>
              <w:right w:val="single" w:color="000000" w:sz="4"/>
            </w:tcBorders>
            <w:vAlign w:val="top"/>
          </w:tcPr>
          <w:p>
            <w:pPr>
              <w:jc w:val="center"/>
            </w:pPr>
            <w:r>
              <w:rPr>
                <w:sz w:val="21"/>
              </w:rPr>
              <w:t>预估数量</w:t>
            </w:r>
          </w:p>
        </w:tc>
        <w:tc>
          <w:tcPr>
            <w:tcW w:type="dxa" w:w="1664"/>
            <w:tcBorders>
              <w:top w:val="single" w:color="000000" w:sz="4"/>
              <w:left w:val="single" w:color="000000" w:sz="4"/>
              <w:bottom w:val="single" w:color="000000" w:sz="4"/>
              <w:right w:val="single" w:color="000000" w:sz="4"/>
            </w:tcBorders>
            <w:vAlign w:val="top"/>
          </w:tcPr>
          <w:p>
            <w:pPr>
              <w:jc w:val="center"/>
            </w:pPr>
            <w:r>
              <w:rPr>
                <w:sz w:val="21"/>
              </w:rPr>
              <w:t>单价最高限价（元）</w:t>
            </w:r>
          </w:p>
        </w:tc>
      </w:tr>
      <w:tr>
        <w:tc>
          <w:tcPr>
            <w:tcW w:type="dxa" w:w="848"/>
            <w:tcBorders>
              <w:top w:val="none" w:color="000000" w:sz="4"/>
              <w:left w:val="single" w:color="000000" w:sz="4"/>
              <w:bottom w:val="single" w:color="000000" w:sz="4"/>
              <w:right w:val="single" w:color="000000" w:sz="4"/>
            </w:tcBorders>
            <w:vAlign w:val="top"/>
          </w:tcPr>
          <w:p>
            <w:pPr>
              <w:jc w:val="both"/>
            </w:pPr>
            <w:r>
              <w:rPr>
                <w:sz w:val="21"/>
              </w:rPr>
              <w:t>1</w:t>
            </w:r>
          </w:p>
        </w:tc>
        <w:tc>
          <w:tcPr>
            <w:tcW w:type="dxa" w:w="2481"/>
            <w:tcBorders>
              <w:top w:val="none" w:color="000000" w:sz="4"/>
              <w:left w:val="single" w:color="000000" w:sz="4"/>
              <w:bottom w:val="single" w:color="000000" w:sz="4"/>
              <w:right w:val="single" w:color="000000" w:sz="4"/>
            </w:tcBorders>
            <w:vAlign w:val="top"/>
          </w:tcPr>
          <w:p>
            <w:pPr>
              <w:jc w:val="both"/>
            </w:pPr>
            <w:r>
              <w:rPr>
                <w:sz w:val="21"/>
              </w:rPr>
              <w:t>农药包装废弃物回收</w:t>
            </w:r>
          </w:p>
        </w:tc>
        <w:tc>
          <w:tcPr>
            <w:tcW w:type="dxa" w:w="1216"/>
            <w:tcBorders>
              <w:top w:val="none" w:color="000000" w:sz="4"/>
              <w:left w:val="single" w:color="000000" w:sz="4"/>
              <w:bottom w:val="single" w:color="000000" w:sz="4"/>
              <w:right w:val="single" w:color="000000" w:sz="4"/>
            </w:tcBorders>
            <w:vAlign w:val="top"/>
          </w:tcPr>
          <w:p>
            <w:pPr>
              <w:jc w:val="center"/>
            </w:pPr>
            <w:r>
              <w:rPr>
                <w:sz w:val="21"/>
              </w:rPr>
              <w:t>吨</w:t>
            </w:r>
          </w:p>
        </w:tc>
        <w:tc>
          <w:tcPr>
            <w:tcW w:type="dxa" w:w="2097"/>
            <w:tcBorders>
              <w:top w:val="none" w:color="000000" w:sz="4"/>
              <w:left w:val="single" w:color="000000" w:sz="4"/>
              <w:bottom w:val="single" w:color="000000" w:sz="4"/>
              <w:right w:val="single" w:color="000000" w:sz="4"/>
            </w:tcBorders>
            <w:vAlign w:val="top"/>
          </w:tcPr>
          <w:p>
            <w:pPr>
              <w:jc w:val="both"/>
            </w:pPr>
            <w:r>
              <w:rPr>
                <w:sz w:val="21"/>
              </w:rPr>
              <w:t xml:space="preserve">  30</w:t>
            </w:r>
          </w:p>
        </w:tc>
        <w:tc>
          <w:tcPr>
            <w:tcW w:type="dxa" w:w="1664"/>
            <w:tcBorders>
              <w:top w:val="none" w:color="000000" w:sz="4"/>
              <w:left w:val="single" w:color="000000" w:sz="4"/>
              <w:bottom w:val="single" w:color="000000" w:sz="4"/>
              <w:right w:val="single" w:color="000000" w:sz="4"/>
            </w:tcBorders>
            <w:vAlign w:val="top"/>
          </w:tcPr>
          <w:p>
            <w:r>
              <w:rPr>
                <w:sz w:val="21"/>
              </w:rPr>
              <w:t>43333</w:t>
            </w:r>
          </w:p>
          <w:p>
            <w:pPr>
              <w:jc w:val="both"/>
            </w:pPr>
          </w:p>
        </w:tc>
      </w:tr>
    </w:tbl>
    <w:p>
      <w:pPr>
        <w:jc w:val="both"/>
      </w:pPr>
    </w:p>
    <w:p>
      <w:pPr>
        <w:jc w:val="both"/>
      </w:pPr>
      <w:r>
        <w:rPr>
          <w:color w:val="000000"/>
          <w:sz w:val="21"/>
        </w:rPr>
        <w:t>7.服务期限：自合同签订之日起一年内完成所有服务内容。</w:t>
      </w:r>
    </w:p>
    <w:p>
      <w:pPr>
        <w:jc w:val="both"/>
      </w:pPr>
      <w:r>
        <w:rPr>
          <w:color w:val="000000"/>
          <w:sz w:val="21"/>
        </w:rPr>
        <w:t>8.本项目由成交人承包及负责磋商文件对成交人要求的一切事宜及责任。</w:t>
      </w:r>
    </w:p>
    <w:p>
      <w:pPr>
        <w:jc w:val="both"/>
      </w:pPr>
      <w:r>
        <w:rPr>
          <w:color w:val="000000"/>
          <w:sz w:val="21"/>
        </w:rPr>
        <w:t>9.本项目属于专门面向中小企业采购项目。参与的供应商服务全部由符合政策要求的中小企业承接，①采购标的对应的中小企业划分标准所属行业为：其他未列明行业。供应商须是符合本项目所属行业（其他未列明行业）政策划分标准的中小微企业。监狱企业、残疾人福利单位视同小型、微型企业。注：中小企业以供应商填写的《中小企业声明函》为判定标准，残疾人福利性单位以供应商填写的《残疾人福利性单位声明函》为判定标准，监狱企业须提供由省级以上监狱管理局、戒毒管理局（含新疆生产建设兵团）出具的属于监狱企业的证明文件，否则不予认定。②《中小企业声明函》作为资格条件之一，须填写完整准确。</w:t>
      </w:r>
    </w:p>
    <w:p>
      <w:pPr>
        <w:jc w:val="both"/>
      </w:pPr>
      <w:r>
        <w:rPr>
          <w:color w:val="000000"/>
          <w:sz w:val="21"/>
        </w:rPr>
        <w:t>10.本项目不接受联合体投标。</w:t>
      </w:r>
    </w:p>
    <w:p>
      <w:pPr>
        <w:jc w:val="both"/>
      </w:pPr>
      <w:r>
        <w:rPr>
          <w:color w:val="000000"/>
          <w:sz w:val="21"/>
        </w:rPr>
        <w:t>11.成交人未经采购人批准，不得以任何方式转包或分包。</w:t>
      </w:r>
    </w:p>
    <w:p>
      <w:pPr>
        <w:jc w:val="both"/>
      </w:pPr>
      <w:r>
        <w:rPr>
          <w:color w:val="000000"/>
          <w:sz w:val="21"/>
        </w:rPr>
        <w:t>12.其他说明：</w:t>
      </w:r>
    </w:p>
    <w:p>
      <w:pPr>
        <w:jc w:val="both"/>
      </w:pPr>
      <w:r>
        <w:rPr>
          <w:color w:val="000000"/>
          <w:sz w:val="21"/>
        </w:rPr>
        <w:t>12.1.本项目使用的产品及相关标准，本需求已指定的，按指定标准执行；没有指定的，按有关国家标准执行；没有国家标准的，按有关行业标准执行。</w:t>
      </w:r>
    </w:p>
    <w:p>
      <w:pPr>
        <w:jc w:val="both"/>
      </w:pPr>
      <w:r>
        <w:rPr>
          <w:color w:val="000000"/>
          <w:sz w:val="21"/>
        </w:rPr>
        <w:t>12.2.产品运输、保险：</w:t>
      </w:r>
    </w:p>
    <w:p>
      <w:pPr>
        <w:jc w:val="both"/>
      </w:pPr>
      <w:r>
        <w:rPr>
          <w:color w:val="000000"/>
          <w:sz w:val="21"/>
        </w:rPr>
        <w:t>12.2.1.成交人负责产品到施工地点的全部运输，包括装卸及现场搬运等。</w:t>
      </w:r>
    </w:p>
    <w:p>
      <w:pPr>
        <w:jc w:val="both"/>
      </w:pPr>
      <w:r>
        <w:rPr>
          <w:color w:val="000000"/>
          <w:sz w:val="21"/>
        </w:rPr>
        <w:t>12.2.2.成交人负责其派出的施工、服务、售后等人员的意外保险（或承诺中标后满足）。</w:t>
      </w:r>
    </w:p>
    <w:p>
      <w:pPr>
        <w:jc w:val="both"/>
      </w:pPr>
      <w:r>
        <w:rPr>
          <w:color w:val="000000"/>
          <w:sz w:val="21"/>
        </w:rPr>
        <w:t>13.本项目不统一组织现场踏勘和不组织集中答疑会。</w:t>
      </w:r>
    </w:p>
    <w:p>
      <w:pPr>
        <w:jc w:val="both"/>
      </w:pPr>
      <w:r>
        <w:rPr>
          <w:color w:val="000000"/>
          <w:sz w:val="21"/>
        </w:rPr>
        <w:t>14.在磋商过程中符合要求的供应商不足3家时，根据《财政部关于政府采购竞争性磋商采购方式管理暂行办法有关问题的补充通知》（财库[2015]124号）规定，采用竞争性磋商采购方式采购的政府购买服务项目（含政府和社会资本合作项目），在采购过程中符合要求的供应商（社会资本）只有2家的，竞争性磋商采购活动可以继续进行。</w:t>
      </w:r>
    </w:p>
    <w:p>
      <w:pPr>
        <w:jc w:val="both"/>
      </w:pPr>
      <w:r>
        <w:rPr>
          <w:color w:val="000000"/>
          <w:sz w:val="21"/>
        </w:rPr>
        <w:t>15.竞争性磋商文件中凡有“★”标识的内容条款为关键条款，投标供应商必须对此作出回答并完全满足这些要求不可以出现任何负偏离，对这些关键条款的任何负偏离将视为无效投标。</w:t>
      </w:r>
      <w:r>
        <w:br/>
      </w:r>
      <w:r>
        <w:rPr>
          <w:color w:val="000000"/>
          <w:sz w:val="21"/>
        </w:rPr>
        <w:t>16.本项目由成交人负责竞争性磋商文件对成交人要求的一切事宜及责任。投标报价中不得包含竞争性磋商文件要求以外的内容，否则，在评标时不予核减；若投标报价有缺漏项的，缺漏项部分的价格视为已包含在投标报价中，成交后不作任何调整，采购人将不再支付任何费用。</w:t>
      </w:r>
    </w:p>
    <w:p/>
    <w:p>
      <w:pPr>
        <w:ind w:firstLine="480"/>
      </w:pPr>
    </w:p>
    <w:p/>
    <w:p>
      <w:r>
        <w:rPr/>
        <w:t>采购包1（中山市农业农村局2023年中山市农药包装废弃物回收处理项目）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自合同签订之日起一年内完成所有服务内容。</w:t>
            </w:r>
          </w:p>
        </w:tc>
      </w:tr>
      <w:tr>
        <w:tc>
          <w:tcPr>
            <w:tcW w:type="dxa" w:w="4153"/>
          </w:tcPr>
          <w:p>
            <w:r>
              <w:rPr/>
              <w:t>标的提供的地点</w:t>
            </w:r>
          </w:p>
        </w:tc>
        <w:tc>
          <w:tcPr>
            <w:tcW w:type="dxa" w:w="4153"/>
          </w:tcPr>
          <w:p/>
          <w:p>
            <w:r>
              <w:rPr/>
              <w:t>中山市23个镇街 (具体实施地点根据实际情况进行选址)。</w:t>
            </w:r>
          </w:p>
        </w:tc>
      </w:tr>
      <w:tr>
        <w:tc>
          <w:tcPr>
            <w:tcW w:type="dxa" w:w="4153"/>
          </w:tcPr>
          <w:p>
            <w:r>
              <w:rPr/>
              <w:t>付款方式</w:t>
            </w:r>
          </w:p>
        </w:tc>
        <w:tc>
          <w:tcPr>
            <w:tcW w:type="dxa" w:w="4153"/>
          </w:tcPr>
          <w:p/>
          <w:p/>
          <w:p>
            <w:r>
              <w:rPr/>
              <w:t>1期：支付比例30%,合同签订后30日内，成交人向采购人开具项目预算金额的30%对应的发票和有关支付材料，采购人在收到支付票据资料后及时向成交人支付项目预算金额的30%作为项目实施预付款。</w:t>
            </w:r>
          </w:p>
          <w:p/>
          <w:p>
            <w:r>
              <w:rPr/>
              <w:t>2期：支付比例40%,成交人在整体项目实施回收农药包装废弃物达25吨后，向采购人提交对应的发票和支付资料，采购人根据申请资料确认后支付第二期资金。说明：回收数量和总的结算金额按实结算，以投标单位报的单价为结算依据。</w:t>
            </w:r>
          </w:p>
          <w:p/>
          <w:p>
            <w:r>
              <w:rPr/>
              <w:t>3期：支付比例30%,成交人在整体项目实施结束且通过专家验收后，向采购人提交尾款对应的发票和支付资料，采购人根据专家验收意见支付项目尾款。说明：回收数量和总的结算金额按实结算，以投标单位报的单价为结算依据。</w:t>
            </w:r>
          </w:p>
        </w:tc>
      </w:tr>
      <w:tr>
        <w:tc>
          <w:tcPr>
            <w:tcW w:type="dxa" w:w="4153"/>
          </w:tcPr>
          <w:p>
            <w:r>
              <w:rPr/>
              <w:t>验收要求</w:t>
            </w:r>
          </w:p>
        </w:tc>
        <w:tc>
          <w:tcPr>
            <w:tcW w:type="dxa" w:w="4153"/>
          </w:tcPr>
          <w:p/>
          <w:p/>
          <w:p/>
          <w:p>
            <w:r>
              <w:rPr/>
              <w:t>1期：本年度回收工作结束后，将由第三方机构组织专家组开展评审验收工作，出具验收意见。专家组3人以上，需具有中级以上职称，其中软件工程、环境工程、财务三方面的专家各1名以上。验收结束后由第三方机构撰写年度工作报告和审计报告，工作报告包括但不限于以下内容：农药包装废弃物回收实施方案、回收记录、宣传培训材料、本年度回收工作情况及经验总结等。</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其他，1、回收追溯信息化平台和手机APP建设及服务方案。2、回收点设置、转运贮存及无害化处理工作方案。3、宣传培训工作方案 。4、地膜残留监测工作方案。5、探索建设回收处理长效机制。6、突发应急措施方案。7、农膜回收量相关承诺响应程度。</w:t>
            </w:r>
          </w:p>
        </w:tc>
      </w:tr>
    </w:tbl>
    <w:p/>
    <w:p>
      <w:r>
        <w:rPr/>
        <w:t>其他商务需求</w:t>
      </w:r>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1.1.按单价报价，报价不得超过项目单价最高限价； 1.2.投标报价应包括本项目服务过程的设备购置及使用费用、水电费、人员工资、社保、保险、福利、管理费、风险费、税费、利润、第三方机构组织专家组开展评审验收工作所产生的费用等的全部费用，以上所有费用不管是否在报价人报价书中单列，均视为投标报价中已包括该费用。投标报价以人民币为货币单位，单价、小计应清楚表达。</w:t>
            </w:r>
          </w:p>
        </w:tc>
      </w:tr>
      <w:tr>
        <w:tc>
          <w:tcPr>
            <w:tcW w:type="dxa" w:w="2076"/>
          </w:tcPr>
          <w:p>
            <w:pPr>
              <w:jc w:val="center"/>
            </w:pPr>
          </w:p>
        </w:tc>
        <w:tc>
          <w:tcPr>
            <w:tcW w:type="dxa" w:w="2076"/>
          </w:tcPr>
          <w:p>
            <w:pPr>
              <w:jc w:val="center"/>
            </w:pPr>
            <w:r>
              <w:rPr/>
              <w:t>2</w:t>
            </w:r>
          </w:p>
        </w:tc>
        <w:tc>
          <w:tcPr>
            <w:tcW w:type="dxa" w:w="2076"/>
          </w:tcPr>
          <w:p>
            <w:pPr>
              <w:jc w:val="left"/>
            </w:pPr>
            <w:r>
              <w:rPr/>
              <w:t>付款方式</w:t>
            </w:r>
          </w:p>
        </w:tc>
        <w:tc>
          <w:tcPr>
            <w:tcW w:type="dxa" w:w="2076"/>
          </w:tcPr>
          <w:p>
            <w:pPr>
              <w:jc w:val="left"/>
            </w:pPr>
            <w:r>
              <w:rPr/>
              <w:t>2.1.成交人完成全部项目成果并通过验收，经采购人确认之日起20个工作日内全额支付合同尾款。   2.2.结算方式：转账结算 (银行转账) 。 2.3.开具发票：成交人收款时必须持有效发票 。</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农业资源与环境保护服务</w:t>
            </w:r>
          </w:p>
        </w:tc>
        <w:tc>
          <w:tcPr>
            <w:tcW w:type="dxa" w:w="933"/>
          </w:tcPr>
          <w:p>
            <w:pPr>
              <w:jc w:val="left"/>
            </w:pPr>
            <w:r>
              <w:rPr/>
              <w:t>2023年中山市农药包装废弃物回收处理</w:t>
            </w:r>
          </w:p>
        </w:tc>
        <w:tc>
          <w:tcPr>
            <w:tcW w:type="dxa" w:w="933"/>
          </w:tcPr>
          <w:p>
            <w:pPr>
              <w:jc w:val="left"/>
            </w:pPr>
            <w:r>
              <w:rPr/>
              <w:t>批</w:t>
            </w:r>
          </w:p>
        </w:tc>
        <w:tc>
          <w:tcPr>
            <w:tcW w:type="dxa" w:w="933"/>
          </w:tcPr>
          <w:p>
            <w:pPr>
              <w:jc w:val="right"/>
            </w:pPr>
            <w:r>
              <w:rPr/>
              <w:t>1.00</w:t>
            </w:r>
          </w:p>
        </w:tc>
        <w:tc>
          <w:tcPr>
            <w:tcW w:type="dxa" w:w="933"/>
          </w:tcPr>
          <w:p>
            <w:pPr>
              <w:jc w:val="right"/>
            </w:pPr>
            <w:r>
              <w:rPr/>
              <w:t>1,300,000.00</w:t>
            </w:r>
          </w:p>
        </w:tc>
        <w:tc>
          <w:tcPr>
            <w:tcW w:type="dxa" w:w="933"/>
          </w:tcPr>
          <w:p>
            <w:pPr>
              <w:jc w:val="right"/>
            </w:pPr>
            <w:r>
              <w:rPr/>
              <w:t>1,300,000.00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2023年中山市农药包装废弃物回收处理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color w:val="000000"/>
                <w:sz w:val="21"/>
              </w:rPr>
              <w:t>一、项目服务要求</w:t>
            </w:r>
          </w:p>
          <w:p>
            <w:pPr>
              <w:ind w:firstLine="9"/>
              <w:jc w:val="both"/>
            </w:pPr>
            <w:r>
              <w:rPr>
                <w:color w:val="000000"/>
                <w:sz w:val="21"/>
              </w:rPr>
              <w:t>1 .实施期限：实施期为合同签订之日起</w:t>
            </w:r>
            <w:r>
              <w:rPr>
                <w:color w:val="000000"/>
                <w:sz w:val="21"/>
              </w:rPr>
              <w:t>一年内</w:t>
            </w:r>
            <w:r>
              <w:rPr>
                <w:color w:val="000000"/>
                <w:sz w:val="21"/>
              </w:rPr>
              <w:t>成交人完成采购的所有服务内容和成果的要求，并最终</w:t>
            </w:r>
            <w:r>
              <w:rPr>
                <w:color w:val="000000"/>
                <w:sz w:val="21"/>
              </w:rPr>
              <w:t>于</w:t>
            </w:r>
            <w:r>
              <w:rPr>
                <w:color w:val="000000"/>
                <w:sz w:val="21"/>
              </w:rPr>
              <w:t>202</w:t>
            </w:r>
            <w:r>
              <w:rPr>
                <w:color w:val="000000"/>
                <w:sz w:val="21"/>
              </w:rPr>
              <w:t>3</w:t>
            </w:r>
            <w:r>
              <w:rPr>
                <w:color w:val="000000"/>
                <w:sz w:val="21"/>
              </w:rPr>
              <w:t>年</w:t>
            </w:r>
            <w:r>
              <w:rPr>
                <w:color w:val="000000"/>
                <w:sz w:val="21"/>
              </w:rPr>
              <w:t>12</w:t>
            </w:r>
            <w:r>
              <w:rPr>
                <w:color w:val="000000"/>
                <w:sz w:val="21"/>
              </w:rPr>
              <w:t>月</w:t>
            </w:r>
            <w:r>
              <w:rPr>
                <w:color w:val="000000"/>
                <w:sz w:val="21"/>
              </w:rPr>
              <w:t>1</w:t>
            </w:r>
            <w:r>
              <w:rPr>
                <w:color w:val="000000"/>
                <w:sz w:val="21"/>
              </w:rPr>
              <w:t>日前</w:t>
            </w:r>
            <w:r>
              <w:rPr>
                <w:color w:val="000000"/>
                <w:sz w:val="21"/>
              </w:rPr>
              <w:t>通过专家验收。</w:t>
            </w:r>
          </w:p>
          <w:p>
            <w:pPr>
              <w:jc w:val="both"/>
            </w:pPr>
            <w:r>
              <w:rPr>
                <w:color w:val="000000"/>
                <w:sz w:val="21"/>
              </w:rPr>
              <w:t>2</w:t>
            </w:r>
            <w:r>
              <w:rPr>
                <w:color w:val="000000"/>
                <w:sz w:val="21"/>
              </w:rPr>
              <w:t>.未经采购人允许，成交人不得将本合同的工作内容转包给第三方，</w:t>
            </w:r>
            <w:r>
              <w:rPr>
                <w:sz w:val="21"/>
              </w:rPr>
              <w:t>涉及地膜残留监测工作的部分成交人可以委托通过ISO三体系认证和检验检测机构计量认证机构完成。</w:t>
            </w:r>
          </w:p>
          <w:p>
            <w:pPr>
              <w:ind w:firstLine="4"/>
              <w:jc w:val="both"/>
            </w:pPr>
            <w:r>
              <w:rPr>
                <w:b/>
                <w:color w:val="000000"/>
                <w:sz w:val="21"/>
              </w:rPr>
              <w:t>3 .</w:t>
            </w:r>
            <w:r>
              <w:rPr>
                <w:color w:val="000000"/>
                <w:sz w:val="21"/>
              </w:rPr>
              <w:t>★</w:t>
            </w:r>
            <w:r>
              <w:rPr>
                <w:b/>
                <w:color w:val="000000"/>
                <w:sz w:val="21"/>
              </w:rPr>
              <w:t>通过采购中山市农药包装废弃物回收处理项目，在全市23个镇（街）全面铺开农药包装废弃物回收工作，实现回收全覆盖。项目采购建设农药包装废弃物回收追溯信息化系统及回收奖励金发放平台，建立回收监管抽查信息化系统，开展定期回收、运输、贮存、处理，建立一套较为完善的农药包装废弃物回收处理体系与长效机制。2023年度全市23个镇街设立不少于190个农药包装废弃物回收点、3个中转贮存仓库，回收处理农药包装废弃物不少于30吨。</w:t>
            </w:r>
          </w:p>
          <w:p>
            <w:pPr>
              <w:ind w:firstLine="1"/>
              <w:jc w:val="both"/>
            </w:pPr>
            <w:r>
              <w:rPr>
                <w:color w:val="000000"/>
                <w:sz w:val="21"/>
              </w:rPr>
              <w:t>4 .保密期限：根据采购人的要求保守秘密，双方对所涉及的保密信息在本项目履行完毕后按规定要求承担保密义务。</w:t>
            </w:r>
          </w:p>
          <w:p>
            <w:pPr>
              <w:jc w:val="both"/>
            </w:pPr>
            <w:r>
              <w:rPr>
                <w:color w:val="000000"/>
                <w:sz w:val="21"/>
              </w:rPr>
              <w:t>5 .项目地址：中山市</w:t>
            </w:r>
            <w:r>
              <w:rPr>
                <w:color w:val="000000"/>
                <w:sz w:val="21"/>
              </w:rPr>
              <w:t>23个</w:t>
            </w:r>
            <w:r>
              <w:rPr>
                <w:color w:val="000000"/>
                <w:sz w:val="21"/>
              </w:rPr>
              <w:t>镇街</w:t>
            </w:r>
            <w:r>
              <w:rPr>
                <w:color w:val="000000"/>
                <w:sz w:val="21"/>
              </w:rPr>
              <w:t>(具体实施地点根据实际情况进行选址) 。</w:t>
            </w:r>
          </w:p>
          <w:p>
            <w:pPr>
              <w:jc w:val="both"/>
            </w:pPr>
            <w:r>
              <w:rPr>
                <w:color w:val="000000"/>
                <w:sz w:val="21"/>
              </w:rPr>
              <w:t>6 .项目基本概况</w:t>
            </w:r>
          </w:p>
          <w:p>
            <w:pPr>
              <w:jc w:val="both"/>
            </w:pPr>
            <w:r>
              <w:rPr>
                <w:b/>
                <w:color w:val="000000"/>
                <w:sz w:val="21"/>
              </w:rPr>
              <w:t>6.1. 任务一：搭建回收追溯信息化系统及平台。</w:t>
            </w:r>
          </w:p>
          <w:p>
            <w:pPr>
              <w:ind w:firstLine="1"/>
              <w:jc w:val="both"/>
            </w:pPr>
            <w:r>
              <w:rPr>
                <w:color w:val="000000"/>
                <w:sz w:val="21"/>
              </w:rPr>
              <w:t>6.</w:t>
            </w:r>
            <w:r>
              <w:rPr>
                <w:color w:val="000000"/>
                <w:sz w:val="21"/>
              </w:rPr>
              <w:t>1.1</w:t>
            </w:r>
            <w:r>
              <w:rPr>
                <w:color w:val="000000"/>
                <w:sz w:val="21"/>
              </w:rPr>
              <w:t>将农药包装废弃物及农膜的产生、回收数量、回收奖励金计算和发放等各环节的信息流，通过追溯系统作可视化呈现，各环节信息可及时掌握，随时查阅</w:t>
            </w:r>
            <w:r>
              <w:rPr>
                <w:color w:val="000000"/>
                <w:sz w:val="21"/>
              </w:rPr>
              <w:t>。</w:t>
            </w:r>
          </w:p>
          <w:p>
            <w:pPr>
              <w:ind w:firstLine="1"/>
              <w:jc w:val="both"/>
            </w:pPr>
            <w:r>
              <w:rPr>
                <w:color w:val="000000"/>
                <w:sz w:val="21"/>
              </w:rPr>
              <w:t>6.1.2</w:t>
            </w:r>
            <w:r>
              <w:rPr>
                <w:color w:val="000000"/>
                <w:sz w:val="21"/>
              </w:rPr>
              <w:t>根据农药包装废弃物回收奖励标准，一旦回收奖补资金金额达到上限总额</w:t>
            </w:r>
            <w:r>
              <w:rPr>
                <w:color w:val="000000"/>
                <w:sz w:val="21"/>
              </w:rPr>
              <w:t>（</w:t>
            </w:r>
            <w:r>
              <w:rPr>
                <w:color w:val="000000"/>
                <w:sz w:val="21"/>
              </w:rPr>
              <w:t>奖补资金</w:t>
            </w:r>
            <w:r>
              <w:rPr>
                <w:color w:val="000000"/>
                <w:sz w:val="21"/>
              </w:rPr>
              <w:t>67.99万元</w:t>
            </w:r>
            <w:r>
              <w:rPr>
                <w:color w:val="000000"/>
                <w:sz w:val="21"/>
              </w:rPr>
              <w:t>）</w:t>
            </w:r>
            <w:r>
              <w:rPr>
                <w:color w:val="000000"/>
                <w:sz w:val="21"/>
              </w:rPr>
              <w:t>，有偿回收任务结束，软件系统自动停止奖励金计算及发放</w:t>
            </w:r>
            <w:r>
              <w:rPr>
                <w:color w:val="000000"/>
                <w:sz w:val="21"/>
              </w:rPr>
              <w:t>。</w:t>
            </w:r>
          </w:p>
          <w:p>
            <w:pPr>
              <w:ind w:firstLine="18"/>
              <w:jc w:val="both"/>
            </w:pPr>
            <w:r>
              <w:rPr>
                <w:b/>
                <w:color w:val="000000"/>
                <w:sz w:val="21"/>
              </w:rPr>
              <w:t>6.2.任务二： 维护及新增设置回收点</w:t>
            </w:r>
            <w:r>
              <w:rPr>
                <w:b/>
                <w:color w:val="000000"/>
                <w:sz w:val="21"/>
              </w:rPr>
              <w:t>。</w:t>
            </w:r>
          </w:p>
          <w:p>
            <w:pPr>
              <w:ind w:firstLine="18"/>
              <w:jc w:val="both"/>
            </w:pPr>
            <w:r>
              <w:rPr>
                <w:color w:val="000000"/>
                <w:sz w:val="21"/>
              </w:rPr>
              <w:t>优</w:t>
            </w:r>
            <w:r>
              <w:rPr>
                <w:color w:val="000000"/>
                <w:sz w:val="21"/>
              </w:rPr>
              <w:t>化增加不少于</w:t>
            </w:r>
            <w:r>
              <w:rPr>
                <w:color w:val="000000"/>
                <w:sz w:val="21"/>
              </w:rPr>
              <w:t>10个农药包装废弃物回收点，全市农药经营店或种植大户设立农药包装废弃物回收点190家，每个回收点配备回收桶、回收袋、回收点铭牌、追溯码扎带、回收标准牌、宣传海报等物资</w:t>
            </w:r>
            <w:r>
              <w:rPr>
                <w:color w:val="000000"/>
                <w:sz w:val="21"/>
              </w:rPr>
              <w:t>。</w:t>
            </w:r>
          </w:p>
          <w:p>
            <w:pPr>
              <w:ind w:firstLine="18"/>
              <w:jc w:val="both"/>
            </w:pPr>
            <w:r>
              <w:rPr>
                <w:b/>
                <w:color w:val="000000"/>
                <w:sz w:val="21"/>
              </w:rPr>
              <w:t>6.3.任务三：收集转运及仓库贮存</w:t>
            </w:r>
            <w:r>
              <w:rPr>
                <w:b/>
                <w:color w:val="000000"/>
                <w:sz w:val="21"/>
              </w:rPr>
              <w:t>。</w:t>
            </w:r>
          </w:p>
          <w:p>
            <w:pPr>
              <w:ind w:firstLine="18"/>
              <w:jc w:val="both"/>
            </w:pPr>
            <w:r>
              <w:rPr>
                <w:color w:val="000000"/>
                <w:sz w:val="21"/>
              </w:rPr>
              <w:t>6.3.1</w:t>
            </w:r>
            <w:r>
              <w:rPr>
                <w:color w:val="000000"/>
                <w:sz w:val="21"/>
              </w:rPr>
              <w:t>建立回收转运可追溯监管信息化系统，实现从回收到中转仓库再到处理全过程监管。</w:t>
            </w:r>
          </w:p>
          <w:p>
            <w:pPr>
              <w:ind w:firstLine="18"/>
              <w:jc w:val="both"/>
            </w:pPr>
            <w:r>
              <w:rPr>
                <w:color w:val="000000"/>
                <w:sz w:val="21"/>
              </w:rPr>
              <w:t>6.3.2</w:t>
            </w:r>
            <w:r>
              <w:rPr>
                <w:color w:val="000000"/>
                <w:sz w:val="21"/>
              </w:rPr>
              <w:t>中转贮存站需配备存放仓库，存放仓库应当按照相关要求采取防止污染环境措施，加强设施设备、场所的管理和维护</w:t>
            </w:r>
            <w:r>
              <w:rPr>
                <w:color w:val="000000"/>
                <w:sz w:val="21"/>
              </w:rPr>
              <w:t>。</w:t>
            </w:r>
          </w:p>
          <w:p>
            <w:pPr>
              <w:ind w:firstLine="18"/>
              <w:jc w:val="both"/>
            </w:pPr>
            <w:r>
              <w:rPr>
                <w:b/>
                <w:color w:val="000000"/>
                <w:sz w:val="21"/>
              </w:rPr>
              <w:t>二、服务内容及要求</w:t>
            </w:r>
          </w:p>
          <w:p>
            <w:pPr>
              <w:jc w:val="both"/>
            </w:pPr>
            <w:r>
              <w:rPr>
                <w:b/>
                <w:color w:val="000000"/>
                <w:sz w:val="21"/>
              </w:rPr>
              <w:t>1</w:t>
            </w:r>
            <w:r>
              <w:rPr>
                <w:b/>
                <w:color w:val="000000"/>
                <w:sz w:val="21"/>
              </w:rPr>
              <w:t>.提供相关技术服务。</w:t>
            </w:r>
          </w:p>
          <w:p>
            <w:pPr>
              <w:jc w:val="both"/>
            </w:pPr>
            <w:r>
              <w:rPr>
                <w:color w:val="000000"/>
                <w:sz w:val="21"/>
              </w:rPr>
              <w:t>包括研究建设农药生产企业参与农药包装废弃物回收处理长效机制、回收追溯信息化系统的开发建设、运行维护及数据安全，协助我局解决回收后废弃物处理的技术支持、回收处理工作开展遇到的突发问题等。</w:t>
            </w:r>
          </w:p>
          <w:p>
            <w:pPr>
              <w:jc w:val="both"/>
            </w:pPr>
            <w:r>
              <w:rPr>
                <w:b/>
                <w:color w:val="000000"/>
                <w:sz w:val="21"/>
              </w:rPr>
              <w:t>2.协助</w:t>
            </w:r>
            <w:r>
              <w:rPr>
                <w:b/>
                <w:color w:val="000000"/>
                <w:sz w:val="21"/>
              </w:rPr>
              <w:t>发放回收奖补资金</w:t>
            </w:r>
            <w:r>
              <w:rPr>
                <w:b/>
                <w:color w:val="000000"/>
                <w:sz w:val="21"/>
              </w:rPr>
              <w:t>。</w:t>
            </w:r>
          </w:p>
          <w:p>
            <w:pPr>
              <w:jc w:val="both"/>
            </w:pPr>
            <w:r>
              <w:rPr>
                <w:color w:val="000000"/>
                <w:sz w:val="21"/>
              </w:rPr>
              <w:t>农药包装废弃物实行有偿回收，对交回农药包装废弃物的农户按回收奖励标准实施奖励</w:t>
            </w:r>
            <w:r>
              <w:rPr>
                <w:color w:val="000000"/>
                <w:sz w:val="21"/>
              </w:rPr>
              <w:t>,对回收点予以劳务补贴</w:t>
            </w:r>
            <w:r>
              <w:rPr>
                <w:color w:val="000000"/>
                <w:sz w:val="21"/>
              </w:rPr>
              <w:t>。</w:t>
            </w:r>
          </w:p>
          <w:p>
            <w:pPr>
              <w:jc w:val="both"/>
            </w:pPr>
            <w:r>
              <w:rPr>
                <w:b/>
                <w:color w:val="000000"/>
                <w:sz w:val="21"/>
              </w:rPr>
              <w:t>3.对</w:t>
            </w:r>
            <w:r>
              <w:rPr>
                <w:b/>
                <w:color w:val="000000"/>
                <w:sz w:val="21"/>
              </w:rPr>
              <w:t>农药包装废弃物</w:t>
            </w:r>
            <w:r>
              <w:rPr>
                <w:b/>
                <w:color w:val="000000"/>
                <w:sz w:val="21"/>
              </w:rPr>
              <w:t>进行无害化</w:t>
            </w:r>
            <w:r>
              <w:rPr>
                <w:b/>
                <w:color w:val="000000"/>
                <w:sz w:val="21"/>
              </w:rPr>
              <w:t>处</w:t>
            </w:r>
            <w:r>
              <w:rPr>
                <w:b/>
                <w:color w:val="000000"/>
                <w:sz w:val="21"/>
              </w:rPr>
              <w:t>理</w:t>
            </w:r>
            <w:r>
              <w:rPr>
                <w:b/>
                <w:color w:val="000000"/>
                <w:sz w:val="21"/>
              </w:rPr>
              <w:t>。</w:t>
            </w:r>
          </w:p>
          <w:p>
            <w:pPr>
              <w:jc w:val="both"/>
            </w:pPr>
            <w:r>
              <w:rPr>
                <w:color w:val="000000"/>
                <w:sz w:val="21"/>
              </w:rPr>
              <w:t>对回收的农药包装废弃物进行无害化处理（进入垃圾焚烧厂处理费用由市城市管理和综合执法局统筹），同时探索将可资源化利用的塑料农药包装瓶、废旧农膜交给有相关处理资质的物资回收处理公司进行资源化再利用。</w:t>
            </w:r>
          </w:p>
          <w:p>
            <w:pPr>
              <w:jc w:val="both"/>
            </w:pPr>
            <w:r>
              <w:rPr>
                <w:b/>
                <w:color w:val="000000"/>
                <w:sz w:val="21"/>
              </w:rPr>
              <w:t>4.开展宣传</w:t>
            </w:r>
            <w:r>
              <w:rPr>
                <w:b/>
                <w:color w:val="000000"/>
                <w:sz w:val="21"/>
              </w:rPr>
              <w:t>培训</w:t>
            </w:r>
            <w:r>
              <w:rPr>
                <w:b/>
                <w:color w:val="000000"/>
                <w:sz w:val="21"/>
              </w:rPr>
              <w:t>工</w:t>
            </w:r>
            <w:r>
              <w:rPr>
                <w:b/>
                <w:color w:val="000000"/>
                <w:sz w:val="21"/>
              </w:rPr>
              <w:t>作</w:t>
            </w:r>
            <w:r>
              <w:rPr>
                <w:b/>
                <w:color w:val="000000"/>
                <w:sz w:val="21"/>
              </w:rPr>
              <w:t>。</w:t>
            </w:r>
          </w:p>
          <w:p>
            <w:pPr>
              <w:jc w:val="both"/>
            </w:pPr>
            <w:r>
              <w:rPr>
                <w:color w:val="000000"/>
                <w:sz w:val="21"/>
              </w:rPr>
              <w:t>对农药店经营者开展集中培训，制作一批宣传横幅、宣传手册以及相关宣传资料等，利用多种媒介开展宣传，让广大农户了解回收处理的重要意义，知悉回收奖励政策。</w:t>
            </w:r>
          </w:p>
          <w:p>
            <w:pPr>
              <w:jc w:val="both"/>
            </w:pPr>
            <w:r>
              <w:rPr>
                <w:b/>
                <w:color w:val="000000"/>
                <w:sz w:val="21"/>
              </w:rPr>
              <w:t>5.</w:t>
            </w:r>
            <w:r>
              <w:rPr>
                <w:b/>
                <w:color w:val="000000"/>
                <w:sz w:val="21"/>
              </w:rPr>
              <w:t>开展地膜残留量监测工</w:t>
            </w:r>
            <w:r>
              <w:rPr>
                <w:b/>
                <w:color w:val="000000"/>
                <w:sz w:val="21"/>
              </w:rPr>
              <w:t>作</w:t>
            </w:r>
            <w:r>
              <w:rPr>
                <w:b/>
                <w:color w:val="000000"/>
                <w:sz w:val="21"/>
              </w:rPr>
              <w:t>。</w:t>
            </w:r>
          </w:p>
          <w:p>
            <w:pPr>
              <w:jc w:val="both"/>
            </w:pPr>
            <w:r>
              <w:rPr>
                <w:color w:val="000000"/>
                <w:sz w:val="21"/>
              </w:rPr>
              <w:t>★</w:t>
            </w:r>
            <w:r>
              <w:rPr>
                <w:b/>
                <w:color w:val="000000"/>
                <w:sz w:val="21"/>
              </w:rPr>
              <w:t>全市</w:t>
            </w:r>
            <w:r>
              <w:rPr>
                <w:b/>
                <w:color w:val="000000"/>
                <w:sz w:val="21"/>
              </w:rPr>
              <w:t>选取5个点开展地膜残留量监测工作，进一步摸清我市农田地膜残留基本情况。</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1.采购代理机构：本项目是指智林招标（广东）有限公司，负责整个采购活动的组织，依法负责编制和发布磋商文件，对磋商文件拥有最终的解释权，不以任何身份出任磋商小组成员。</w:t>
      </w:r>
    </w:p>
    <w:p>
      <w:pPr>
        <w:ind w:firstLine="480"/>
      </w:pPr>
      <w:r>
        <w:rPr/>
        <w:t>2.采购人：本项目是指</w:t>
      </w:r>
      <w:r>
        <w:rPr/>
        <w:t>中山市农业农村局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采购包1：单价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无：兼投兼中：本项目兼投兼中</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参照国家颁布的《招标代理服务收费管理暂行办法》（国家发展计划委员会计价格[2002]1980号）及《国家发展改革委办公厅关于招标代理服务收费有关问题的通知》（发改办价格【2003】 857号）招标代理服务费的标准收费计取招标代理服务费。若招标服务费不足人民币5000元的，按人民币5000元收取。</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0</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三、采购标的对应的中小企业划分标准所属行业，其他未列明行业。</w:t>
            </w:r>
          </w:p>
          <w:p>
            <w:pPr>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中小微企业有融资需求的，可通过应收账款融资服务平台（网址： www.crcrfsp.com）和中山市社会征信和金融服务一体化系统（网址：www.zsyt hxt.zs.gov.cn）向辖区内特定或非特定银行机构咨询并提出融资申请。4、采购人应当及时在应收账款融资服务平台（网址：www.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pPr>
              <w:jc w:val="center"/>
            </w:pPr>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中山市农业农村局2023年中山市农药包装废弃物回收处理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智林招标（广东）有限公司</w:t>
      </w:r>
      <w:r>
        <w:rPr/>
        <w:t>统一对外发布。</w:t>
      </w:r>
    </w:p>
    <w:p>
      <w:pPr>
        <w:ind w:firstLine="480"/>
      </w:pPr>
      <w:r>
        <w:rPr/>
        <w:t>（2）对</w:t>
      </w:r>
      <w:r>
        <w:rPr/>
        <w:t>智林招标（广东）有限公司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采购包1（中山市农业农村局2023年中山市农药包装废弃物回收处理项目）：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采购包1（中山市农业农村局2023年中山市农药包装废弃物回收处理项目）：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提供2021年或2022年度财务状况报告或投标截止日前12个月内任意1个月的财务报表复印件，财务报表须包含资产负债表、利润表或银行出具的资信证明材料复印件。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请在投标文件里提供承诺书或说明书。</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本项目专门面向中小企业采购。参与的供应商服务全部由符合政策要求的中小企业承接，①采购标的对应的中小企业划分标准所属行业为：其他未列明行业。供应商须是符合本项目所属行业（其他未列明行业）政策划分标准的中小微企业。监狱企业、残疾人福利单位视同小型、微型企业。注：中小企业以供应商填写的《中小企业声明函》为判定标准，残疾人福利性单位以供应商填写的《残疾人福利性单位声明函》为判定标准，监狱企业须提供由省级以上监狱管理局、戒毒管理局（含新疆生产建设兵团）出具的属于监狱企业的证明文件，否则不予认定。②《中小企业声明函》作为资格条件之一，须填写完整准确。</w:t>
            </w:r>
          </w:p>
        </w:tc>
      </w:tr>
    </w:tbl>
    <w:p/>
    <w:p>
      <w:pPr>
        <w:ind w:firstLine="480"/>
      </w:pPr>
      <w:r>
        <w:rPr/>
        <w:t>表二符合性审查表：</w:t>
      </w:r>
    </w:p>
    <w:p>
      <w:pPr>
        <w:ind w:firstLine="480"/>
      </w:pPr>
    </w:p>
    <w:p/>
    <w:p>
      <w:r>
        <w:rPr/>
        <w:t>采购包1（中山市农业农村局2023年中山市农药包装废弃物回收处理项目）：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响应文件的制作</w:t>
            </w:r>
          </w:p>
        </w:tc>
        <w:tc>
          <w:tcPr>
            <w:tcW w:type="dxa" w:w="4238"/>
          </w:tcPr>
          <w:p>
            <w:r>
              <w:rPr/>
              <w:t>提交了响应承诺函，响应文件按要求签署、盖章。</w:t>
            </w:r>
          </w:p>
        </w:tc>
      </w:tr>
      <w:tr>
        <w:tc>
          <w:tcPr>
            <w:tcW w:type="dxa" w:w="890"/>
          </w:tcPr>
          <w:p>
            <w:r>
              <w:rPr/>
              <w:t>2</w:t>
            </w:r>
          </w:p>
        </w:tc>
        <w:tc>
          <w:tcPr>
            <w:tcW w:type="dxa" w:w="3178"/>
          </w:tcPr>
          <w:p>
            <w:r>
              <w:rPr/>
              <w:t>响应文件的有效期</w:t>
            </w:r>
          </w:p>
        </w:tc>
        <w:tc>
          <w:tcPr>
            <w:tcW w:type="dxa" w:w="4238"/>
          </w:tcPr>
          <w:p>
            <w:r>
              <w:rPr/>
              <w:t>响应文件的有效期为从提交投标 (响应) 文件的截止之日起90日历天。</w:t>
            </w:r>
          </w:p>
        </w:tc>
      </w:tr>
      <w:tr>
        <w:tc>
          <w:tcPr>
            <w:tcW w:type="dxa" w:w="890"/>
          </w:tcPr>
          <w:p>
            <w:r>
              <w:rPr/>
              <w:t>3</w:t>
            </w:r>
          </w:p>
        </w:tc>
        <w:tc>
          <w:tcPr>
            <w:tcW w:type="dxa" w:w="3178"/>
          </w:tcPr>
          <w:p>
            <w:r>
              <w:rPr/>
              <w:t>资格证明书及授权委托书</w:t>
            </w:r>
          </w:p>
        </w:tc>
        <w:tc>
          <w:tcPr>
            <w:tcW w:type="dxa" w:w="4238"/>
          </w:tcPr>
          <w:p>
            <w:r>
              <w:rPr/>
              <w:t>法定代表人/负责人资格证明书及授权委托书，按对应格式文件签署、盖章。</w:t>
            </w:r>
          </w:p>
        </w:tc>
      </w:tr>
      <w:tr>
        <w:tc>
          <w:tcPr>
            <w:tcW w:type="dxa" w:w="890"/>
          </w:tcPr>
          <w:p>
            <w:r>
              <w:rPr/>
              <w:t>4</w:t>
            </w:r>
          </w:p>
        </w:tc>
        <w:tc>
          <w:tcPr>
            <w:tcW w:type="dxa" w:w="3178"/>
          </w:tcPr>
          <w:p>
            <w:r>
              <w:rPr/>
              <w:t>投标报价</w:t>
            </w:r>
          </w:p>
        </w:tc>
        <w:tc>
          <w:tcPr>
            <w:tcW w:type="dxa" w:w="4238"/>
          </w:tcPr>
          <w:p>
            <w:r>
              <w:rPr/>
              <w:t>投标 (报价) 总金额是固定价且是唯一的，未超过本项目的单价最高限价。</w:t>
            </w:r>
          </w:p>
        </w:tc>
      </w:tr>
      <w:tr>
        <w:tc>
          <w:tcPr>
            <w:tcW w:type="dxa" w:w="890"/>
          </w:tcPr>
          <w:p>
            <w:r>
              <w:rPr/>
              <w:t>5</w:t>
            </w:r>
          </w:p>
        </w:tc>
        <w:tc>
          <w:tcPr>
            <w:tcW w:type="dxa" w:w="3178"/>
          </w:tcPr>
          <w:p>
            <w:r>
              <w:rPr/>
              <w:t>“★”星号条款响应</w:t>
            </w:r>
          </w:p>
        </w:tc>
        <w:tc>
          <w:tcPr>
            <w:tcW w:type="dxa" w:w="4238"/>
          </w:tcPr>
          <w:p>
            <w:r>
              <w:rPr/>
              <w:t>“★”星号条款全部实质性响应无偏离。</w:t>
            </w:r>
          </w:p>
        </w:tc>
      </w:tr>
      <w:tr>
        <w:tc>
          <w:tcPr>
            <w:tcW w:type="dxa" w:w="890"/>
          </w:tcPr>
          <w:p>
            <w:r>
              <w:rPr/>
              <w:t>6</w:t>
            </w:r>
          </w:p>
        </w:tc>
        <w:tc>
          <w:tcPr>
            <w:tcW w:type="dxa" w:w="3178"/>
          </w:tcPr>
          <w:p>
            <w:r>
              <w:rPr/>
              <w:t>其他</w:t>
            </w:r>
          </w:p>
        </w:tc>
        <w:tc>
          <w:tcPr>
            <w:tcW w:type="dxa" w:w="4238"/>
          </w:tcPr>
          <w:p>
            <w:r>
              <w:rPr/>
              <w:t>无采购文件或法规明确规定可以废标的其他情形。</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采购包1(中山市农业农村局2023年中山市农药包装废弃物回收处理项目):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技术部分60.0分</w:t>
            </w:r>
          </w:p>
          <w:p>
            <w:r>
              <w:rPr/>
              <w:t>报价得分20.0分</w:t>
            </w:r>
          </w:p>
        </w:tc>
      </w:tr>
      <w:tr>
        <w:tc>
          <w:tcPr>
            <w:tcW w:type="dxa" w:w="922"/>
            <w:gridSpan w:val="2"/>
            <w:vMerge w:val="restart"/>
          </w:tcPr>
          <w:p>
            <w:pPr>
              <w:jc w:val="center"/>
            </w:pPr>
            <w:r>
              <w:rPr/>
              <w:t>技术部分</w:t>
            </w:r>
          </w:p>
        </w:tc>
        <w:tc>
          <w:tcPr>
            <w:tcW w:type="dxa" w:w="2307"/>
          </w:tcPr>
          <w:p>
            <w:pPr>
              <w:jc w:val="left"/>
            </w:pPr>
            <w:r>
              <w:rPr/>
              <w:t>项目理解 (8.0分)</w:t>
            </w:r>
            <w:r>
              <w:rPr/>
              <w:t>，（等次分值选择：</w:t>
            </w:r>
            <w:r>
              <w:rPr/>
              <w:t>0.0;</w:t>
            </w:r>
            <w:r>
              <w:rPr/>
              <w:t>2.0;</w:t>
            </w:r>
            <w:r>
              <w:rPr/>
              <w:t>5.0;</w:t>
            </w:r>
            <w:r>
              <w:rPr/>
              <w:t>8.0;</w:t>
            </w:r>
            <w:r>
              <w:rPr/>
              <w:t>）</w:t>
            </w:r>
          </w:p>
        </w:tc>
        <w:tc>
          <w:tcPr>
            <w:tcW w:type="dxa" w:w="5076"/>
          </w:tcPr>
          <w:p>
            <w:pPr>
              <w:jc w:val="left"/>
            </w:pPr>
            <w:r>
              <w:rPr/>
              <w:t>根据供应商对项目需求的了解程度、对项目重点难点的分析进行评审。 1、对本项目技术需求清晰，能对项目重点分析准确，提供的数据对项目开展具有参考性并附有具体佐证材料，得8分；2、对本项目技术需求基本理解，对项目重点分析比较准确、合理、有数据，对项目开展具有一定参考性并附有具体佐证材料，得5分； 3、对本项目技术需求理解较差，对项目重点分析不准确，对项目开展没有参考性，所附佐证材料不科学，得2分；  4、对整体项目需求不理解，对项目重点分析不准确，没有参考性，没有附佐证材料，得0分。 注：需提供相关供佐证材料体现其对本项目了解程度。</w:t>
            </w:r>
          </w:p>
        </w:tc>
      </w:tr>
      <w:tr>
        <w:tc>
          <w:tcPr>
            <w:tcW w:type="dxa" w:w="922"/>
            <w:gridSpan w:val="2"/>
            <w:vMerge/>
          </w:tcPr>
          <w:p/>
        </w:tc>
        <w:tc>
          <w:tcPr>
            <w:tcW w:type="dxa" w:w="2307"/>
          </w:tcPr>
          <w:p>
            <w:pPr>
              <w:jc w:val="left"/>
            </w:pPr>
            <w:r>
              <w:rPr/>
              <w:t>回收追溯信息化平台和手机APP建设及服务方案 (10.0分)</w:t>
            </w:r>
            <w:r>
              <w:rPr/>
              <w:t>，（等次分值选择：</w:t>
            </w:r>
            <w:r>
              <w:rPr/>
              <w:t>0.0;</w:t>
            </w:r>
            <w:r>
              <w:rPr/>
              <w:t>3.0;</w:t>
            </w:r>
            <w:r>
              <w:rPr/>
              <w:t>6.0;</w:t>
            </w:r>
            <w:r>
              <w:rPr/>
              <w:t>10.0;</w:t>
            </w:r>
            <w:r>
              <w:rPr/>
              <w:t>）</w:t>
            </w:r>
          </w:p>
        </w:tc>
        <w:tc>
          <w:tcPr>
            <w:tcW w:type="dxa" w:w="5076"/>
          </w:tcPr>
          <w:p>
            <w:pPr>
              <w:jc w:val="left"/>
            </w:pPr>
            <w:r>
              <w:rPr/>
              <w:t>根据供应商对本项目现状的了解及项目需求、现状及特点，对编制的回收追溯信息化平台和手机APP建设及服务方案进行评审： 1、提供针对性强的平台建设及服务方案，能有效达成本项目的实施目的，条理清晰、可操作性强，超过项目预期目标，得10分；  2 、提供具有一定针对性的平台建设及服务方案，且实施方案较完整，能够达到项目要求，可以执行，能提供后续服务建议 ，得6分； 3、方案基本完整，条理基本清晰、可操作性一般，未提供后续服务建议，得3分； 4、无回收追溯信息化平台和手机APP建设内容，得0分。  注：需提供相关回收追溯信息化平台和手机APP建设功能截图界面及相关佐证材料体现项目实施方案的针对性。</w:t>
            </w:r>
          </w:p>
        </w:tc>
      </w:tr>
      <w:tr>
        <w:tc>
          <w:tcPr>
            <w:tcW w:type="dxa" w:w="922"/>
            <w:gridSpan w:val="2"/>
            <w:vMerge/>
          </w:tcPr>
          <w:p/>
        </w:tc>
        <w:tc>
          <w:tcPr>
            <w:tcW w:type="dxa" w:w="2307"/>
          </w:tcPr>
          <w:p>
            <w:pPr>
              <w:jc w:val="left"/>
            </w:pPr>
            <w:r>
              <w:rPr/>
              <w:t>回收点设置、转运贮存及无害化处理工作方案 (8.0分)</w:t>
            </w:r>
            <w:r>
              <w:rPr/>
              <w:t>，（等次分值选择：</w:t>
            </w:r>
            <w:r>
              <w:rPr/>
              <w:t>0.0;</w:t>
            </w:r>
            <w:r>
              <w:rPr/>
              <w:t>2.0;</w:t>
            </w:r>
            <w:r>
              <w:rPr/>
              <w:t>5.0;</w:t>
            </w:r>
            <w:r>
              <w:rPr/>
              <w:t>8.0;</w:t>
            </w:r>
            <w:r>
              <w:rPr/>
              <w:t>）</w:t>
            </w:r>
          </w:p>
        </w:tc>
        <w:tc>
          <w:tcPr>
            <w:tcW w:type="dxa" w:w="5076"/>
          </w:tcPr>
          <w:p>
            <w:pPr>
              <w:jc w:val="left"/>
            </w:pPr>
            <w:r>
              <w:rPr/>
              <w:t>根据各供应商提供的工作方案进行评审：  1、回收点设置、转运贮存及无害化处理工作方案措施全面细致，深入完整，科学合理；包含了环境安全、回收进度、数据质量、协同配合等各个方面，能够很好地保障项目质量，得8分；  2、工作方案措施较为全面，比较科学合理，包含了环境安全、回收进度等主要内容，能够较好地保障项目质量，得 5 分；  3、工作方案措施基本符合要求，科学合理性一般，基本能保障项目质量，得 2分；  4、无对应内容，得0分。</w:t>
            </w:r>
          </w:p>
        </w:tc>
      </w:tr>
      <w:tr>
        <w:tc>
          <w:tcPr>
            <w:tcW w:type="dxa" w:w="922"/>
            <w:gridSpan w:val="2"/>
            <w:vMerge/>
          </w:tcPr>
          <w:p/>
        </w:tc>
        <w:tc>
          <w:tcPr>
            <w:tcW w:type="dxa" w:w="2307"/>
          </w:tcPr>
          <w:p>
            <w:pPr>
              <w:jc w:val="left"/>
            </w:pPr>
            <w:r>
              <w:rPr/>
              <w:t>宣传培训工作方案  (6.0分)</w:t>
            </w:r>
            <w:r>
              <w:rPr/>
              <w:t>，（等次分值选择：</w:t>
            </w:r>
            <w:r>
              <w:rPr/>
              <w:t>0.0;</w:t>
            </w:r>
            <w:r>
              <w:rPr/>
              <w:t>2.0;</w:t>
            </w:r>
            <w:r>
              <w:rPr/>
              <w:t>4.0;</w:t>
            </w:r>
            <w:r>
              <w:rPr/>
              <w:t>6.0;</w:t>
            </w:r>
            <w:r>
              <w:rPr/>
              <w:t>）</w:t>
            </w:r>
          </w:p>
        </w:tc>
        <w:tc>
          <w:tcPr>
            <w:tcW w:type="dxa" w:w="5076"/>
          </w:tcPr>
          <w:p>
            <w:pPr>
              <w:jc w:val="left"/>
            </w:pPr>
            <w:r>
              <w:rPr/>
              <w:t>根据各供应商提供的宣传培训工作方案进行评审：1、工作方案齐全和完备，实施措施合理、可行，满足项目要求，得6分；  2、工作方案、实施措施合理、可行，基本满足项目要求，得4分；  3、工作方案、实施措施一般，得2分；  4、未提供方案的，得0分。</w:t>
            </w:r>
          </w:p>
        </w:tc>
      </w:tr>
      <w:tr>
        <w:tc>
          <w:tcPr>
            <w:tcW w:type="dxa" w:w="922"/>
            <w:gridSpan w:val="2"/>
            <w:vMerge/>
          </w:tcPr>
          <w:p/>
        </w:tc>
        <w:tc>
          <w:tcPr>
            <w:tcW w:type="dxa" w:w="2307"/>
          </w:tcPr>
          <w:p>
            <w:pPr>
              <w:jc w:val="left"/>
            </w:pPr>
            <w:r>
              <w:rPr/>
              <w:t>地膜残留监测工作方案 (6.0分)</w:t>
            </w:r>
            <w:r>
              <w:rPr/>
              <w:t>，（等次分值选择：</w:t>
            </w:r>
            <w:r>
              <w:rPr/>
              <w:t>0.0;</w:t>
            </w:r>
            <w:r>
              <w:rPr/>
              <w:t>2.0;</w:t>
            </w:r>
            <w:r>
              <w:rPr/>
              <w:t>4.0;</w:t>
            </w:r>
            <w:r>
              <w:rPr/>
              <w:t>6.0;</w:t>
            </w:r>
            <w:r>
              <w:rPr/>
              <w:t>）</w:t>
            </w:r>
          </w:p>
        </w:tc>
        <w:tc>
          <w:tcPr>
            <w:tcW w:type="dxa" w:w="5076"/>
          </w:tcPr>
          <w:p>
            <w:pPr>
              <w:jc w:val="left"/>
            </w:pPr>
            <w:r>
              <w:rPr/>
              <w:t>根据各供应商提供的地膜残留监测工作方案进行评审：1、工作方案齐全和完备，实施措施合理、可行，监测点分布科学合理，满足项目要求，得6分；  2、工作方案、实施措施合理、可行，监测点分布基本科学合理，基本满足项目要求，得4分；  3、工作方案、实施措施一般，监测点分布不够科学合理，得2分；  4、未提供方案的,得0分。</w:t>
            </w:r>
          </w:p>
        </w:tc>
      </w:tr>
      <w:tr>
        <w:tc>
          <w:tcPr>
            <w:tcW w:type="dxa" w:w="922"/>
            <w:gridSpan w:val="2"/>
            <w:vMerge/>
          </w:tcPr>
          <w:p/>
        </w:tc>
        <w:tc>
          <w:tcPr>
            <w:tcW w:type="dxa" w:w="2307"/>
          </w:tcPr>
          <w:p>
            <w:pPr>
              <w:jc w:val="left"/>
            </w:pPr>
            <w:r>
              <w:rPr/>
              <w:t>探索建设回收处理长效机制 (8.0分)</w:t>
            </w:r>
            <w:r>
              <w:rPr/>
              <w:t>，（等次分值选择：</w:t>
            </w:r>
            <w:r>
              <w:rPr/>
              <w:t>0.0;</w:t>
            </w:r>
            <w:r>
              <w:rPr/>
              <w:t>2.0;</w:t>
            </w:r>
            <w:r>
              <w:rPr/>
              <w:t>5.0;</w:t>
            </w:r>
            <w:r>
              <w:rPr/>
              <w:t>8.0;</w:t>
            </w:r>
            <w:r>
              <w:rPr/>
              <w:t>）</w:t>
            </w:r>
          </w:p>
        </w:tc>
        <w:tc>
          <w:tcPr>
            <w:tcW w:type="dxa" w:w="5076"/>
          </w:tcPr>
          <w:p>
            <w:pPr>
              <w:jc w:val="left"/>
            </w:pPr>
            <w:r>
              <w:rPr/>
              <w:t>根据各供应商提供的探索农药生产企业参与农药包装废弃物回收处理长效机制工作方案进行评审：1、工作方案齐全和完备，实施措施合理、可行，建设回收处理长效机制科学合理，满足项目要求，得8分；  2、工作方案、实施措施合理、可行，建设回收处理长效机制基本科学合理，基本满足项目要求，得5分；  3、工作方案、实施措施一般，建设回收处理长效机制不够科学合理，得2分；  4、未提供方案的，得0分。</w:t>
            </w:r>
          </w:p>
        </w:tc>
      </w:tr>
      <w:tr>
        <w:tc>
          <w:tcPr>
            <w:tcW w:type="dxa" w:w="922"/>
            <w:gridSpan w:val="2"/>
            <w:vMerge/>
          </w:tcPr>
          <w:p/>
        </w:tc>
        <w:tc>
          <w:tcPr>
            <w:tcW w:type="dxa" w:w="2307"/>
          </w:tcPr>
          <w:p>
            <w:pPr>
              <w:jc w:val="left"/>
            </w:pPr>
            <w:r>
              <w:rPr/>
              <w:t>突发应急措施方案   (6.0分)</w:t>
            </w:r>
            <w:r>
              <w:rPr/>
              <w:t>，（等次分值选择：</w:t>
            </w:r>
            <w:r>
              <w:rPr/>
              <w:t>0.0;</w:t>
            </w:r>
            <w:r>
              <w:rPr/>
              <w:t>2.0;</w:t>
            </w:r>
            <w:r>
              <w:rPr/>
              <w:t>4.0;</w:t>
            </w:r>
            <w:r>
              <w:rPr/>
              <w:t>6.0;</w:t>
            </w:r>
            <w:r>
              <w:rPr/>
              <w:t>）</w:t>
            </w:r>
          </w:p>
        </w:tc>
        <w:tc>
          <w:tcPr>
            <w:tcW w:type="dxa" w:w="5076"/>
          </w:tcPr>
          <w:p>
            <w:pPr>
              <w:jc w:val="left"/>
            </w:pPr>
            <w:r>
              <w:rPr/>
              <w:t>根据各供应商提供的突发应急措施方案（含不可控事件突发处理、危险用工情况处理、项目拟投入人员的人员的意外保险、技术支持措施计划和承诺、及应急方案等）进行评审： 1、有详细具体可行的突发应急措施措施计划和承诺，处理问题能力强，应急措施方案非常周全、详尽、可行，得 6分； 2、有比较详细具体可行的突发应急措施措施计划和承诺，处理问题能力较好；应急措施方案比较周全、详尽、可行，得4分；  3、突发应急措施措施计划和承诺一般，处理问题能力一般；应急措施方案可行性一般，得2分；  4、 未提供方案的，得0分。</w:t>
            </w:r>
          </w:p>
        </w:tc>
      </w:tr>
      <w:tr>
        <w:tc>
          <w:tcPr>
            <w:tcW w:type="dxa" w:w="922"/>
            <w:gridSpan w:val="2"/>
            <w:vMerge/>
          </w:tcPr>
          <w:p/>
        </w:tc>
        <w:tc>
          <w:tcPr>
            <w:tcW w:type="dxa" w:w="2307"/>
          </w:tcPr>
          <w:p>
            <w:pPr>
              <w:jc w:val="left"/>
            </w:pPr>
            <w:r>
              <w:rPr/>
              <w:t>农膜回收量相关承诺响应程度 (8.0分)</w:t>
            </w:r>
            <w:r>
              <w:rPr/>
              <w:t>，（等次分值选择：</w:t>
            </w:r>
            <w:r>
              <w:rPr/>
              <w:t>0.0;</w:t>
            </w:r>
            <w:r>
              <w:rPr/>
              <w:t>4.0;</w:t>
            </w:r>
            <w:r>
              <w:rPr/>
              <w:t>6.0;</w:t>
            </w:r>
            <w:r>
              <w:rPr/>
              <w:t>8.0;</w:t>
            </w:r>
            <w:r>
              <w:rPr/>
              <w:t>）</w:t>
            </w:r>
          </w:p>
        </w:tc>
        <w:tc>
          <w:tcPr>
            <w:tcW w:type="dxa" w:w="5076"/>
          </w:tcPr>
          <w:p>
            <w:pPr>
              <w:jc w:val="left"/>
            </w:pPr>
            <w:r>
              <w:rPr/>
              <w:t>根据供应商提供的农膜回收量相关承诺的响应程度进行评审： 1、农膜回收量≥50吨的，得8分； 2、农膜回收量≥40吨而＜50吨的，得6分； 3、农膜回收量≥30吨而＜40吨的，得4分； 4、农膜回收量＜30吨或没有提供相应承诺的，得0分。 注：供应商须在响应文件中提供农膜回收量承诺函并加盖公章，不提供承诺函的不得分。</w:t>
            </w:r>
          </w:p>
        </w:tc>
      </w:tr>
      <w:tr>
        <w:tc>
          <w:tcPr>
            <w:tcW w:type="dxa" w:w="922"/>
            <w:gridSpan w:val="2"/>
            <w:vMerge w:val="restart"/>
          </w:tcPr>
          <w:p>
            <w:pPr>
              <w:jc w:val="center"/>
            </w:pPr>
            <w:r>
              <w:rPr/>
              <w:t>商务部分</w:t>
            </w:r>
          </w:p>
        </w:tc>
        <w:tc>
          <w:tcPr>
            <w:tcW w:type="dxa" w:w="2307"/>
          </w:tcPr>
          <w:p>
            <w:pPr>
              <w:jc w:val="left"/>
            </w:pPr>
            <w:r>
              <w:rPr/>
              <w:t>同类项目业绩 (10.0分)</w:t>
            </w:r>
          </w:p>
        </w:tc>
        <w:tc>
          <w:tcPr>
            <w:tcW w:type="dxa" w:w="5076"/>
          </w:tcPr>
          <w:p>
            <w:pPr>
              <w:jc w:val="left"/>
            </w:pPr>
            <w:r>
              <w:rPr/>
              <w:t>磋商小组应根据供应商提供的业绩情况进行评审： 2020年1月1日以来 （以合同签订日期为准）供应商承接的同类项目业绩，每提供一个项目业绩得2分，最多得10分。   注：1.按磋商文件格式填写《供应商业绩情况表 》并提供加盖供应商公章的业绩合同关键页复印件； 2.关键页内容必须清晰阐明项目名称、双方单位名称、合同签订日期、合同履行主要内容），未按要求提供或所提供资料模糊不清的，得0分。</w:t>
            </w:r>
          </w:p>
        </w:tc>
      </w:tr>
      <w:tr>
        <w:tc>
          <w:tcPr>
            <w:tcW w:type="dxa" w:w="922"/>
            <w:gridSpan w:val="2"/>
            <w:vMerge/>
          </w:tcPr>
          <w:p/>
        </w:tc>
        <w:tc>
          <w:tcPr>
            <w:tcW w:type="dxa" w:w="2307"/>
          </w:tcPr>
          <w:p>
            <w:pPr>
              <w:jc w:val="left"/>
            </w:pPr>
            <w:r>
              <w:rPr/>
              <w:t>项目服务团队综合素质 (10.0分)</w:t>
            </w:r>
          </w:p>
        </w:tc>
        <w:tc>
          <w:tcPr>
            <w:tcW w:type="dxa" w:w="5076"/>
          </w:tcPr>
          <w:p>
            <w:pPr>
              <w:jc w:val="left"/>
            </w:pPr>
            <w:r>
              <w:rPr/>
              <w:t>(1)拟投入本项目负责人要求：项目负责人具备与本项目相关的专业技术能力，同时具有正高级职称，得3分； 项目负责人具备与本项目相关的专业技术能力，同时具有副高职称得1分。 本小项最高得3分。 (2)其他拟投入服务人员：具备与本项目相的关专业技术能力，同时具有中级职称，每提供一个得1分，本小项最高得7分。  注：1.响应文件提供《人员承诺函》 (须盖公章，格式自拟，承诺内容包括但不限于：“若我单位中标，合同签订时保证响应文件中拟投入本项目的人员全部到位，否则视为我单位放弃中标资格”) 。 2.项目负责人及其他拟投入人员均需提供专业技术能力证明材料复印件并加盖公章，上述人员专业以毕业证书或职称证书所列专业进行评审。</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
      <w:r>
        <w:rPr>
          <w:b/>
          <w:sz w:val="24"/>
        </w:rPr>
        <w:t>6.汇总、排序</w:t>
      </w:r>
    </w:p>
    <w:p>
      <w:pPr>
        <w:ind w:firstLine="480"/>
      </w:pPr>
    </w:p>
    <w:p/>
    <w:p>
      <w:r>
        <w:rPr/>
        <w:t>采购包1：</w:t>
      </w:r>
    </w:p>
    <w:p/>
    <w:p>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最终报价由低到高顺序排列。得分且最终报价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 获得成交候选人推荐资格；评审得分相同的，由采购人或者采购人委托磋商小组采取随机抽取方式确定，其他同品牌供应商不 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sz w:val="21"/>
        </w:rPr>
        <w:t xml:space="preserve"> </w:t>
      </w:r>
    </w:p>
    <w:p>
      <w:pPr>
        <w:jc w:val="center"/>
      </w:pPr>
      <w:r>
        <w:rPr>
          <w:b/>
          <w:sz w:val="21"/>
        </w:rPr>
        <w:t xml:space="preserve"> </w:t>
      </w:r>
    </w:p>
    <w:p>
      <w:pPr>
        <w:jc w:val="center"/>
      </w:pPr>
      <w:r>
        <w:rPr>
          <w:b/>
          <w:sz w:val="21"/>
        </w:rPr>
        <w:t>广东省政府采购</w:t>
      </w:r>
    </w:p>
    <w:p>
      <w:pPr>
        <w:jc w:val="both"/>
      </w:pPr>
      <w:r>
        <w:rPr>
          <w:sz w:val="21"/>
        </w:rPr>
        <w:t xml:space="preserve"> </w:t>
      </w:r>
    </w:p>
    <w:p>
      <w:pPr>
        <w:jc w:val="center"/>
      </w:pPr>
      <w:r>
        <w:rPr>
          <w:b/>
          <w:sz w:val="21"/>
        </w:rPr>
        <w:t>合　同　书</w:t>
      </w:r>
    </w:p>
    <w:p>
      <w:pPr>
        <w:jc w:val="center"/>
      </w:pPr>
      <w:r>
        <w:rPr>
          <w:sz w:val="21"/>
        </w:rPr>
        <w:t xml:space="preserve"> </w:t>
      </w:r>
    </w:p>
    <w:p>
      <w:pPr>
        <w:jc w:val="center"/>
      </w:pPr>
      <w:r>
        <w:rPr>
          <w:b/>
          <w:color w:val="000000"/>
          <w:sz w:val="21"/>
        </w:rPr>
        <w:t>(本合同范本仅供参考，成交人与采购人可根据双方的具体要求进行修订，双方所签订的合同不得对招标文件确定的事项和成交人投标文件作实质性修改。）</w:t>
      </w:r>
    </w:p>
    <w:p>
      <w:pPr>
        <w:jc w:val="center"/>
      </w:pPr>
    </w:p>
    <w:p>
      <w:pPr>
        <w:jc w:val="center"/>
      </w:pPr>
    </w:p>
    <w:p>
      <w:pPr>
        <w:jc w:val="center"/>
      </w:pPr>
    </w:p>
    <w:p>
      <w:pPr>
        <w:jc w:val="center"/>
      </w:pPr>
    </w:p>
    <w:p>
      <w:pPr>
        <w:jc w:val="center"/>
      </w:pPr>
    </w:p>
    <w:p>
      <w:pPr>
        <w:jc w:val="center"/>
      </w:pPr>
    </w:p>
    <w:p>
      <w:pPr>
        <w:jc w:val="center"/>
      </w:pPr>
    </w:p>
    <w:p>
      <w:pPr>
        <w:jc w:val="center"/>
      </w:pPr>
      <w:r>
        <w:rPr>
          <w:sz w:val="21"/>
        </w:rPr>
        <w:t xml:space="preserve"> </w:t>
      </w:r>
    </w:p>
    <w:p>
      <w:pPr>
        <w:ind w:firstLine="1400"/>
        <w:jc w:val="both"/>
      </w:pPr>
      <w:r>
        <w:rPr>
          <w:color w:val="222222"/>
          <w:sz w:val="28"/>
        </w:rPr>
        <w:t xml:space="preserve">        采购计划编号：</w:t>
      </w:r>
      <w:r>
        <w:rPr>
          <w:sz w:val="21"/>
          <w:u w:val="single"/>
        </w:rPr>
        <w:t xml:space="preserve">              </w:t>
      </w:r>
      <w:r>
        <w:rPr>
          <w:sz w:val="21"/>
          <w:u w:val="single"/>
        </w:rPr>
        <w:t xml:space="preserve"> </w:t>
      </w:r>
      <w:r>
        <w:rPr>
          <w:sz w:val="21"/>
          <w:u w:val="single"/>
        </w:rPr>
        <w:t xml:space="preserve">     </w:t>
      </w:r>
    </w:p>
    <w:p>
      <w:pPr>
        <w:jc w:val="both"/>
      </w:pPr>
      <w:r>
        <w:rPr>
          <w:sz w:val="21"/>
        </w:rPr>
        <w:t xml:space="preserve"> </w:t>
      </w:r>
    </w:p>
    <w:p>
      <w:pPr>
        <w:ind w:firstLine="1400"/>
        <w:jc w:val="both"/>
      </w:pPr>
      <w:r>
        <w:rPr>
          <w:color w:val="222222"/>
          <w:sz w:val="28"/>
        </w:rPr>
        <w:t xml:space="preserve">        项目编号：</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jc w:val="both"/>
      </w:pPr>
      <w:r>
        <w:rPr>
          <w:sz w:val="21"/>
        </w:rPr>
        <w:t xml:space="preserve"> </w:t>
      </w:r>
    </w:p>
    <w:p>
      <w:pPr>
        <w:ind w:firstLine="1400"/>
        <w:jc w:val="both"/>
      </w:pPr>
      <w:r>
        <w:rPr>
          <w:color w:val="222222"/>
          <w:sz w:val="28"/>
        </w:rPr>
        <w:t xml:space="preserve">        项目名称：</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br/>
      </w:r>
      <w:r>
        <w:br/>
      </w:r>
      <w:r>
        <w:br/>
      </w:r>
      <w:r>
        <w:br/>
      </w:r>
      <w:r>
        <w:br/>
      </w:r>
      <w:r>
        <w:br/>
      </w:r>
      <w:r>
        <w:br/>
      </w:r>
      <w:r>
        <w:br/>
      </w:r>
      <w:r>
        <w:br/>
      </w:r>
      <w:r>
        <w:br/>
      </w:r>
      <w:r>
        <w:br/>
      </w:r>
      <w:r>
        <w:br/>
      </w:r>
      <w:r>
        <w:br/>
      </w:r>
      <w:r>
        <w:br/>
      </w:r>
      <w:r>
        <w:br/>
      </w:r>
      <w:r>
        <w:br/>
      </w:r>
      <w:r>
        <w:br/>
      </w:r>
      <w:r>
        <w:br/>
      </w:r>
      <w:r>
        <w:rPr/>
        <w:t xml:space="preserve"> </w:t>
      </w:r>
    </w:p>
    <w:p>
      <w:pPr>
        <w:ind w:firstLine="1400"/>
        <w:jc w:val="both"/>
      </w:pPr>
      <w:r>
        <w:rPr/>
        <w:t xml:space="preserve"> </w:t>
      </w:r>
    </w:p>
    <w:p>
      <w:pPr>
        <w:ind w:firstLine="1400"/>
        <w:jc w:val="both"/>
      </w:pPr>
      <w:r>
        <w:rPr/>
        <w:t xml:space="preserve"> </w:t>
      </w:r>
    </w:p>
    <w:p>
      <w:pPr>
        <w:ind w:firstLine="1400"/>
        <w:jc w:val="both"/>
      </w:pPr>
      <w:r>
        <w:rPr/>
        <w:t xml:space="preserve"> </w:t>
      </w:r>
    </w:p>
    <w:p>
      <w:pPr>
        <w:ind w:firstLine="1400"/>
        <w:jc w:val="both"/>
      </w:pPr>
      <w:r>
        <w:rPr/>
        <w:t xml:space="preserve"> </w:t>
      </w:r>
    </w:p>
    <w:p>
      <w:pPr>
        <w:ind w:firstLine="1400"/>
        <w:jc w:val="both"/>
      </w:pPr>
      <w:r>
        <w:rPr/>
        <w:t xml:space="preserve"> </w:t>
      </w:r>
    </w:p>
    <w:p>
      <w:pPr>
        <w:ind w:firstLine="1400"/>
        <w:jc w:val="both"/>
      </w:pPr>
      <w:r>
        <w:rPr/>
        <w:t xml:space="preserve"> </w:t>
      </w:r>
    </w:p>
    <w:p>
      <w:pPr>
        <w:ind w:firstLine="1400"/>
        <w:jc w:val="both"/>
      </w:pPr>
      <w:r>
        <w:br/>
      </w:r>
    </w:p>
    <w:p>
      <w:pPr>
        <w:ind w:firstLine="1050"/>
        <w:jc w:val="both"/>
      </w:pPr>
    </w:p>
    <w:p>
      <w:pPr>
        <w:ind w:firstLine="1050"/>
        <w:jc w:val="both"/>
      </w:pPr>
    </w:p>
    <w:p>
      <w:pPr>
        <w:ind w:firstLine="1050"/>
        <w:jc w:val="both"/>
      </w:pPr>
    </w:p>
    <w:p>
      <w:pPr>
        <w:ind w:firstLine="1050"/>
        <w:jc w:val="both"/>
      </w:pPr>
    </w:p>
    <w:p>
      <w:pPr>
        <w:ind w:firstLine="1050"/>
        <w:jc w:val="both"/>
      </w:pPr>
    </w:p>
    <w:p>
      <w:pPr>
        <w:ind w:firstLine="1050"/>
        <w:jc w:val="both"/>
      </w:pPr>
    </w:p>
    <w:p>
      <w:pPr>
        <w:ind w:firstLine="1050"/>
        <w:jc w:val="both"/>
      </w:pPr>
    </w:p>
    <w:p>
      <w:pPr>
        <w:ind w:firstLine="1050"/>
        <w:jc w:val="both"/>
      </w:pPr>
    </w:p>
    <w:p>
      <w:pPr>
        <w:ind w:firstLine="1050"/>
        <w:jc w:val="both"/>
      </w:pPr>
    </w:p>
    <w:p>
      <w:pPr>
        <w:ind w:firstLine="1050"/>
        <w:jc w:val="both"/>
      </w:pPr>
    </w:p>
    <w:p>
      <w:pPr>
        <w:ind w:firstLine="1050"/>
        <w:jc w:val="both"/>
      </w:pPr>
    </w:p>
    <w:p>
      <w:pPr>
        <w:ind w:firstLine="1050"/>
        <w:jc w:val="both"/>
      </w:pPr>
    </w:p>
    <w:p>
      <w:pPr>
        <w:jc w:val="both"/>
      </w:pPr>
      <w:r>
        <w:rPr>
          <w:b/>
          <w:sz w:val="21"/>
        </w:rPr>
        <w:t>甲方：</w:t>
      </w:r>
      <w:r>
        <w:rPr>
          <w:sz w:val="21"/>
          <w:u w:val="single"/>
        </w:rPr>
        <w:t xml:space="preserve"> </w:t>
      </w:r>
    </w:p>
    <w:p>
      <w:pPr>
        <w:jc w:val="both"/>
      </w:pPr>
      <w:r>
        <w:rPr>
          <w:color w:val="222222"/>
          <w:sz w:val="27"/>
        </w:rPr>
        <w:t>电话：</w:t>
      </w:r>
      <w:r>
        <w:rPr>
          <w:sz w:val="21"/>
          <w:u w:val="single"/>
        </w:rPr>
        <w:t xml:space="preserve"> </w:t>
      </w:r>
      <w:r>
        <w:rPr>
          <w:color w:val="222222"/>
          <w:sz w:val="27"/>
        </w:rPr>
        <w:t>传真</w:t>
      </w:r>
      <w:r>
        <w:rPr>
          <w:color w:val="222222"/>
          <w:sz w:val="27"/>
        </w:rPr>
        <w:t>：</w:t>
      </w:r>
      <w:r>
        <w:rPr>
          <w:sz w:val="21"/>
          <w:u w:val="single"/>
        </w:rPr>
        <w:t xml:space="preserve"> </w:t>
      </w:r>
      <w:r>
        <w:rPr>
          <w:color w:val="222222"/>
          <w:sz w:val="27"/>
        </w:rPr>
        <w:t>地址：</w:t>
      </w:r>
      <w:r>
        <w:rPr>
          <w:sz w:val="21"/>
          <w:u w:val="single"/>
        </w:rPr>
        <w:t xml:space="preserve">  </w:t>
      </w:r>
    </w:p>
    <w:p>
      <w:pPr>
        <w:jc w:val="both"/>
      </w:pPr>
      <w:r>
        <w:rPr>
          <w:b/>
          <w:sz w:val="21"/>
        </w:rPr>
        <w:t>乙方：</w:t>
      </w:r>
      <w:r>
        <w:rPr>
          <w:sz w:val="21"/>
          <w:u w:val="single"/>
        </w:rPr>
        <w:t xml:space="preserve"> </w:t>
      </w:r>
    </w:p>
    <w:p>
      <w:pPr>
        <w:jc w:val="both"/>
      </w:pPr>
      <w:r>
        <w:rPr>
          <w:color w:val="222222"/>
          <w:sz w:val="27"/>
        </w:rPr>
        <w:t>电话：</w:t>
      </w:r>
      <w:r>
        <w:rPr>
          <w:sz w:val="21"/>
          <w:u w:val="single"/>
        </w:rPr>
        <w:t xml:space="preserve">  </w:t>
      </w:r>
      <w:r>
        <w:rPr>
          <w:color w:val="222222"/>
          <w:sz w:val="27"/>
        </w:rPr>
        <w:t>传真：</w:t>
      </w:r>
      <w:r>
        <w:rPr>
          <w:sz w:val="21"/>
          <w:u w:val="single"/>
        </w:rPr>
        <w:t xml:space="preserve">  </w:t>
      </w:r>
      <w:r>
        <w:rPr>
          <w:color w:val="222222"/>
          <w:sz w:val="27"/>
        </w:rPr>
        <w:t>地址：</w:t>
      </w:r>
      <w:r>
        <w:rPr>
          <w:sz w:val="21"/>
          <w:u w:val="single"/>
        </w:rPr>
        <w:t xml:space="preserve">  </w:t>
      </w:r>
    </w:p>
    <w:p>
      <w:pPr>
        <w:jc w:val="both"/>
      </w:pPr>
      <w:r>
        <w:rPr>
          <w:sz w:val="21"/>
        </w:rPr>
        <w:t xml:space="preserve"> </w:t>
      </w:r>
    </w:p>
    <w:p>
      <w:pPr>
        <w:jc w:val="both"/>
      </w:pPr>
      <w:r>
        <w:rPr>
          <w:color w:val="222222"/>
          <w:sz w:val="27"/>
        </w:rPr>
        <w:t xml:space="preserve">  </w:t>
      </w:r>
      <w:r>
        <w:rPr>
          <w:color w:val="222222"/>
          <w:sz w:val="27"/>
        </w:rPr>
        <w:t>根据</w:t>
      </w:r>
      <w:r>
        <w:rPr>
          <w:sz w:val="21"/>
          <w:u w:val="single"/>
        </w:rPr>
        <w:t xml:space="preserve">         </w:t>
      </w:r>
      <w:r>
        <w:rPr>
          <w:sz w:val="21"/>
          <w:u w:val="single"/>
        </w:rPr>
        <w:t>项目</w:t>
      </w:r>
      <w:r>
        <w:rPr>
          <w:color w:val="222222"/>
          <w:sz w:val="27"/>
        </w:rPr>
        <w:t>的采购结果，按照《中华人民共和国政府采购法》，《中华人民共和国民法典</w:t>
      </w:r>
      <w:r>
        <w:rPr>
          <w:color w:val="222222"/>
          <w:sz w:val="27"/>
        </w:rPr>
        <w:t>(合同编)》的规定，经双方协商，本着平等互利和诚实信用的原则，一致同意遵守本合同如下。</w:t>
      </w:r>
    </w:p>
    <w:p>
      <w:pPr>
        <w:jc w:val="both"/>
      </w:pPr>
      <w:r>
        <w:rPr>
          <w:b/>
          <w:sz w:val="21"/>
        </w:rPr>
        <w:t>一、合同金额</w:t>
      </w:r>
    </w:p>
    <w:p>
      <w:pPr>
        <w:jc w:val="both"/>
      </w:pPr>
      <w:r>
        <w:rPr>
          <w:color w:val="222222"/>
          <w:sz w:val="27"/>
        </w:rPr>
        <w:t>　　合同金额为（大写）：</w:t>
      </w:r>
      <w:r>
        <w:rPr>
          <w:color w:val="222222"/>
          <w:sz w:val="27"/>
        </w:rPr>
        <w:t>_____________元（￥_________元）人民币。</w:t>
      </w:r>
    </w:p>
    <w:p>
      <w:pPr>
        <w:jc w:val="both"/>
      </w:pPr>
      <w:r>
        <w:rPr>
          <w:b/>
          <w:sz w:val="21"/>
        </w:rPr>
        <w:t>二、服务范围</w:t>
      </w:r>
    </w:p>
    <w:p>
      <w:pPr>
        <w:jc w:val="both"/>
      </w:pPr>
      <w:r>
        <w:rPr>
          <w:color w:val="222222"/>
          <w:sz w:val="27"/>
        </w:rPr>
        <w:t>　　甲方聘请乙方提供以下服务：</w:t>
      </w:r>
    </w:p>
    <w:p>
      <w:pPr>
        <w:jc w:val="both"/>
      </w:pPr>
      <w:r>
        <w:rPr>
          <w:color w:val="222222"/>
          <w:sz w:val="27"/>
        </w:rPr>
        <w:t>1．</w:t>
      </w:r>
      <w:r>
        <w:rPr>
          <w:color w:val="222222"/>
          <w:sz w:val="27"/>
        </w:rPr>
        <w:t>。</w:t>
      </w:r>
    </w:p>
    <w:p>
      <w:pPr>
        <w:jc w:val="both"/>
      </w:pPr>
      <w:r>
        <w:rPr>
          <w:color w:val="222222"/>
          <w:sz w:val="27"/>
        </w:rPr>
        <w:t>2．</w:t>
      </w:r>
    </w:p>
    <w:p>
      <w:pPr>
        <w:jc w:val="both"/>
      </w:pPr>
      <w:r>
        <w:rPr>
          <w:color w:val="222222"/>
          <w:sz w:val="27"/>
        </w:rPr>
        <w:t>……</w:t>
      </w:r>
    </w:p>
    <w:p>
      <w:pPr>
        <w:jc w:val="both"/>
      </w:pPr>
      <w:r>
        <w:rPr>
          <w:b/>
          <w:sz w:val="21"/>
        </w:rPr>
        <w:t>三、甲方乙方的权利和义务</w:t>
      </w:r>
    </w:p>
    <w:p>
      <w:pPr>
        <w:jc w:val="both"/>
      </w:pPr>
      <w:r>
        <w:rPr>
          <w:color w:val="222222"/>
          <w:sz w:val="27"/>
        </w:rPr>
        <w:t>1.甲方的权利和义务</w:t>
      </w:r>
    </w:p>
    <w:p>
      <w:pPr>
        <w:jc w:val="both"/>
      </w:pPr>
      <w:r>
        <w:rPr>
          <w:color w:val="222222"/>
          <w:sz w:val="27"/>
        </w:rPr>
        <w:t>2.乙方的权利和义务</w:t>
      </w:r>
    </w:p>
    <w:p>
      <w:pPr>
        <w:jc w:val="both"/>
      </w:pPr>
      <w:r>
        <w:rPr>
          <w:b/>
          <w:sz w:val="21"/>
        </w:rPr>
        <w:t>四、服务期间（项目完成期限）</w:t>
      </w:r>
    </w:p>
    <w:p>
      <w:pPr>
        <w:jc w:val="both"/>
      </w:pPr>
      <w:r>
        <w:rPr>
          <w:color w:val="222222"/>
          <w:sz w:val="27"/>
        </w:rPr>
        <w:t>1.委托服务期间自______年______月至______年______月止。</w:t>
      </w:r>
    </w:p>
    <w:p>
      <w:pPr>
        <w:jc w:val="both"/>
      </w:pPr>
      <w:r>
        <w:rPr>
          <w:b/>
          <w:sz w:val="21"/>
        </w:rPr>
        <w:t>五、付款方式</w:t>
      </w:r>
    </w:p>
    <w:p>
      <w:pPr>
        <w:jc w:val="both"/>
      </w:pPr>
      <w:r>
        <w:rPr>
          <w:color w:val="222222"/>
          <w:sz w:val="27"/>
        </w:rPr>
        <w:t>　　由甲方按下列程序在</w:t>
      </w:r>
      <w:r>
        <w:rPr>
          <w:sz w:val="21"/>
          <w:u w:val="single"/>
        </w:rPr>
        <w:t xml:space="preserve">       </w:t>
      </w:r>
      <w:r>
        <w:rPr>
          <w:color w:val="222222"/>
          <w:sz w:val="27"/>
        </w:rPr>
        <w:t xml:space="preserve"> </w:t>
      </w:r>
      <w:r>
        <w:rPr>
          <w:color w:val="222222"/>
          <w:sz w:val="27"/>
        </w:rPr>
        <w:t>内付款：</w:t>
      </w:r>
    </w:p>
    <w:p>
      <w:pPr>
        <w:jc w:val="both"/>
      </w:pPr>
      <w:r>
        <w:rPr>
          <w:color w:val="222222"/>
          <w:sz w:val="27"/>
        </w:rPr>
        <w:t xml:space="preserve">   1.第一次付款</w:t>
      </w:r>
      <w:r>
        <w:rPr>
          <w:color w:val="222222"/>
          <w:sz w:val="27"/>
        </w:rPr>
        <w:t>额</w:t>
      </w:r>
      <w:r>
        <w:rPr>
          <w:color w:val="222222"/>
          <w:sz w:val="27"/>
        </w:rPr>
        <w:t>为</w:t>
      </w:r>
      <w:r>
        <w:rPr>
          <w:color w:val="222222"/>
          <w:sz w:val="27"/>
        </w:rPr>
        <w:t>总服务费的</w:t>
      </w:r>
      <w:r>
        <w:rPr>
          <w:color w:val="222222"/>
          <w:sz w:val="27"/>
        </w:rPr>
        <w:t>30</w:t>
      </w:r>
      <w:r>
        <w:rPr>
          <w:color w:val="222222"/>
          <w:sz w:val="27"/>
        </w:rPr>
        <w:t>(-%)，合同签订后</w:t>
      </w:r>
      <w:r>
        <w:rPr>
          <w:color w:val="222222"/>
          <w:sz w:val="27"/>
        </w:rPr>
        <w:t>3</w:t>
      </w:r>
      <w:r>
        <w:rPr>
          <w:color w:val="222222"/>
          <w:sz w:val="27"/>
        </w:rPr>
        <w:t>0天内，乙方向甲方开具项目预算金额的30%对应的发票和有关支付材料，甲方在收到支付票据资料后及时向乙方支付项目预算金额的30%作为项目实施预付款。</w:t>
      </w:r>
    </w:p>
    <w:p>
      <w:pPr>
        <w:ind w:firstLine="542"/>
        <w:jc w:val="both"/>
      </w:pPr>
      <w:r>
        <w:rPr>
          <w:color w:val="222222"/>
          <w:sz w:val="27"/>
        </w:rPr>
        <w:t>2.第二次付款额应为总服务费的</w:t>
      </w:r>
      <w:r>
        <w:rPr>
          <w:color w:val="222222"/>
          <w:sz w:val="27"/>
        </w:rPr>
        <w:t>40</w:t>
      </w:r>
      <w:r>
        <w:rPr>
          <w:color w:val="222222"/>
          <w:sz w:val="27"/>
        </w:rPr>
        <w:t>(-%)，乙方在整体项目实施</w:t>
      </w:r>
      <w:r>
        <w:rPr>
          <w:color w:val="222222"/>
          <w:sz w:val="27"/>
        </w:rPr>
        <w:t>回收农药包装废弃物达</w:t>
      </w:r>
      <w:r>
        <w:rPr>
          <w:color w:val="222222"/>
          <w:sz w:val="27"/>
        </w:rPr>
        <w:t>25吨后，</w:t>
      </w:r>
      <w:r>
        <w:rPr>
          <w:color w:val="222222"/>
          <w:sz w:val="27"/>
        </w:rPr>
        <w:t>向</w:t>
      </w:r>
      <w:r>
        <w:rPr>
          <w:color w:val="222222"/>
          <w:sz w:val="27"/>
        </w:rPr>
        <w:t>甲方</w:t>
      </w:r>
      <w:r>
        <w:rPr>
          <w:color w:val="222222"/>
          <w:sz w:val="27"/>
        </w:rPr>
        <w:t>提交对应的发票和支付资料，</w:t>
      </w:r>
      <w:r>
        <w:rPr>
          <w:color w:val="222222"/>
          <w:sz w:val="27"/>
        </w:rPr>
        <w:t>甲方</w:t>
      </w:r>
      <w:r>
        <w:rPr>
          <w:color w:val="222222"/>
          <w:sz w:val="27"/>
        </w:rPr>
        <w:t>根据</w:t>
      </w:r>
      <w:r>
        <w:rPr>
          <w:color w:val="222222"/>
          <w:sz w:val="27"/>
        </w:rPr>
        <w:t>申请资料确认后</w:t>
      </w:r>
      <w:r>
        <w:rPr>
          <w:color w:val="222222"/>
          <w:sz w:val="27"/>
        </w:rPr>
        <w:t>支付</w:t>
      </w:r>
      <w:r>
        <w:rPr>
          <w:color w:val="222222"/>
          <w:sz w:val="27"/>
        </w:rPr>
        <w:t>第二期资金</w:t>
      </w:r>
      <w:r>
        <w:rPr>
          <w:color w:val="222222"/>
          <w:sz w:val="27"/>
        </w:rPr>
        <w:t>。</w:t>
      </w:r>
      <w:r>
        <w:rPr>
          <w:color w:val="000000"/>
          <w:sz w:val="27"/>
        </w:rPr>
        <w:t>说明：回收数量和总的结算金额按实结算，以乙方报的单价为结算</w:t>
      </w:r>
      <w:r>
        <w:rPr>
          <w:color w:val="000000"/>
          <w:sz w:val="27"/>
        </w:rPr>
        <w:t>依据。</w:t>
      </w:r>
    </w:p>
    <w:p>
      <w:pPr>
        <w:ind w:firstLine="542"/>
        <w:jc w:val="both"/>
      </w:pPr>
    </w:p>
    <w:p>
      <w:pPr>
        <w:ind w:firstLine="542"/>
        <w:jc w:val="both"/>
      </w:pPr>
      <w:r>
        <w:rPr>
          <w:color w:val="222222"/>
          <w:sz w:val="27"/>
        </w:rPr>
        <w:t>3.尾款付款额为</w:t>
      </w:r>
      <w:r>
        <w:rPr>
          <w:color w:val="222222"/>
          <w:sz w:val="27"/>
        </w:rPr>
        <w:t>总服务费的</w:t>
      </w:r>
      <w:r>
        <w:rPr>
          <w:color w:val="222222"/>
          <w:sz w:val="27"/>
        </w:rPr>
        <w:t>30</w:t>
      </w:r>
      <w:r>
        <w:rPr>
          <w:color w:val="222222"/>
          <w:sz w:val="27"/>
        </w:rPr>
        <w:t>(-%)比例</w:t>
      </w:r>
      <w:r>
        <w:rPr>
          <w:color w:val="222222"/>
          <w:sz w:val="27"/>
        </w:rPr>
        <w:t>，</w:t>
      </w:r>
      <w:r>
        <w:rPr>
          <w:color w:val="222222"/>
          <w:sz w:val="27"/>
        </w:rPr>
        <w:t>在整体项目实施结束且通过专家验收后，向甲方提交尾款对应的发票和支付资料，甲方根据专家验收意见</w:t>
      </w:r>
      <w:r>
        <w:rPr>
          <w:color w:val="222222"/>
          <w:sz w:val="27"/>
        </w:rPr>
        <w:t>等申请资料</w:t>
      </w:r>
      <w:r>
        <w:rPr>
          <w:color w:val="222222"/>
          <w:sz w:val="27"/>
        </w:rPr>
        <w:t>支付项目尾款。说明：回收数量和总的结算金额按实结算，以乙方报的单价为结算依据。</w:t>
      </w:r>
    </w:p>
    <w:p>
      <w:pPr>
        <w:jc w:val="both"/>
      </w:pPr>
      <w:r>
        <w:rPr>
          <w:color w:val="222222"/>
          <w:sz w:val="27"/>
        </w:rPr>
        <w:t>4</w:t>
      </w:r>
      <w:r>
        <w:rPr>
          <w:color w:val="222222"/>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jc w:val="both"/>
      </w:pPr>
      <w:r>
        <w:rPr>
          <w:b/>
          <w:sz w:val="21"/>
        </w:rPr>
        <w:t>六、知识产权归属</w:t>
      </w:r>
    </w:p>
    <w:p>
      <w:pPr>
        <w:jc w:val="both"/>
      </w:pPr>
      <w:r>
        <w:rPr>
          <w:b/>
          <w:sz w:val="21"/>
        </w:rPr>
        <w:t>七、保密</w:t>
      </w:r>
    </w:p>
    <w:p>
      <w:pPr>
        <w:jc w:val="both"/>
      </w:pPr>
      <w:r>
        <w:rPr>
          <w:b/>
          <w:sz w:val="21"/>
        </w:rPr>
        <w:t>八、违约责任与赔偿损失</w:t>
      </w:r>
    </w:p>
    <w:p>
      <w:pPr>
        <w:jc w:val="both"/>
      </w:pPr>
      <w:r>
        <w:rPr>
          <w:color w:val="222222"/>
          <w:sz w:val="27"/>
        </w:rPr>
        <w:t>1.乙方提供的服务不符合本合同规定的，甲方有权拒收，并且乙方须向甲方方支付本合同总价5%的违约金。</w:t>
      </w:r>
    </w:p>
    <w:p>
      <w:pPr>
        <w:jc w:val="both"/>
      </w:pPr>
      <w:r>
        <w:rPr>
          <w:color w:val="222222"/>
          <w:sz w:val="27"/>
        </w:rPr>
        <w:t>2.乙方未能按本合同规定的交货时间提供服务，从逾期之日起每日按本合同总价3‰的数额向甲方支付违约金；逾期半个月以上的，甲方有权终止合同，由此造成的甲方经济损失由乙方承担。</w:t>
      </w:r>
    </w:p>
    <w:p>
      <w:pPr>
        <w:jc w:val="both"/>
      </w:pPr>
      <w:r>
        <w:rPr>
          <w:color w:val="222222"/>
          <w:sz w:val="27"/>
        </w:rPr>
        <w:t>3.甲方无正当理由拒收接受服务，到期拒付服务款项的，甲方向乙方偿付本合同总的5%的违约金。甲方人逾期付款，则每日按本合同总价的3‰向乙方偿付违约金。</w:t>
      </w:r>
    </w:p>
    <w:p>
      <w:pPr>
        <w:jc w:val="both"/>
      </w:pPr>
      <w:r>
        <w:rPr>
          <w:color w:val="222222"/>
          <w:sz w:val="27"/>
        </w:rPr>
        <w:t>4.对于因甲方原因导致变更、中止或者终止政府采购合同的，甲方应当依照以下合同约定对供应商受到的损失予以赔偿或者补偿：</w:t>
      </w:r>
    </w:p>
    <w:p>
      <w:pPr>
        <w:jc w:val="both"/>
      </w:pPr>
      <w:r>
        <w:rPr>
          <w:sz w:val="21"/>
          <w:u w:val="single"/>
        </w:rPr>
        <w:t xml:space="preserve">              </w:t>
      </w:r>
    </w:p>
    <w:p>
      <w:pPr>
        <w:jc w:val="both"/>
      </w:pPr>
      <w:r>
        <w:rPr>
          <w:color w:val="222222"/>
          <w:sz w:val="27"/>
        </w:rPr>
        <w:t>5.其它违约责任按《中华人民共和国民法典(合同编)》处理。</w:t>
      </w:r>
    </w:p>
    <w:p>
      <w:pPr>
        <w:jc w:val="both"/>
      </w:pPr>
      <w:r>
        <w:rPr>
          <w:b/>
          <w:sz w:val="21"/>
        </w:rPr>
        <w:t>九、争议的解决</w:t>
      </w:r>
    </w:p>
    <w:p>
      <w:pPr>
        <w:ind w:firstLine="400"/>
        <w:jc w:val="both"/>
      </w:pPr>
      <w:r>
        <w:rPr>
          <w:color w:val="222222"/>
          <w:sz w:val="27"/>
        </w:rPr>
        <w:t>合同执行过程中发生的任何争议，如双方不能通过友好协商解决，按相关法律法规处理。</w:t>
      </w:r>
      <w:r>
        <w:rPr>
          <w:color w:val="222222"/>
          <w:sz w:val="27"/>
        </w:rPr>
        <w:t xml:space="preserve">    </w:t>
      </w:r>
    </w:p>
    <w:p>
      <w:pPr>
        <w:jc w:val="both"/>
      </w:pPr>
      <w:r>
        <w:rPr>
          <w:b/>
          <w:sz w:val="21"/>
        </w:rPr>
        <w:t>十、不可抗力</w:t>
      </w:r>
    </w:p>
    <w:p>
      <w:pPr>
        <w:jc w:val="both"/>
      </w:pPr>
      <w:r>
        <w:rPr>
          <w:color w:val="222222"/>
          <w:sz w:val="27"/>
        </w:rPr>
        <w:t>　　任何一方由于不可抗力原因不能履行合同时，应在不可抗力事件结束后</w:t>
      </w:r>
      <w:r>
        <w:rPr>
          <w:color w:val="222222"/>
          <w:sz w:val="27"/>
        </w:rPr>
        <w:t>1日内向对方通报，以减轻可能给对方造成的损失，在取得有关机构的不可抗力证明或双方谅解确认后，允许延期履行或修订合同，并根据情况可部分或全部免于承担违约责任。</w:t>
      </w:r>
    </w:p>
    <w:p>
      <w:pPr>
        <w:jc w:val="both"/>
      </w:pPr>
      <w:r>
        <w:rPr>
          <w:b/>
          <w:sz w:val="21"/>
        </w:rPr>
        <w:t>十一、税费</w:t>
      </w:r>
    </w:p>
    <w:p>
      <w:pPr>
        <w:jc w:val="both"/>
      </w:pPr>
      <w:r>
        <w:rPr>
          <w:color w:val="222222"/>
          <w:sz w:val="27"/>
        </w:rPr>
        <w:t>　　在中国境内、外发生的与本合同执行有关的一切税费均由乙方负担。</w:t>
      </w:r>
    </w:p>
    <w:p>
      <w:pPr>
        <w:jc w:val="both"/>
      </w:pPr>
      <w:r>
        <w:rPr>
          <w:b/>
          <w:sz w:val="21"/>
        </w:rPr>
        <w:t>十二、其它</w:t>
      </w:r>
    </w:p>
    <w:p>
      <w:pPr>
        <w:jc w:val="both"/>
      </w:pPr>
      <w:r>
        <w:rPr>
          <w:color w:val="222222"/>
          <w:sz w:val="27"/>
        </w:rPr>
        <w:t>1.本合同所有附件、招标文件、投标文件、中标通知书均为合同的有效组成部分，与本合同具有同等法律效力。</w:t>
      </w:r>
    </w:p>
    <w:p>
      <w:pPr>
        <w:jc w:val="both"/>
      </w:pPr>
      <w:r>
        <w:rPr>
          <w:color w:val="222222"/>
          <w:sz w:val="27"/>
        </w:rPr>
        <w:t>2.在执行本合同的过程中，所有经双方签署确认的文件（包括会议纪要、补充协议、往来信函）即成为本合同的有效组成部分。</w:t>
      </w:r>
    </w:p>
    <w:p>
      <w:pPr>
        <w:jc w:val="both"/>
      </w:pPr>
      <w:r>
        <w:rPr>
          <w:color w:val="222222"/>
          <w:sz w:val="27"/>
        </w:rPr>
        <w:t>3.如一方地址、电话、传真号码有变更，应在变更当日内书面通知对方，否则，应承担相应责任。</w:t>
      </w:r>
    </w:p>
    <w:p>
      <w:pPr>
        <w:jc w:val="both"/>
      </w:pPr>
      <w:r>
        <w:rPr>
          <w:color w:val="222222"/>
          <w:sz w:val="27"/>
        </w:rPr>
        <w:t>4.除甲方事先书面同意外，乙方不得部分或全部转让其应履行的合同项下的义务。</w:t>
      </w:r>
    </w:p>
    <w:p>
      <w:pPr>
        <w:jc w:val="both"/>
      </w:pPr>
      <w:r>
        <w:rPr>
          <w:b/>
          <w:sz w:val="21"/>
        </w:rPr>
        <w:t>十三、合同生效</w:t>
      </w:r>
    </w:p>
    <w:p>
      <w:pPr>
        <w:jc w:val="both"/>
      </w:pPr>
      <w:r>
        <w:rPr>
          <w:color w:val="222222"/>
          <w:sz w:val="27"/>
        </w:rPr>
        <w:t>1.本合同在甲乙双方法人代表或其授权代表签字盖章后生效。</w:t>
      </w:r>
    </w:p>
    <w:p>
      <w:pPr>
        <w:jc w:val="both"/>
      </w:pPr>
      <w:r>
        <w:rPr>
          <w:color w:val="222222"/>
          <w:sz w:val="27"/>
        </w:rPr>
        <w:t>2.合同一式</w:t>
      </w:r>
      <w:r>
        <w:rPr>
          <w:sz w:val="21"/>
          <w:u w:val="single"/>
        </w:rPr>
        <w:t xml:space="preserve">   </w:t>
      </w:r>
      <w:r>
        <w:rPr>
          <w:color w:val="222222"/>
          <w:sz w:val="27"/>
        </w:rPr>
        <w:t xml:space="preserve"> </w:t>
      </w:r>
      <w:r>
        <w:rPr>
          <w:color w:val="222222"/>
          <w:sz w:val="27"/>
        </w:rPr>
        <w:t xml:space="preserve">份，甲乙双方各执 </w:t>
      </w:r>
      <w:r>
        <w:rPr>
          <w:color w:val="222222"/>
          <w:sz w:val="27"/>
          <w:u w:val="single"/>
        </w:rPr>
        <w:t xml:space="preserve"> </w:t>
      </w:r>
      <w:r>
        <w:rPr>
          <w:color w:val="222222"/>
          <w:sz w:val="27"/>
        </w:rPr>
        <w:t xml:space="preserve"> 份，代理机构执壹份。</w:t>
      </w:r>
    </w:p>
    <w:p>
      <w:pPr>
        <w:jc w:val="both"/>
      </w:pPr>
      <w:r>
        <w:rPr>
          <w:sz w:val="21"/>
        </w:rPr>
        <w:t xml:space="preserve"> </w:t>
      </w:r>
    </w:p>
    <w:p>
      <w:pPr>
        <w:jc w:val="both"/>
      </w:pPr>
      <w:r>
        <w:rPr>
          <w:b/>
          <w:sz w:val="21"/>
        </w:rPr>
        <w:t>甲方（盖章）：</w:t>
      </w:r>
      <w:r>
        <w:rPr>
          <w:b/>
          <w:sz w:val="21"/>
        </w:rPr>
        <w:t xml:space="preserve">                              </w:t>
      </w:r>
      <w:r>
        <w:rPr>
          <w:b/>
          <w:sz w:val="21"/>
        </w:rPr>
        <w:t>乙方（盖章）：</w:t>
      </w:r>
    </w:p>
    <w:p>
      <w:pPr>
        <w:jc w:val="both"/>
      </w:pPr>
      <w:r>
        <w:rPr>
          <w:b/>
          <w:sz w:val="21"/>
        </w:rPr>
        <w:t>代表：</w:t>
      </w:r>
      <w:r>
        <w:rPr>
          <w:b/>
          <w:sz w:val="21"/>
        </w:rPr>
        <w:t xml:space="preserve">                       </w:t>
      </w:r>
      <w:r>
        <w:rPr>
          <w:b/>
          <w:sz w:val="21"/>
        </w:rPr>
        <w:t>代表：</w:t>
      </w:r>
    </w:p>
    <w:p>
      <w:pPr>
        <w:jc w:val="both"/>
      </w:pPr>
      <w:r>
        <w:rPr>
          <w:color w:val="222222"/>
          <w:sz w:val="21"/>
        </w:rPr>
        <w:t>签订地点：</w:t>
      </w:r>
    </w:p>
    <w:p>
      <w:pPr>
        <w:jc w:val="both"/>
      </w:pPr>
      <w:r>
        <w:rPr>
          <w:color w:val="222222"/>
          <w:sz w:val="21"/>
        </w:rPr>
        <w:t>签订日期：　　　年　　月　　日</w:t>
      </w:r>
      <w:r>
        <w:rPr>
          <w:color w:val="222222"/>
          <w:sz w:val="21"/>
        </w:rPr>
        <w:t xml:space="preserve">   </w:t>
      </w:r>
      <w:r>
        <w:rPr>
          <w:color w:val="222222"/>
          <w:sz w:val="21"/>
        </w:rPr>
        <w:t>签订日期：　　　年　　月　　日</w:t>
      </w:r>
    </w:p>
    <w:p>
      <w:pPr>
        <w:jc w:val="both"/>
      </w:pPr>
      <w:r>
        <w:rPr>
          <w:color w:val="222222"/>
          <w:sz w:val="21"/>
        </w:rPr>
        <w:t>开户名称：</w:t>
      </w:r>
    </w:p>
    <w:p>
      <w:pPr>
        <w:jc w:val="both"/>
      </w:pPr>
      <w:r>
        <w:rPr>
          <w:color w:val="222222"/>
          <w:sz w:val="21"/>
        </w:rPr>
        <w:t>银行帐号：</w:t>
      </w:r>
    </w:p>
    <w:p>
      <w:pPr>
        <w:jc w:val="both"/>
      </w:pPr>
      <w:r>
        <w:rPr>
          <w:color w:val="222222"/>
          <w:sz w:val="21"/>
        </w:rPr>
        <w:t>开</w:t>
      </w:r>
      <w:r>
        <w:rPr>
          <w:color w:val="222222"/>
          <w:sz w:val="21"/>
        </w:rPr>
        <w:t>户</w:t>
      </w:r>
      <w:r>
        <w:rPr>
          <w:color w:val="222222"/>
          <w:sz w:val="21"/>
        </w:rPr>
        <w:t>行：</w:t>
      </w:r>
    </w:p>
    <w:p>
      <w:pPr>
        <w:jc w:val="both"/>
      </w:pPr>
    </w:p>
    <w:p>
      <w:pPr>
        <w:jc w:val="center"/>
      </w:pPr>
      <w:r>
        <w:rPr>
          <w:b/>
        </w:rPr>
        <w:t xml:space="preserve"> </w:t>
      </w:r>
    </w:p>
    <w:p>
      <w:pPr>
        <w:jc w:val="center"/>
      </w:pPr>
      <w:r>
        <w:rPr>
          <w:b/>
        </w:rPr>
        <w:t xml:space="preserve"> </w:t>
      </w:r>
    </w:p>
    <w:p>
      <w:pPr>
        <w:jc w:val="center"/>
      </w:pPr>
      <w:r>
        <w:rPr/>
        <w:t xml:space="preserve"> </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442000-2023-02330</w:t>
      </w:r>
    </w:p>
    <w:p>
      <w:pPr>
        <w:jc w:val="center"/>
      </w:pPr>
      <w:r>
        <w:rPr>
          <w:b/>
          <w:sz w:val="24"/>
        </w:rPr>
        <w:t>采购项目编号：</w:t>
      </w:r>
      <w:r>
        <w:rPr>
          <w:b/>
          <w:sz w:val="24"/>
        </w:rPr>
        <w:t>442000-2023-02330</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智林招标（广东）有限公司</w:t>
      </w:r>
    </w:p>
    <w:p>
      <w:pPr>
        <w:ind w:firstLine="480"/>
      </w:pPr>
      <w:r>
        <w:rPr/>
        <w:t>你方组织的</w:t>
      </w:r>
      <w:r>
        <w:rPr>
          <w:u w:val="single"/>
        </w:rPr>
        <w:t>“</w:t>
      </w:r>
      <w:r>
        <w:rPr>
          <w:u w:val="single"/>
        </w:rPr>
        <w:t>中山市农业农村局2023年中山市农药包装废弃物回收处理项目</w:t>
      </w:r>
      <w:r>
        <w:rPr>
          <w:u w:val="single"/>
        </w:rPr>
        <w:t>”</w:t>
      </w:r>
      <w:r>
        <w:rPr/>
        <w:t>项目的竞争性磋商[采购项目编号为：</w:t>
      </w:r>
      <w:r>
        <w:rPr>
          <w:u w:val="single"/>
        </w:rPr>
        <w:t>442000-2023-02330</w:t>
      </w:r>
      <w:r>
        <w:rPr/>
        <w:t>]，我方愿参与响应。</w:t>
      </w:r>
    </w:p>
    <w:p>
      <w:pPr>
        <w:ind w:firstLine="480"/>
      </w:pPr>
      <w:r>
        <w:rPr/>
        <w:t>我方确认收到贵方提供的</w:t>
      </w:r>
      <w:r>
        <w:rPr>
          <w:u w:val="single"/>
        </w:rPr>
        <w:t>“</w:t>
      </w:r>
      <w:r>
        <w:rPr>
          <w:u w:val="single"/>
        </w:rPr>
        <w:t>中山市农业农村局2023年中山市农药包装废弃物回收处理项目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中山市农业农村局2023年中山市农药包装废弃物回收处理项目</w:t>
      </w:r>
      <w:r>
        <w:rPr/>
        <w:t>”项目采购[采购项目编号为</w:t>
      </w:r>
      <w:r>
        <w:rPr/>
        <w:t>442000-2023-02330</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中山市农业农村局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智林招标（广东）有限公司</w:t>
      </w:r>
    </w:p>
    <w:p>
      <w:pPr>
        <w:ind w:firstLine="480"/>
      </w:pPr>
      <w:r>
        <w:rPr/>
        <w:t>我单位参加贵公司组织的</w:t>
      </w:r>
      <w:r>
        <w:rPr/>
        <w:t>中山市农业农村局2023年中山市农药包装废弃物回收处理项目</w:t>
      </w:r>
      <w:r>
        <w:rPr/>
        <w:t>（采购项目编号：</w:t>
      </w:r>
      <w:r>
        <w:rPr/>
        <w:t>442000-2023-02330</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中山市农业农村局2023年中山市农药包装废弃物回收处理项目</w:t>
      </w:r>
      <w:r>
        <w:rPr/>
        <w:t>”项目（采购项目编号：</w:t>
      </w:r>
      <w:r>
        <w:rPr/>
        <w:t>442000-2023-02330</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