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442000-2022-04672</w:t>
      </w:r>
    </w:p>
    <w:p>
      <w:pPr>
        <w:jc w:val="center"/>
      </w:pPr>
      <w:r>
        <w:rPr>
          <w:b/>
          <w:sz w:val="24"/>
        </w:rPr>
        <w:t>采购项目编号：</w:t>
      </w:r>
      <w:r>
        <w:rPr>
          <w:b/>
          <w:sz w:val="24"/>
        </w:rPr>
        <w:t>442000-2022-04672</w:t>
      </w:r>
    </w:p>
    <w:p>
      <w:pPr>
        <w:jc w:val="center"/>
      </w:pPr>
      <w:r>
        <w:rPr>
          <w:b/>
          <w:sz w:val="24"/>
        </w:rPr>
        <w:t>项目名称：</w:t>
      </w:r>
      <w:r>
        <w:rPr>
          <w:b/>
          <w:sz w:val="24"/>
        </w:rPr>
        <w:t>粤港澳大湾区（中山）大气成分野外科学试验基地日常维护运行项目</w:t>
      </w:r>
    </w:p>
    <w:p>
      <w:pPr>
        <w:jc w:val="center"/>
      </w:pPr>
      <w:r>
        <w:rPr>
          <w:b/>
          <w:sz w:val="24"/>
        </w:rPr>
        <w:t>采购人：</w:t>
      </w:r>
      <w:r>
        <w:rPr>
          <w:b/>
          <w:sz w:val="24"/>
        </w:rPr>
        <w:t>中山市气象局</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 磋商邀请</w:t>
      </w:r>
    </w:p>
    <w:p>
      <w:pPr>
        <w:ind w:firstLine="480"/>
      </w:pPr>
      <w:r>
        <w:rPr/>
        <w:t>智林招标（广东）有限公司</w:t>
      </w:r>
      <w:r>
        <w:rPr/>
        <w:t>受</w:t>
      </w:r>
      <w:r>
        <w:rPr/>
        <w:t>中山市气象局</w:t>
      </w:r>
      <w:r>
        <w:rPr/>
        <w:t>的委托，采用</w:t>
      </w:r>
      <w:r>
        <w:rPr/>
        <w:t>竞争性磋商</w:t>
      </w:r>
      <w:r>
        <w:rPr/>
        <w:t>方式组织采购</w:t>
      </w:r>
      <w:r>
        <w:rPr/>
        <w:t>粤港澳大湾区（中山）大气成分野外科学试验基地日常维护运行项目</w:t>
      </w:r>
      <w:r>
        <w:rPr/>
        <w:t>。欢迎符合资格条件的供应商参加。</w:t>
      </w:r>
    </w:p>
    <w:p>
      <w:r>
        <w:rPr>
          <w:b/>
          <w:sz w:val="28"/>
        </w:rPr>
        <w:t>一.项目概述</w:t>
      </w:r>
    </w:p>
    <w:p>
      <w:r>
        <w:rPr>
          <w:b/>
          <w:sz w:val="24"/>
        </w:rPr>
        <w:t>1.名称与编号</w:t>
      </w:r>
    </w:p>
    <w:p>
      <w:pPr>
        <w:ind w:firstLine="480"/>
      </w:pPr>
      <w:r>
        <w:rPr/>
        <w:t>采购项目名称：</w:t>
      </w:r>
      <w:r>
        <w:rPr/>
        <w:t>粤港澳大湾区（中山）大气成分野外科学试验基地日常维护运行项目</w:t>
      </w:r>
    </w:p>
    <w:p>
      <w:pPr>
        <w:ind w:firstLine="480"/>
      </w:pPr>
      <w:r>
        <w:rPr/>
        <w:t>采购计划编号：</w:t>
      </w:r>
      <w:r>
        <w:rPr/>
        <w:t>442000-2022-04672</w:t>
      </w:r>
    </w:p>
    <w:p>
      <w:pPr>
        <w:ind w:firstLine="480"/>
      </w:pPr>
      <w:r>
        <w:rPr/>
        <w:t>采购项目编号：</w:t>
      </w:r>
      <w:r>
        <w:rPr/>
        <w:t>442000-2022-04672</w:t>
      </w:r>
    </w:p>
    <w:p>
      <w:pPr>
        <w:ind w:firstLine="480"/>
      </w:pPr>
      <w:r>
        <w:rPr/>
        <w:t>采购方式：</w:t>
      </w:r>
      <w:r>
        <w:rPr/>
        <w:t>竞争性磋商</w:t>
      </w:r>
    </w:p>
    <w:p>
      <w:pPr>
        <w:ind w:firstLine="480"/>
      </w:pPr>
      <w:r>
        <w:rPr/>
        <w:t>预算金额：</w:t>
      </w:r>
      <w:r>
        <w:rPr/>
        <w:t>1,060,000.00</w:t>
      </w:r>
      <w:r>
        <w:rPr/>
        <w:t>元</w:t>
      </w:r>
    </w:p>
    <w:p>
      <w:r>
        <w:rPr>
          <w:b/>
          <w:sz w:val="24"/>
        </w:rPr>
        <w:t>2.项目内容及需求情况（采购项目技术规格、参数及要求）</w:t>
      </w:r>
    </w:p>
    <w:p>
      <w:pPr>
        <w:ind w:firstLine="480"/>
      </w:pPr>
    </w:p>
    <w:p/>
    <w:p>
      <w:r>
        <w:rPr/>
        <w:t>采购包1(粤港澳大湾区（中山）大气成分野外科学试验基地日常维护运行项目):</w:t>
      </w:r>
    </w:p>
    <w:p>
      <w:r>
        <w:rPr/>
        <w:t>采购包预算金额：1,060,000.00元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其他租赁服务</w:t>
            </w:r>
          </w:p>
        </w:tc>
        <w:tc>
          <w:tcPr>
            <w:tcW w:type="dxa" w:w="2136"/>
          </w:tcPr>
          <w:p>
            <w:r>
              <w:rPr/>
              <w:t>租用氮氧化物分析仪、臭氧分析仪、PAN在线分析仪</w:t>
            </w:r>
          </w:p>
        </w:tc>
        <w:tc>
          <w:tcPr>
            <w:tcW w:type="dxa" w:w="1187"/>
          </w:tcPr>
          <w:p>
            <w:r>
              <w:rPr/>
              <w:t>1.0000(批)</w:t>
            </w:r>
          </w:p>
        </w:tc>
        <w:tc>
          <w:tcPr>
            <w:tcW w:type="dxa" w:w="1187"/>
          </w:tcPr>
          <w:p>
            <w:r>
              <w:rPr/>
              <w:t>详见第二章</w:t>
            </w:r>
          </w:p>
        </w:tc>
        <w:tc>
          <w:tcPr>
            <w:tcW w:type="dxa" w:w="1187"/>
          </w:tcPr>
          <w:p>
            <w:r>
              <w:rPr/>
              <w:t>否</w:t>
            </w:r>
          </w:p>
        </w:tc>
      </w:tr>
      <w:tr>
        <w:tc>
          <w:tcPr>
            <w:tcW w:type="dxa" w:w="1187"/>
          </w:tcPr>
          <w:p>
            <w:r>
              <w:rPr/>
              <w:t>1-2</w:t>
            </w:r>
          </w:p>
        </w:tc>
        <w:tc>
          <w:tcPr>
            <w:tcW w:type="dxa" w:w="1424"/>
          </w:tcPr>
          <w:p>
            <w:r>
              <w:rPr/>
              <w:t>其他维修和保养服务</w:t>
            </w:r>
          </w:p>
        </w:tc>
        <w:tc>
          <w:tcPr>
            <w:tcW w:type="dxa" w:w="2136"/>
          </w:tcPr>
          <w:p>
            <w:r>
              <w:rPr/>
              <w:t>仪器运维</w:t>
            </w:r>
          </w:p>
        </w:tc>
        <w:tc>
          <w:tcPr>
            <w:tcW w:type="dxa" w:w="1187"/>
          </w:tcPr>
          <w:p>
            <w:r>
              <w:rPr/>
              <w:t>1.0000(项)</w:t>
            </w:r>
          </w:p>
        </w:tc>
        <w:tc>
          <w:tcPr>
            <w:tcW w:type="dxa" w:w="1187"/>
          </w:tcPr>
          <w:p>
            <w:r>
              <w:rPr/>
              <w:t>详见第二章</w:t>
            </w:r>
          </w:p>
        </w:tc>
        <w:tc>
          <w:tcPr>
            <w:tcW w:type="dxa" w:w="1187"/>
          </w:tcPr>
          <w:p>
            <w:r>
              <w:rPr/>
              <w:t>否</w:t>
            </w:r>
          </w:p>
        </w:tc>
      </w:tr>
      <w:tr>
        <w:tc>
          <w:tcPr>
            <w:tcW w:type="dxa" w:w="1187"/>
          </w:tcPr>
          <w:p>
            <w:r>
              <w:rPr/>
              <w:t>1-3</w:t>
            </w:r>
          </w:p>
        </w:tc>
        <w:tc>
          <w:tcPr>
            <w:tcW w:type="dxa" w:w="1424"/>
          </w:tcPr>
          <w:p>
            <w:r>
              <w:rPr/>
              <w:t>其他数据处理服务</w:t>
            </w:r>
          </w:p>
        </w:tc>
        <w:tc>
          <w:tcPr>
            <w:tcW w:type="dxa" w:w="2136"/>
          </w:tcPr>
          <w:p>
            <w:r>
              <w:rPr/>
              <w:t>数据分析</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本采购包不接受联合体响应</w:t>
      </w:r>
    </w:p>
    <w:p/>
    <w:p>
      <w:r>
        <w:rPr/>
        <w:t>合同履行期限：合同签订后一年，具体以合同签订约定时间为准。</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2）有依法缴纳税收和社会保障资金的良好记录：提供投标截止日前12个月内任意1个月依法缴纳税收和社会保障资金的相关材料。如依法免税或不需要缴纳社会保障资金的，提供相应证明材料。</w:t>
      </w:r>
    </w:p>
    <w:p/>
    <w:p>
      <w:r>
        <w:rPr/>
        <w:t>3）具有良好的商业信誉和健全的财务会计制度：供应商必须具有良好的商业信誉和健全的财务会计制度（提供2020年度或2021年度财务状况报告或基本开户行出具的资信证明或投标截止日前12个月内任意1个月的财务报表，包括:资产负债表、利润表复印件加盖投标人公章）。</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采购包1（粤港澳大湾区（中山）大气成分野外科学试验基地日常维护运行项目）：</w:t>
      </w:r>
      <w:r>
        <w:rPr/>
        <w:t>采购包整体专门面向中小企业。只允许个体户、中小企业、监狱企业、残疾人福利性单位参与本项目投标。中小企业具体标准根据《工业和信息化部、国家统计局、国家发展和改革委员会、财政部关于印发中小企业划型标准规定的通知》（工信部联企业〔2011〕300号）文件进行划分；监狱企业根据（财库〔2014〕68号）的规定；残疾人福利性单位根据（财库〔2017〕141号）的规定。提供有效的中小企业声明函（或残疾人福利性单位声明函或监狱企业证明文件），否则不予认定。本项目标的按照《中小企业划分标准规定》（工信部联企业[2011]300号）划分行业为：其他未列明行业。</w:t>
      </w:r>
    </w:p>
    <w:p/>
    <w:p>
      <w:r>
        <w:rPr>
          <w:b/>
          <w:sz w:val="24"/>
        </w:rPr>
        <w:t>3.本项目特定的资格要求：</w:t>
      </w:r>
    </w:p>
    <w:p>
      <w:pPr>
        <w:ind w:firstLine="480"/>
      </w:pPr>
    </w:p>
    <w:p/>
    <w:p>
      <w:r>
        <w:rPr/>
        <w:t>采购包1（粤港澳大湾区（中山）大气成分野外科学试验基地日常维护运行项目）：</w:t>
      </w:r>
    </w:p>
    <w:p/>
    <w:p>
      <w:r>
        <w:rPr/>
        <w:t>1)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中山市气象局</w:t>
      </w:r>
    </w:p>
    <w:p>
      <w:pPr>
        <w:ind w:firstLine="480"/>
      </w:pPr>
      <w:r>
        <w:rPr/>
        <w:t>地址：</w:t>
      </w:r>
      <w:r>
        <w:rPr/>
        <w:t>中山市西区升华路6号</w:t>
      </w:r>
    </w:p>
    <w:p>
      <w:pPr>
        <w:ind w:firstLine="480"/>
      </w:pPr>
      <w:r>
        <w:rPr/>
        <w:t>联系方式：</w:t>
      </w:r>
      <w:r>
        <w:rPr/>
        <w:t>88629982</w:t>
      </w:r>
    </w:p>
    <w:p>
      <w:r>
        <w:rPr>
          <w:b/>
          <w:sz w:val="24"/>
        </w:rPr>
        <w:t>2.采购代理机构信息</w:t>
      </w:r>
    </w:p>
    <w:p>
      <w:pPr>
        <w:ind w:firstLine="480"/>
      </w:pPr>
      <w:r>
        <w:rPr/>
        <w:t>名称：</w:t>
      </w:r>
      <w:r>
        <w:rPr/>
        <w:t>智林招标（广东）有限公司</w:t>
      </w:r>
    </w:p>
    <w:p>
      <w:pPr>
        <w:ind w:firstLine="480"/>
      </w:pPr>
      <w:r>
        <w:rPr/>
        <w:t>地址：</w:t>
      </w:r>
      <w:r>
        <w:rPr/>
        <w:t>广东省中山市东区街道中山五路82号紫岭国际二期2座513房之一</w:t>
      </w:r>
    </w:p>
    <w:p>
      <w:pPr>
        <w:ind w:firstLine="480"/>
      </w:pPr>
      <w:r>
        <w:rPr/>
        <w:t>联系方式：</w:t>
      </w:r>
      <w:r>
        <w:rPr/>
        <w:t>0760-88889687</w:t>
      </w:r>
    </w:p>
    <w:p>
      <w:r>
        <w:rPr>
          <w:b/>
          <w:sz w:val="24"/>
        </w:rPr>
        <w:t>3.项目联系方式</w:t>
      </w:r>
    </w:p>
    <w:p>
      <w:pPr>
        <w:ind w:firstLine="480"/>
      </w:pPr>
      <w:r>
        <w:rPr/>
        <w:t>项目联系人：</w:t>
      </w:r>
      <w:r>
        <w:rPr/>
        <w:t>吴颖红</w:t>
      </w:r>
    </w:p>
    <w:p>
      <w:pPr>
        <w:ind w:firstLine="480"/>
      </w:pPr>
      <w:r>
        <w:rPr/>
        <w:t>电话：</w:t>
      </w:r>
      <w:r>
        <w:rPr/>
        <w:t>0760-88889687</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color w:val="000000"/>
          <w:sz w:val="21"/>
        </w:rPr>
        <w:t>1.</w:t>
      </w:r>
      <w:r>
        <w:rPr>
          <w:color w:val="000000"/>
          <w:sz w:val="21"/>
        </w:rPr>
        <w:t>名称与编号</w:t>
      </w:r>
    </w:p>
    <w:p>
      <w:pPr>
        <w:jc w:val="both"/>
      </w:pPr>
      <w:r>
        <w:rPr>
          <w:color w:val="000000"/>
          <w:sz w:val="21"/>
        </w:rPr>
        <w:t>项目名称：</w:t>
      </w:r>
      <w:r>
        <w:rPr>
          <w:color w:val="000000"/>
          <w:sz w:val="21"/>
        </w:rPr>
        <w:t>粤港澳大湾区（中山）大气成分野外科学试验基地日常维护运行项目</w:t>
      </w:r>
    </w:p>
    <w:p>
      <w:pPr>
        <w:jc w:val="both"/>
      </w:pPr>
      <w:r>
        <w:rPr>
          <w:color w:val="000000"/>
          <w:sz w:val="21"/>
        </w:rPr>
        <w:t>采购计划编号：</w:t>
      </w:r>
      <w:r>
        <w:rPr>
          <w:color w:val="000000"/>
          <w:sz w:val="21"/>
        </w:rPr>
        <w:t>442000-2022-04672</w:t>
      </w:r>
    </w:p>
    <w:p>
      <w:pPr>
        <w:jc w:val="both"/>
      </w:pPr>
      <w:r>
        <w:rPr>
          <w:color w:val="000000"/>
          <w:sz w:val="21"/>
        </w:rPr>
        <w:t>采购项目编号：</w:t>
      </w:r>
      <w:r>
        <w:rPr>
          <w:color w:val="000000"/>
          <w:sz w:val="21"/>
        </w:rPr>
        <w:t>442000-2022-04672</w:t>
      </w:r>
    </w:p>
    <w:p>
      <w:pPr>
        <w:jc w:val="both"/>
      </w:pPr>
      <w:r>
        <w:rPr>
          <w:color w:val="000000"/>
          <w:sz w:val="21"/>
        </w:rPr>
        <w:t>采购方式：</w:t>
      </w:r>
      <w:r>
        <w:rPr>
          <w:color w:val="000000"/>
          <w:sz w:val="21"/>
        </w:rPr>
        <w:t>竞争性磋商</w:t>
      </w:r>
    </w:p>
    <w:p>
      <w:pPr>
        <w:jc w:val="both"/>
      </w:pPr>
      <w:r>
        <w:rPr>
          <w:color w:val="000000"/>
          <w:sz w:val="21"/>
        </w:rPr>
        <w:t>预算金额：</w:t>
      </w:r>
      <w:r>
        <w:rPr>
          <w:sz w:val="21"/>
        </w:rPr>
        <w:t>1060000.00</w:t>
      </w:r>
      <w:r>
        <w:rPr>
          <w:color w:val="000000"/>
          <w:sz w:val="21"/>
        </w:rPr>
        <w:t>元</w:t>
      </w:r>
    </w:p>
    <w:p>
      <w:pPr>
        <w:jc w:val="both"/>
      </w:pPr>
      <w:r>
        <w:rPr>
          <w:color w:val="000000"/>
          <w:sz w:val="21"/>
        </w:rPr>
        <w:t>预算上限价：</w:t>
      </w:r>
      <w:r>
        <w:rPr>
          <w:color w:val="000000"/>
          <w:sz w:val="21"/>
        </w:rPr>
        <w:t>1060000.00</w:t>
      </w:r>
      <w:r>
        <w:rPr>
          <w:color w:val="000000"/>
          <w:sz w:val="21"/>
        </w:rPr>
        <w:t>元（供应商报价不得高于项目上限价，否则视为无效报价。）</w:t>
      </w:r>
    </w:p>
    <w:p>
      <w:pPr>
        <w:jc w:val="both"/>
      </w:pPr>
      <w:r>
        <w:rPr>
          <w:color w:val="000000"/>
          <w:sz w:val="21"/>
        </w:rPr>
        <w:t>2.</w:t>
      </w:r>
      <w:r>
        <w:rPr>
          <w:color w:val="000000"/>
          <w:sz w:val="21"/>
        </w:rPr>
        <w:t>磋商报价包含货物价款（含相关配件、附件、安装、材料）、运输费、装卸费、安装费、调试测试费、保险费用、税费等有关各项手续费款及其技术和售后服务费等一切有关费用，如涉及软件许可使用或技术指导、人员培训的，还应包括软件许可费以及一切技术服务费、人员培训费，成交</w:t>
      </w:r>
      <w:r>
        <w:rPr>
          <w:color w:val="000000"/>
          <w:sz w:val="21"/>
        </w:rPr>
        <w:t>人</w:t>
      </w:r>
      <w:r>
        <w:rPr>
          <w:color w:val="000000"/>
          <w:sz w:val="21"/>
        </w:rPr>
        <w:t>不得再向采购人收取任何费用。</w:t>
      </w:r>
    </w:p>
    <w:p>
      <w:pPr>
        <w:jc w:val="both"/>
      </w:pPr>
      <w:r>
        <w:rPr>
          <w:color w:val="000000"/>
          <w:sz w:val="21"/>
        </w:rPr>
        <w:t>3.</w:t>
      </w:r>
      <w:r>
        <w:rPr>
          <w:sz w:val="21"/>
        </w:rPr>
        <w:t>服务期限</w:t>
      </w:r>
      <w:r>
        <w:rPr>
          <w:color w:val="000000"/>
          <w:sz w:val="21"/>
        </w:rPr>
        <w:t>：</w:t>
      </w:r>
      <w:r>
        <w:rPr>
          <w:color w:val="000000"/>
          <w:sz w:val="21"/>
        </w:rPr>
        <w:t>合同签订后一年，具体以合同签订约定时间为准。</w:t>
      </w:r>
    </w:p>
    <w:p>
      <w:pPr>
        <w:jc w:val="both"/>
      </w:pPr>
      <w:r>
        <w:rPr>
          <w:color w:val="000000"/>
          <w:sz w:val="21"/>
        </w:rPr>
        <w:t>4</w:t>
      </w:r>
      <w:r>
        <w:rPr>
          <w:color w:val="000000"/>
          <w:sz w:val="21"/>
        </w:rPr>
        <w:t>.</w:t>
      </w:r>
      <w:r>
        <w:rPr>
          <w:color w:val="000000"/>
          <w:sz w:val="21"/>
        </w:rPr>
        <w:t>采购标的对应的中小企业划分标准所属行业：</w:t>
      </w:r>
      <w:r>
        <w:rPr>
          <w:color w:val="000000"/>
          <w:sz w:val="21"/>
        </w:rPr>
        <w:t>其他未列明行业</w:t>
      </w:r>
      <w:r>
        <w:rPr>
          <w:color w:val="000000"/>
          <w:sz w:val="21"/>
        </w:rPr>
        <w:t>。</w:t>
      </w:r>
    </w:p>
    <w:p>
      <w:pPr>
        <w:jc w:val="both"/>
      </w:pPr>
      <w:r>
        <w:rPr>
          <w:color w:val="000000"/>
          <w:sz w:val="21"/>
        </w:rPr>
        <w:t>5.</w:t>
      </w:r>
      <w:r>
        <w:rPr>
          <w:color w:val="000000"/>
          <w:sz w:val="21"/>
        </w:rPr>
        <w:t>除经采购人同意，成交供应商不得以任何方式分包本项目。</w:t>
      </w:r>
    </w:p>
    <w:p>
      <w:pPr>
        <w:jc w:val="both"/>
      </w:pPr>
      <w:r>
        <w:rPr>
          <w:color w:val="000000"/>
          <w:sz w:val="21"/>
        </w:rPr>
        <w:t>6.</w:t>
      </w:r>
      <w:r>
        <w:rPr>
          <w:color w:val="000000"/>
          <w:sz w:val="21"/>
        </w:rPr>
        <w:t>供应商承包及负责磋商文件要求的一切事宜及责任。</w:t>
      </w:r>
    </w:p>
    <w:p>
      <w:pPr>
        <w:jc w:val="both"/>
      </w:pPr>
      <w:r>
        <w:rPr>
          <w:color w:val="000000"/>
          <w:sz w:val="21"/>
        </w:rPr>
        <w:t>7</w:t>
      </w:r>
      <w:r>
        <w:rPr>
          <w:color w:val="000000"/>
          <w:sz w:val="21"/>
        </w:rPr>
        <w:t>.</w:t>
      </w:r>
      <w:r>
        <w:rPr>
          <w:color w:val="000000"/>
          <w:sz w:val="21"/>
        </w:rPr>
        <w:t>本采购包不接受联合体投标。</w:t>
      </w:r>
    </w:p>
    <w:p>
      <w:pPr>
        <w:jc w:val="both"/>
      </w:pPr>
      <w:r>
        <w:rPr>
          <w:color w:val="000000"/>
          <w:sz w:val="21"/>
        </w:rPr>
        <w:t>8</w:t>
      </w:r>
      <w:r>
        <w:rPr>
          <w:color w:val="000000"/>
          <w:sz w:val="21"/>
        </w:rPr>
        <w:t>.</w:t>
      </w:r>
      <w:r>
        <w:rPr>
          <w:color w:val="000000"/>
          <w:sz w:val="21"/>
        </w:rPr>
        <w:t>磋商</w:t>
      </w:r>
      <w:r>
        <w:rPr>
          <w:color w:val="000000"/>
          <w:sz w:val="21"/>
        </w:rPr>
        <w:t>文件中凡有</w:t>
      </w:r>
      <w:r>
        <w:rPr>
          <w:color w:val="000000"/>
          <w:sz w:val="21"/>
        </w:rPr>
        <w:t>“★”</w:t>
      </w:r>
      <w:r>
        <w:rPr>
          <w:color w:val="000000"/>
          <w:sz w:val="21"/>
        </w:rPr>
        <w:t>标识的内容条款为关键条款，供应商必须对此作出回答并完全满足这些要求不可以出现任何负偏离，对这些关键条款的任何负偏离将视为无效投标。加注</w:t>
      </w:r>
      <w:r>
        <w:rPr>
          <w:color w:val="000000"/>
          <w:sz w:val="21"/>
        </w:rPr>
        <w:t>“▲”</w:t>
      </w:r>
      <w:r>
        <w:rPr>
          <w:color w:val="000000"/>
          <w:sz w:val="21"/>
        </w:rPr>
        <w:t>的内容为重点评标项目，</w:t>
      </w:r>
      <w:r>
        <w:rPr>
          <w:color w:val="000000"/>
          <w:sz w:val="21"/>
        </w:rPr>
        <w:t>供应商</w:t>
      </w:r>
      <w:r>
        <w:rPr>
          <w:color w:val="000000"/>
          <w:sz w:val="21"/>
        </w:rPr>
        <w:t>必须对该标识项目按照要求进行真实应答描述。</w:t>
      </w:r>
    </w:p>
    <w:p>
      <w:pPr>
        <w:jc w:val="both"/>
      </w:pPr>
      <w:r>
        <w:rPr>
          <w:color w:val="000000"/>
          <w:sz w:val="21"/>
        </w:rPr>
        <w:t>9</w:t>
      </w:r>
      <w:r>
        <w:rPr>
          <w:color w:val="000000"/>
          <w:sz w:val="21"/>
        </w:rPr>
        <w:t>.</w:t>
      </w:r>
      <w:r>
        <w:rPr>
          <w:color w:val="000000"/>
          <w:sz w:val="21"/>
        </w:rPr>
        <w:t>本项目由</w:t>
      </w:r>
      <w:r>
        <w:rPr>
          <w:color w:val="000000"/>
          <w:sz w:val="21"/>
        </w:rPr>
        <w:t>成交人</w:t>
      </w:r>
      <w:r>
        <w:rPr>
          <w:color w:val="000000"/>
          <w:sz w:val="21"/>
        </w:rPr>
        <w:t>负责</w:t>
      </w:r>
      <w:r>
        <w:rPr>
          <w:color w:val="000000"/>
          <w:sz w:val="21"/>
        </w:rPr>
        <w:t>磋商</w:t>
      </w:r>
      <w:r>
        <w:rPr>
          <w:color w:val="000000"/>
          <w:sz w:val="21"/>
        </w:rPr>
        <w:t>文件对</w:t>
      </w:r>
      <w:r>
        <w:rPr>
          <w:color w:val="000000"/>
          <w:sz w:val="21"/>
        </w:rPr>
        <w:t>成交</w:t>
      </w:r>
      <w:r>
        <w:rPr>
          <w:color w:val="000000"/>
          <w:sz w:val="21"/>
        </w:rPr>
        <w:t>人要求的一切事宜及责任。</w:t>
      </w:r>
      <w:r>
        <w:rPr>
          <w:sz w:val="21"/>
        </w:rPr>
        <w:t>磋商</w:t>
      </w:r>
      <w:r>
        <w:rPr>
          <w:color w:val="000000"/>
          <w:sz w:val="21"/>
        </w:rPr>
        <w:t>报价中不得包含</w:t>
      </w:r>
      <w:r>
        <w:rPr>
          <w:color w:val="000000"/>
          <w:sz w:val="21"/>
        </w:rPr>
        <w:t>磋商</w:t>
      </w:r>
      <w:r>
        <w:rPr>
          <w:color w:val="000000"/>
          <w:sz w:val="21"/>
        </w:rPr>
        <w:t>文件要求以外的内容，否则，在</w:t>
      </w:r>
      <w:r>
        <w:rPr>
          <w:color w:val="000000"/>
          <w:sz w:val="21"/>
        </w:rPr>
        <w:t>评审</w:t>
      </w:r>
      <w:r>
        <w:rPr>
          <w:color w:val="000000"/>
          <w:sz w:val="21"/>
        </w:rPr>
        <w:t>时不予核减；若</w:t>
      </w:r>
      <w:r>
        <w:rPr>
          <w:sz w:val="21"/>
        </w:rPr>
        <w:t>磋商</w:t>
      </w:r>
      <w:r>
        <w:rPr>
          <w:color w:val="000000"/>
          <w:sz w:val="21"/>
        </w:rPr>
        <w:t>报价有缺漏项的，缺漏项部分的价格视为已包含在</w:t>
      </w:r>
      <w:r>
        <w:rPr>
          <w:sz w:val="21"/>
        </w:rPr>
        <w:t>磋商</w:t>
      </w:r>
      <w:r>
        <w:rPr>
          <w:color w:val="000000"/>
          <w:sz w:val="21"/>
        </w:rPr>
        <w:t>报价中，</w:t>
      </w:r>
      <w:r>
        <w:rPr>
          <w:color w:val="000000"/>
          <w:sz w:val="21"/>
        </w:rPr>
        <w:t>成交</w:t>
      </w:r>
      <w:r>
        <w:rPr>
          <w:color w:val="000000"/>
          <w:sz w:val="21"/>
        </w:rPr>
        <w:t>后不作任何调整，采购人将不再支付任何费用。</w:t>
      </w:r>
    </w:p>
    <w:p>
      <w:pPr>
        <w:jc w:val="both"/>
      </w:pPr>
      <w:r>
        <w:rPr>
          <w:color w:val="000000"/>
          <w:sz w:val="21"/>
        </w:rPr>
        <w:t>10</w:t>
      </w:r>
      <w:r>
        <w:rPr>
          <w:color w:val="000000"/>
          <w:sz w:val="21"/>
        </w:rPr>
        <w:t>.</w:t>
      </w:r>
      <w:r>
        <w:rPr>
          <w:color w:val="000000"/>
          <w:sz w:val="21"/>
        </w:rPr>
        <w:t>供应商必须对</w:t>
      </w:r>
      <w:r>
        <w:rPr>
          <w:color w:val="000000"/>
          <w:sz w:val="21"/>
        </w:rPr>
        <w:t>响应</w:t>
      </w:r>
      <w:r>
        <w:rPr>
          <w:color w:val="000000"/>
          <w:sz w:val="21"/>
        </w:rPr>
        <w:t>文件所提供的所有技术参数的真实性负责。采购人在验收货物时，有权要求</w:t>
      </w:r>
      <w:r>
        <w:rPr>
          <w:color w:val="000000"/>
          <w:sz w:val="21"/>
        </w:rPr>
        <w:t>成交人</w:t>
      </w:r>
      <w:r>
        <w:rPr>
          <w:color w:val="000000"/>
          <w:sz w:val="21"/>
        </w:rPr>
        <w:t>提供所投货物相应的官方有效的技术支持文件，一旦发现</w:t>
      </w:r>
      <w:r>
        <w:rPr>
          <w:color w:val="000000"/>
          <w:sz w:val="21"/>
        </w:rPr>
        <w:t>成交人</w:t>
      </w:r>
      <w:r>
        <w:rPr>
          <w:color w:val="000000"/>
          <w:sz w:val="21"/>
        </w:rPr>
        <w:t>有提供虚假材料谋取中标、成交的情况，采购人将上报财政监管部门按照法律法规进行处罚和追责。</w:t>
      </w:r>
    </w:p>
    <w:p/>
    <w:p>
      <w:pPr>
        <w:ind w:firstLine="480"/>
      </w:pPr>
    </w:p>
    <w:p/>
    <w:p>
      <w:r>
        <w:rPr/>
        <w:t>采购包1（粤港澳大湾区（中山）大气成分野外科学试验基地日常维护运行项目）：</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合同签订后一年，具体以合同签订约定时间为准。</w:t>
            </w:r>
          </w:p>
        </w:tc>
      </w:tr>
      <w:tr>
        <w:tc>
          <w:tcPr>
            <w:tcW w:type="dxa" w:w="4153"/>
          </w:tcPr>
          <w:p>
            <w:r>
              <w:rPr/>
              <w:t>标的提供的地点</w:t>
            </w:r>
          </w:p>
        </w:tc>
        <w:tc>
          <w:tcPr>
            <w:tcW w:type="dxa" w:w="4153"/>
          </w:tcPr>
          <w:p>
            <w:pPr>
              <w:jc w:val="left"/>
            </w:pPr>
          </w:p>
          <w:p>
            <w:r>
              <w:rPr/>
              <w:t>中山市境内</w:t>
            </w:r>
          </w:p>
        </w:tc>
      </w:tr>
      <w:tr>
        <w:tc>
          <w:tcPr>
            <w:tcW w:type="dxa" w:w="4153"/>
          </w:tcPr>
          <w:p>
            <w:r>
              <w:rPr/>
              <w:t>响应有效期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50%，合同签订后一个月内，由成交供应商申请支付至合同总金额的50%；成交供应商应在采购人付款前向采购人开具与支付金额等额的有效的发票。如成交供应商逾期未开具等额有效的发票，采购人有权顺延付款时间。</w:t>
            </w:r>
          </w:p>
          <w:p/>
          <w:p>
            <w:r>
              <w:rPr/>
              <w:t>2期：支付比例40%，10月30日前由成交供应商申请支付至合同总金额的90%；成交供应商应在采购人付款前向采购人开具与支付金额等额的有效的发票。如成交供应商逾期未开具等额有效的发票，采购人有权顺延付款时间。</w:t>
            </w:r>
          </w:p>
          <w:p/>
          <w:p>
            <w:r>
              <w:rPr/>
              <w:t>3期：支付比例10%，12月15日前由成交供应商申请支付至合同总金额的100%；成交供应商应在采购人付款前向采购人开具与支付金额等额的有效的发票。如成交供应商逾期未开具等额有效的发票，采购人有权顺延付款时间。</w:t>
            </w:r>
          </w:p>
        </w:tc>
      </w:tr>
      <w:tr>
        <w:tc>
          <w:tcPr>
            <w:tcW w:type="dxa" w:w="4153"/>
          </w:tcPr>
          <w:p>
            <w:r>
              <w:rPr/>
              <w:t>验收要求</w:t>
            </w:r>
          </w:p>
        </w:tc>
        <w:tc>
          <w:tcPr>
            <w:tcW w:type="dxa" w:w="4153"/>
          </w:tcPr>
          <w:p>
            <w:pPr>
              <w:jc w:val="left"/>
            </w:pPr>
          </w:p>
          <w:p/>
          <w:p/>
          <w:p>
            <w:r>
              <w:rPr/>
              <w:t>1期：成交供应商完成项目建设后，向采购人提交验收申请。采购人组织召开验收会，依据磋商文件及合同内容要求进行验收。</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1.服务期及各时间节点要求:1.1服务期：1.1.1需求书中提及的观测仪器（包括租赁仪器和运维仪器）须在合同签订后起一个月内安装调试完毕并能正常开展观测。1.1.2.所有仪器的运维时段为仪器开始正常观测的一年内。1.2. 季度分析报告须在每个季度结束后一个月内完成。1.3. 2022年年度分析报告须在2023年2月份前完成。</w:t>
            </w:r>
          </w:p>
          <w:p/>
          <w:p>
            <w:r>
              <w:rPr/>
              <w:t>★2.专利权:除采购人、成交供应商双方共同开发的项目专利权另行约定外，成交供应商应保证采购人在使用授权服务期间内的系统时不受第三方提出侵犯专利权、商标权或工业设计权的指控。如果任何第三方提出侵权指控，成交供应商须与第三方交涉并承担因此可能发生的一切法律责任和费用。</w:t>
            </w:r>
          </w:p>
          <w:p/>
          <w:p>
            <w:r>
              <w:rPr/>
              <w:t>★3.包装、保险及发运、保管要求:3.1.设备材料的包装必须是制造商原厂包装，其包装均应有良好的防湿、防锈、防潮、防雨、防腐及防碰撞的措施。凡由于包装不良造成的损失和由此产生的费用均由成交供应商承担。3.2.成交供应商负责将设备材料货到现场过程中的全部运输，包括装卸车、货物现场的搬运， 安装地点中山市境内。3.3.各种设备必须提供装箱清单，按装箱清单验收货物。3.4.货物在现场的保管由成交供应商负责，直至项目安装、验收完毕。3.5.货物在系统安装调试验收合格前的保险由成交供应商负责，成交供应商负责其派出的现场服务人员人身意外保险。3.6.设备至采购人指定的使用现场的包装、保险及发运等环节和费用均由成交供应商负责。</w:t>
            </w:r>
          </w:p>
          <w:p/>
          <w:p>
            <w:r>
              <w:rPr/>
              <w:t>★4.安装、调试要求:4.1成交供应商负责设备安装及调试。4.2成交供应商应在本合同签订后编制一份为保证本项目工作按期完工的施工进度计划，经采购人确认后严格执行。4.3.安装队伍应具备与本项目相关行业的资质和技术水平。4.4.安装的全过程，成交供应商的项目负责人要常驻现场，并接受采购人统一的管理和协调。4.5.成交供应商在设备调试完毕后进行免费的现场培训，对最终用户技术人员给予指导和演示，使其能掌握实际常规操作、零件拆装、排除一般故障的能力。4.6.本项目标的货物（或服务）到达现场后，由采购人使用部门和负责采购的部门根据磋商文件及本合同共同确认数量、型号、货物具体参数（或服务质量）。安装调试及培训由采购人使用部门及成交供应商共同完成。</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其他租赁服务</w:t>
            </w:r>
          </w:p>
        </w:tc>
        <w:tc>
          <w:tcPr>
            <w:tcW w:type="dxa" w:w="1923"/>
          </w:tcPr>
          <w:p>
            <w:r>
              <w:rPr/>
              <w:t>租用氮氧化物分析仪、臭氧分析仪、PAN在线分析仪</w:t>
            </w:r>
          </w:p>
        </w:tc>
        <w:tc>
          <w:tcPr>
            <w:tcW w:type="dxa" w:w="385"/>
          </w:tcPr>
          <w:p>
            <w:r>
              <w:rPr/>
              <w:t>批</w:t>
            </w:r>
          </w:p>
        </w:tc>
        <w:tc>
          <w:tcPr>
            <w:tcW w:type="dxa" w:w="769"/>
          </w:tcPr>
          <w:p>
            <w:pPr>
              <w:jc w:val="right"/>
            </w:pPr>
            <w:r>
              <w:rPr/>
              <w:t>1.0000</w:t>
            </w:r>
          </w:p>
        </w:tc>
        <w:tc>
          <w:tcPr>
            <w:tcW w:type="dxa" w:w="769"/>
          </w:tcPr>
          <w:p>
            <w:pPr>
              <w:jc w:val="right"/>
            </w:pPr>
            <w:r>
              <w:rPr/>
              <w:t>322,000.00</w:t>
            </w:r>
          </w:p>
        </w:tc>
        <w:tc>
          <w:tcPr>
            <w:tcW w:type="dxa" w:w="769"/>
          </w:tcPr>
          <w:p>
            <w:pPr>
              <w:jc w:val="right"/>
            </w:pPr>
            <w:r>
              <w:rPr/>
              <w:t>322,000.00</w:t>
            </w:r>
          </w:p>
        </w:tc>
        <w:tc>
          <w:tcPr>
            <w:tcW w:type="dxa" w:w="769"/>
          </w:tcPr>
          <w:p>
            <w:r>
              <w:rPr/>
              <w:t>其他未列明行业</w:t>
            </w:r>
          </w:p>
        </w:tc>
        <w:tc>
          <w:tcPr>
            <w:tcW w:type="dxa" w:w="385"/>
          </w:tcPr>
          <w:p>
            <w:r>
              <w:rPr/>
              <w:t>详见附表一</w:t>
            </w:r>
          </w:p>
        </w:tc>
      </w:tr>
      <w:tr>
        <w:tc>
          <w:tcPr>
            <w:tcW w:type="dxa" w:w="231"/>
          </w:tcPr>
          <w:p>
            <w:r>
              <w:rPr/>
              <w:t>2</w:t>
            </w:r>
          </w:p>
        </w:tc>
        <w:tc>
          <w:tcPr>
            <w:tcW w:type="dxa" w:w="385"/>
          </w:tcPr>
          <w:p/>
        </w:tc>
        <w:tc>
          <w:tcPr>
            <w:tcW w:type="dxa" w:w="1923"/>
          </w:tcPr>
          <w:p>
            <w:r>
              <w:rPr/>
              <w:t>其他维修和保养服务</w:t>
            </w:r>
          </w:p>
        </w:tc>
        <w:tc>
          <w:tcPr>
            <w:tcW w:type="dxa" w:w="1923"/>
          </w:tcPr>
          <w:p>
            <w:r>
              <w:rPr/>
              <w:t>仪器运维</w:t>
            </w:r>
          </w:p>
        </w:tc>
        <w:tc>
          <w:tcPr>
            <w:tcW w:type="dxa" w:w="385"/>
          </w:tcPr>
          <w:p>
            <w:r>
              <w:rPr/>
              <w:t>项</w:t>
            </w:r>
          </w:p>
        </w:tc>
        <w:tc>
          <w:tcPr>
            <w:tcW w:type="dxa" w:w="769"/>
          </w:tcPr>
          <w:p>
            <w:pPr>
              <w:jc w:val="right"/>
            </w:pPr>
            <w:r>
              <w:rPr/>
              <w:t>1.0000</w:t>
            </w:r>
          </w:p>
        </w:tc>
        <w:tc>
          <w:tcPr>
            <w:tcW w:type="dxa" w:w="769"/>
          </w:tcPr>
          <w:p>
            <w:pPr>
              <w:jc w:val="right"/>
            </w:pPr>
            <w:r>
              <w:rPr/>
              <w:t>678,000.00</w:t>
            </w:r>
          </w:p>
        </w:tc>
        <w:tc>
          <w:tcPr>
            <w:tcW w:type="dxa" w:w="769"/>
          </w:tcPr>
          <w:p>
            <w:pPr>
              <w:jc w:val="right"/>
            </w:pPr>
            <w:r>
              <w:rPr/>
              <w:t>678,000.00</w:t>
            </w:r>
          </w:p>
        </w:tc>
        <w:tc>
          <w:tcPr>
            <w:tcW w:type="dxa" w:w="769"/>
          </w:tcPr>
          <w:p>
            <w:r>
              <w:rPr/>
              <w:t>其他未列明行业</w:t>
            </w:r>
          </w:p>
        </w:tc>
        <w:tc>
          <w:tcPr>
            <w:tcW w:type="dxa" w:w="385"/>
          </w:tcPr>
          <w:p>
            <w:r>
              <w:rPr/>
              <w:t>详见附表二</w:t>
            </w:r>
          </w:p>
        </w:tc>
      </w:tr>
      <w:tr>
        <w:tc>
          <w:tcPr>
            <w:tcW w:type="dxa" w:w="231"/>
          </w:tcPr>
          <w:p>
            <w:r>
              <w:rPr/>
              <w:t>3</w:t>
            </w:r>
          </w:p>
        </w:tc>
        <w:tc>
          <w:tcPr>
            <w:tcW w:type="dxa" w:w="385"/>
          </w:tcPr>
          <w:p/>
        </w:tc>
        <w:tc>
          <w:tcPr>
            <w:tcW w:type="dxa" w:w="1923"/>
          </w:tcPr>
          <w:p>
            <w:r>
              <w:rPr/>
              <w:t>其他数据处理服务</w:t>
            </w:r>
          </w:p>
        </w:tc>
        <w:tc>
          <w:tcPr>
            <w:tcW w:type="dxa" w:w="1923"/>
          </w:tcPr>
          <w:p>
            <w:r>
              <w:rPr/>
              <w:t>数据分析</w:t>
            </w:r>
          </w:p>
        </w:tc>
        <w:tc>
          <w:tcPr>
            <w:tcW w:type="dxa" w:w="385"/>
          </w:tcPr>
          <w:p>
            <w:r>
              <w:rPr/>
              <w:t>项</w:t>
            </w:r>
          </w:p>
        </w:tc>
        <w:tc>
          <w:tcPr>
            <w:tcW w:type="dxa" w:w="769"/>
          </w:tcPr>
          <w:p>
            <w:pPr>
              <w:jc w:val="right"/>
            </w:pPr>
            <w:r>
              <w:rPr/>
              <w:t>1.0000</w:t>
            </w:r>
          </w:p>
        </w:tc>
        <w:tc>
          <w:tcPr>
            <w:tcW w:type="dxa" w:w="769"/>
          </w:tcPr>
          <w:p>
            <w:pPr>
              <w:jc w:val="right"/>
            </w:pPr>
            <w:r>
              <w:rPr/>
              <w:t>60,000.00</w:t>
            </w:r>
          </w:p>
        </w:tc>
        <w:tc>
          <w:tcPr>
            <w:tcW w:type="dxa" w:w="769"/>
          </w:tcPr>
          <w:p>
            <w:pPr>
              <w:jc w:val="right"/>
            </w:pPr>
            <w:r>
              <w:rPr/>
              <w:t>60,000.00</w:t>
            </w:r>
          </w:p>
        </w:tc>
        <w:tc>
          <w:tcPr>
            <w:tcW w:type="dxa" w:w="769"/>
          </w:tcPr>
          <w:p>
            <w:r>
              <w:rPr/>
              <w:t>其他未列明行业</w:t>
            </w:r>
          </w:p>
        </w:tc>
        <w:tc>
          <w:tcPr>
            <w:tcW w:type="dxa" w:w="385"/>
          </w:tcPr>
          <w:p>
            <w:r>
              <w:rPr/>
              <w:t>详见附表三</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租用氮氧化物分析仪、臭氧分析仪、PAN在线分析仪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p>
          <w:p>
            <w:pPr>
              <w:jc w:val="left"/>
            </w:pPr>
            <w:r>
              <w:rPr>
                <w:b/>
                <w:sz w:val="21"/>
              </w:rPr>
              <w:t>1.</w:t>
            </w:r>
            <w:r>
              <w:rPr>
                <w:b/>
                <w:sz w:val="21"/>
              </w:rPr>
              <w:t>仪器租赁部分</w:t>
            </w:r>
          </w:p>
          <w:tbl>
            <w:tblPr>
              <w:tblBorders>
                <w:top w:val="none" w:color="000000" w:sz="4"/>
                <w:left w:val="none" w:color="000000" w:sz="4"/>
                <w:bottom w:val="none" w:color="000000" w:sz="4"/>
                <w:right w:val="none" w:color="000000" w:sz="4"/>
                <w:insideH w:val="none"/>
                <w:insideV w:val="none"/>
              </w:tblBorders>
            </w:tblPr>
            <w:tblGrid>
              <w:gridCol w:w="439"/>
              <w:gridCol w:w="2588"/>
              <w:gridCol w:w="1346"/>
              <w:gridCol w:w="1194"/>
            </w:tblGrid>
            <w:tr>
              <w:tc>
                <w:tcPr>
                  <w:tcW w:type="dxa" w:w="439"/>
                  <w:tcBorders>
                    <w:top w:val="single" w:color="000000" w:sz="4"/>
                    <w:left w:val="single" w:color="000000" w:sz="4"/>
                    <w:bottom w:val="single" w:color="000000" w:sz="4"/>
                    <w:right w:val="single" w:color="000000" w:sz="4"/>
                  </w:tcBorders>
                  <w:shd w:fill="FFFFFF"/>
                  <w:vAlign w:val="top"/>
                </w:tcPr>
                <w:p>
                  <w:pPr>
                    <w:jc w:val="center"/>
                  </w:pPr>
                  <w:r>
                    <w:rPr>
                      <w:sz w:val="21"/>
                    </w:rPr>
                    <w:t>序号</w:t>
                  </w:r>
                </w:p>
              </w:tc>
              <w:tc>
                <w:tcPr>
                  <w:tcW w:type="dxa" w:w="2588"/>
                  <w:tcBorders>
                    <w:top w:val="single" w:color="000000" w:sz="4"/>
                    <w:left w:val="single" w:color="000000" w:sz="4"/>
                    <w:bottom w:val="single" w:color="000000" w:sz="4"/>
                    <w:right w:val="single" w:color="000000" w:sz="4"/>
                  </w:tcBorders>
                  <w:shd w:fill="FFFFFF"/>
                  <w:vAlign w:val="top"/>
                </w:tcPr>
                <w:p>
                  <w:pPr>
                    <w:jc w:val="center"/>
                  </w:pPr>
                  <w:r>
                    <w:rPr>
                      <w:sz w:val="21"/>
                    </w:rPr>
                    <w:t>监测设备</w:t>
                  </w:r>
                </w:p>
              </w:tc>
              <w:tc>
                <w:tcPr>
                  <w:tcW w:type="dxa" w:w="1346"/>
                  <w:tcBorders>
                    <w:top w:val="single" w:color="000000" w:sz="4"/>
                    <w:left w:val="single" w:color="000000" w:sz="4"/>
                    <w:bottom w:val="single" w:color="000000" w:sz="4"/>
                    <w:right w:val="single" w:color="000000" w:sz="4"/>
                  </w:tcBorders>
                  <w:shd w:fill="FFFFFF"/>
                  <w:vAlign w:val="top"/>
                </w:tcPr>
                <w:p>
                  <w:pPr>
                    <w:jc w:val="center"/>
                  </w:pPr>
                  <w:r>
                    <w:rPr>
                      <w:sz w:val="21"/>
                    </w:rPr>
                    <w:t>监测项目</w:t>
                  </w:r>
                </w:p>
              </w:tc>
              <w:tc>
                <w:tcPr>
                  <w:tcW w:type="dxa" w:w="1194"/>
                  <w:tcBorders>
                    <w:top w:val="single" w:color="000000" w:sz="4"/>
                    <w:left w:val="single" w:color="000000" w:sz="4"/>
                    <w:bottom w:val="single" w:color="000000" w:sz="4"/>
                    <w:right w:val="single" w:color="000000" w:sz="4"/>
                  </w:tcBorders>
                  <w:shd w:fill="FFFFFF"/>
                  <w:vAlign w:val="top"/>
                </w:tcPr>
                <w:p>
                  <w:pPr>
                    <w:jc w:val="center"/>
                  </w:pPr>
                  <w:r>
                    <w:rPr>
                      <w:sz w:val="21"/>
                    </w:rPr>
                    <w:t>测量原理</w:t>
                  </w:r>
                </w:p>
              </w:tc>
            </w:tr>
            <w:tr>
              <w:tc>
                <w:tcPr>
                  <w:tcW w:type="dxa" w:w="43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588"/>
                  <w:tcBorders>
                    <w:top w:val="none" w:color="000000" w:sz="4"/>
                    <w:left w:val="single" w:color="000000" w:sz="4"/>
                    <w:bottom w:val="single" w:color="000000" w:sz="4"/>
                    <w:right w:val="single" w:color="000000" w:sz="4"/>
                  </w:tcBorders>
                  <w:vAlign w:val="top"/>
                </w:tcPr>
                <w:p>
                  <w:pPr>
                    <w:jc w:val="center"/>
                  </w:pPr>
                  <w:r>
                    <w:rPr>
                      <w:sz w:val="21"/>
                    </w:rPr>
                    <w:t>氮氧化物分析仪</w:t>
                  </w:r>
                </w:p>
              </w:tc>
              <w:tc>
                <w:tcPr>
                  <w:tcW w:type="dxa" w:w="1346"/>
                  <w:tcBorders>
                    <w:top w:val="none" w:color="000000" w:sz="4"/>
                    <w:left w:val="single" w:color="000000" w:sz="4"/>
                    <w:bottom w:val="single" w:color="000000" w:sz="4"/>
                    <w:right w:val="single" w:color="000000" w:sz="4"/>
                  </w:tcBorders>
                  <w:vAlign w:val="top"/>
                </w:tcPr>
                <w:p>
                  <w:pPr>
                    <w:jc w:val="center"/>
                  </w:pPr>
                  <w:r>
                    <w:rPr>
                      <w:sz w:val="21"/>
                    </w:rPr>
                    <w:t>近地面</w:t>
                  </w:r>
                  <w:r>
                    <w:rPr>
                      <w:sz w:val="21"/>
                    </w:rPr>
                    <w:t>NOx</w:t>
                  </w:r>
                </w:p>
              </w:tc>
              <w:tc>
                <w:tcPr>
                  <w:tcW w:type="dxa" w:w="1194"/>
                  <w:tcBorders>
                    <w:top w:val="none" w:color="000000" w:sz="4"/>
                    <w:left w:val="single" w:color="000000" w:sz="4"/>
                    <w:bottom w:val="single" w:color="000000" w:sz="4"/>
                    <w:right w:val="single" w:color="000000" w:sz="4"/>
                  </w:tcBorders>
                  <w:vAlign w:val="top"/>
                </w:tcPr>
                <w:p>
                  <w:pPr>
                    <w:jc w:val="center"/>
                  </w:pPr>
                  <w:r>
                    <w:rPr>
                      <w:sz w:val="21"/>
                    </w:rPr>
                    <w:t>化学发光法</w:t>
                  </w:r>
                </w:p>
              </w:tc>
            </w:tr>
            <w:tr>
              <w:tc>
                <w:tcPr>
                  <w:tcW w:type="dxa" w:w="439"/>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588"/>
                  <w:tcBorders>
                    <w:top w:val="none" w:color="000000" w:sz="4"/>
                    <w:left w:val="single" w:color="000000" w:sz="4"/>
                    <w:bottom w:val="single" w:color="000000" w:sz="4"/>
                    <w:right w:val="single" w:color="000000" w:sz="4"/>
                  </w:tcBorders>
                  <w:vAlign w:val="top"/>
                </w:tcPr>
                <w:p>
                  <w:pPr>
                    <w:jc w:val="center"/>
                  </w:pPr>
                  <w:r>
                    <w:rPr>
                      <w:sz w:val="21"/>
                    </w:rPr>
                    <w:t>臭氧分析仪</w:t>
                  </w:r>
                </w:p>
              </w:tc>
              <w:tc>
                <w:tcPr>
                  <w:tcW w:type="dxa" w:w="1346"/>
                  <w:tcBorders>
                    <w:top w:val="none" w:color="000000" w:sz="4"/>
                    <w:left w:val="single" w:color="000000" w:sz="4"/>
                    <w:bottom w:val="single" w:color="000000" w:sz="4"/>
                    <w:right w:val="single" w:color="000000" w:sz="4"/>
                  </w:tcBorders>
                  <w:vAlign w:val="top"/>
                </w:tcPr>
                <w:p>
                  <w:pPr>
                    <w:jc w:val="center"/>
                  </w:pPr>
                  <w:r>
                    <w:rPr>
                      <w:sz w:val="21"/>
                    </w:rPr>
                    <w:t>近地面</w:t>
                  </w:r>
                  <w:r>
                    <w:rPr>
                      <w:sz w:val="21"/>
                    </w:rPr>
                    <w:t>O</w:t>
                  </w:r>
                  <w:r>
                    <w:rPr>
                      <w:sz w:val="21"/>
                      <w:vertAlign w:val="subscript"/>
                    </w:rPr>
                    <w:t>3</w:t>
                  </w:r>
                </w:p>
              </w:tc>
              <w:tc>
                <w:tcPr>
                  <w:tcW w:type="dxa" w:w="1194"/>
                  <w:tcBorders>
                    <w:top w:val="none" w:color="000000" w:sz="4"/>
                    <w:left w:val="single" w:color="000000" w:sz="4"/>
                    <w:bottom w:val="single" w:color="000000" w:sz="4"/>
                    <w:right w:val="single" w:color="000000" w:sz="4"/>
                  </w:tcBorders>
                  <w:vAlign w:val="top"/>
                </w:tcPr>
                <w:p>
                  <w:pPr>
                    <w:jc w:val="center"/>
                  </w:pPr>
                  <w:r>
                    <w:rPr>
                      <w:sz w:val="21"/>
                    </w:rPr>
                    <w:t>紫外吸收</w:t>
                  </w:r>
                </w:p>
              </w:tc>
            </w:tr>
            <w:tr>
              <w:tc>
                <w:tcPr>
                  <w:tcW w:type="dxa" w:w="439"/>
                  <w:tcBorders>
                    <w:top w:val="none" w:color="000000" w:sz="4"/>
                    <w:left w:val="single" w:color="000000" w:sz="4"/>
                    <w:bottom w:val="single" w:color="000000" w:sz="4"/>
                    <w:right w:val="single" w:color="000000" w:sz="4"/>
                  </w:tcBorders>
                  <w:vAlign w:val="top"/>
                </w:tcPr>
                <w:p>
                  <w:pPr>
                    <w:jc w:val="center"/>
                  </w:pPr>
                  <w:r>
                    <w:rPr>
                      <w:sz w:val="21"/>
                    </w:rPr>
                    <w:t>3</w:t>
                  </w:r>
                </w:p>
              </w:tc>
              <w:tc>
                <w:tcPr>
                  <w:tcW w:type="dxa" w:w="2588"/>
                  <w:tcBorders>
                    <w:top w:val="none" w:color="000000" w:sz="4"/>
                    <w:left w:val="single" w:color="000000" w:sz="4"/>
                    <w:bottom w:val="single" w:color="000000" w:sz="4"/>
                    <w:right w:val="single" w:color="000000" w:sz="4"/>
                  </w:tcBorders>
                  <w:vAlign w:val="top"/>
                </w:tcPr>
                <w:p>
                  <w:pPr>
                    <w:jc w:val="center"/>
                  </w:pPr>
                  <w:r>
                    <w:rPr>
                      <w:sz w:val="21"/>
                    </w:rPr>
                    <w:t>过氧乙酰硝酸酯（</w:t>
                  </w:r>
                  <w:r>
                    <w:rPr>
                      <w:sz w:val="21"/>
                    </w:rPr>
                    <w:t>PAN）分析仪</w:t>
                  </w:r>
                </w:p>
              </w:tc>
              <w:tc>
                <w:tcPr>
                  <w:tcW w:type="dxa" w:w="1346"/>
                  <w:tcBorders>
                    <w:top w:val="none" w:color="000000" w:sz="4"/>
                    <w:left w:val="single" w:color="000000" w:sz="4"/>
                    <w:bottom w:val="single" w:color="000000" w:sz="4"/>
                    <w:right w:val="single" w:color="000000" w:sz="4"/>
                  </w:tcBorders>
                  <w:vAlign w:val="top"/>
                </w:tcPr>
                <w:p>
                  <w:pPr>
                    <w:jc w:val="center"/>
                  </w:pPr>
                  <w:r>
                    <w:rPr>
                      <w:sz w:val="21"/>
                    </w:rPr>
                    <w:t>PAN</w:t>
                  </w:r>
                </w:p>
              </w:tc>
              <w:tc>
                <w:tcPr>
                  <w:tcW w:type="dxa" w:w="1194"/>
                  <w:tcBorders>
                    <w:top w:val="none" w:color="000000" w:sz="4"/>
                    <w:left w:val="single" w:color="000000" w:sz="4"/>
                    <w:bottom w:val="single" w:color="000000" w:sz="4"/>
                    <w:right w:val="single" w:color="000000" w:sz="4"/>
                  </w:tcBorders>
                  <w:vAlign w:val="top"/>
                </w:tcPr>
                <w:p>
                  <w:pPr>
                    <w:jc w:val="center"/>
                  </w:pPr>
                  <w:r>
                    <w:rPr>
                      <w:sz w:val="21"/>
                    </w:rPr>
                    <w:t>气相色谱</w:t>
                  </w:r>
                  <w:r>
                    <w:rPr>
                      <w:sz w:val="21"/>
                    </w:rPr>
                    <w:t>-ECD</w:t>
                  </w:r>
                </w:p>
              </w:tc>
            </w:tr>
          </w:tbl>
          <w:p>
            <w:pPr>
              <w:jc w:val="both"/>
            </w:pPr>
          </w:p>
          <w:p>
            <w:pPr>
              <w:jc w:val="both"/>
            </w:pPr>
            <w:r>
              <w:rPr>
                <w:b/>
                <w:sz w:val="21"/>
              </w:rPr>
              <w:t>2.</w:t>
            </w:r>
            <w:r>
              <w:rPr>
                <w:b/>
                <w:sz w:val="21"/>
              </w:rPr>
              <w:t>技术指标要求：</w:t>
            </w:r>
          </w:p>
          <w:p>
            <w:pPr>
              <w:jc w:val="both"/>
            </w:pPr>
            <w:r>
              <w:rPr>
                <w:b/>
                <w:sz w:val="21"/>
              </w:rPr>
              <w:t>2.</w:t>
            </w:r>
            <w:r>
              <w:rPr>
                <w:b/>
                <w:sz w:val="21"/>
              </w:rPr>
              <w:t>1.氮氧化物分析仪</w:t>
            </w:r>
          </w:p>
          <w:p>
            <w:pPr>
              <w:jc w:val="both"/>
            </w:pPr>
            <w:r>
              <w:rPr>
                <w:sz w:val="21"/>
              </w:rPr>
              <w:t>2.</w:t>
            </w:r>
            <w:r>
              <w:rPr>
                <w:sz w:val="21"/>
              </w:rPr>
              <w:t>1.1</w:t>
            </w:r>
            <w:r>
              <w:rPr>
                <w:sz w:val="21"/>
              </w:rPr>
              <w:t>.</w:t>
            </w:r>
            <w:r>
              <w:rPr>
                <w:sz w:val="21"/>
              </w:rPr>
              <w:t>基本要求：</w:t>
            </w:r>
            <w:r>
              <w:rPr>
                <w:sz w:val="21"/>
              </w:rPr>
              <w:t>采用化学发光法对大气氮氧化物浓度进行分析，对氮氧化物的分析能力可从</w:t>
            </w:r>
            <w:r>
              <w:rPr>
                <w:sz w:val="21"/>
              </w:rPr>
              <w:t>ppb量级到100ppm。</w:t>
            </w:r>
          </w:p>
          <w:p>
            <w:pPr>
              <w:jc w:val="both"/>
            </w:pPr>
            <w:r>
              <w:rPr>
                <w:sz w:val="21"/>
              </w:rPr>
              <w:t>2.</w:t>
            </w:r>
            <w:r>
              <w:rPr>
                <w:sz w:val="21"/>
              </w:rPr>
              <w:t>1.2</w:t>
            </w:r>
            <w:r>
              <w:rPr>
                <w:sz w:val="21"/>
              </w:rPr>
              <w:t>.</w:t>
            </w:r>
            <w:r>
              <w:rPr>
                <w:sz w:val="21"/>
              </w:rPr>
              <w:t>技术参数：</w:t>
            </w:r>
          </w:p>
          <w:p>
            <w:r>
              <w:rPr>
                <w:sz w:val="21"/>
              </w:rPr>
              <w:t>2.</w:t>
            </w:r>
            <w:r>
              <w:rPr>
                <w:sz w:val="21"/>
              </w:rPr>
              <w:t>1.2.1</w:t>
            </w:r>
            <w:r>
              <w:rPr>
                <w:sz w:val="21"/>
              </w:rPr>
              <w:t>.</w:t>
            </w:r>
            <w:r>
              <w:rPr>
                <w:sz w:val="21"/>
              </w:rPr>
              <w:t>方法：化学发光法；</w:t>
            </w:r>
          </w:p>
          <w:p>
            <w:r>
              <w:rPr>
                <w:sz w:val="21"/>
              </w:rPr>
              <w:t>2.</w:t>
            </w:r>
            <w:r>
              <w:rPr>
                <w:sz w:val="21"/>
              </w:rPr>
              <w:t>1.2.2</w:t>
            </w:r>
            <w:r>
              <w:rPr>
                <w:sz w:val="21"/>
              </w:rPr>
              <w:t>.</w:t>
            </w:r>
            <w:r>
              <w:rPr>
                <w:sz w:val="21"/>
              </w:rPr>
              <w:t>量程：</w:t>
            </w:r>
            <w:r>
              <w:rPr>
                <w:sz w:val="21"/>
              </w:rPr>
              <w:t>0-0.05, 0.1, 0.2, 0.5, 1, 2, 5, 10, 20, 50 ,100 ppm ；</w:t>
            </w:r>
          </w:p>
          <w:p>
            <w:pPr>
              <w:ind w:firstLine="630"/>
            </w:pPr>
            <w:r>
              <w:rPr>
                <w:sz w:val="21"/>
              </w:rPr>
              <w:t>0-0.1, 0.2, 0.5, 1, 2, 5, 10, 20, 50, 100 , 150 mg/m</w:t>
            </w:r>
            <w:r>
              <w:rPr>
                <w:sz w:val="21"/>
                <w:vertAlign w:val="superscript"/>
              </w:rPr>
              <w:t>3 ；</w:t>
            </w:r>
          </w:p>
          <w:p>
            <w:r>
              <w:rPr>
                <w:sz w:val="21"/>
              </w:rPr>
              <w:t>2.</w:t>
            </w:r>
            <w:r>
              <w:rPr>
                <w:sz w:val="21"/>
              </w:rPr>
              <w:t>1.2.3</w:t>
            </w:r>
            <w:r>
              <w:rPr>
                <w:sz w:val="21"/>
              </w:rPr>
              <w:t>.</w:t>
            </w:r>
            <w:r>
              <w:rPr>
                <w:sz w:val="21"/>
              </w:rPr>
              <w:t>零点噪音：</w:t>
            </w:r>
            <w:r>
              <w:rPr>
                <w:sz w:val="21"/>
              </w:rPr>
              <w:t>0.20 ppb（60秒平均）；</w:t>
            </w:r>
          </w:p>
          <w:p>
            <w:r>
              <w:rPr>
                <w:sz w:val="21"/>
              </w:rPr>
              <w:t>2.</w:t>
            </w:r>
            <w:r>
              <w:rPr>
                <w:sz w:val="21"/>
              </w:rPr>
              <w:t>1.2.4</w:t>
            </w:r>
            <w:r>
              <w:rPr>
                <w:sz w:val="21"/>
              </w:rPr>
              <w:t>.</w:t>
            </w:r>
            <w:r>
              <w:rPr>
                <w:sz w:val="21"/>
              </w:rPr>
              <w:t>最低检测限：</w:t>
            </w:r>
            <w:r>
              <w:rPr>
                <w:sz w:val="21"/>
              </w:rPr>
              <w:t>0.40 ppb（60秒平均）；</w:t>
            </w:r>
          </w:p>
          <w:p>
            <w:r>
              <w:rPr>
                <w:sz w:val="21"/>
              </w:rPr>
              <w:t>2.</w:t>
            </w:r>
            <w:r>
              <w:rPr>
                <w:sz w:val="21"/>
              </w:rPr>
              <w:t>1.2.5</w:t>
            </w:r>
            <w:r>
              <w:rPr>
                <w:sz w:val="21"/>
              </w:rPr>
              <w:t>.</w:t>
            </w:r>
            <w:r>
              <w:rPr>
                <w:sz w:val="21"/>
              </w:rPr>
              <w:t>零漂（</w:t>
            </w:r>
            <w:r>
              <w:rPr>
                <w:sz w:val="21"/>
              </w:rPr>
              <w:t>24小时）：&lt; 0.40 ppb；</w:t>
            </w:r>
          </w:p>
          <w:p>
            <w:r>
              <w:rPr>
                <w:sz w:val="21"/>
              </w:rPr>
              <w:t>2.</w:t>
            </w:r>
            <w:r>
              <w:rPr>
                <w:sz w:val="21"/>
              </w:rPr>
              <w:t>1.2.6</w:t>
            </w:r>
            <w:r>
              <w:rPr>
                <w:sz w:val="21"/>
              </w:rPr>
              <w:t>.</w:t>
            </w:r>
            <w:r>
              <w:rPr>
                <w:sz w:val="21"/>
              </w:rPr>
              <w:t>跨漂（</w:t>
            </w:r>
            <w:r>
              <w:rPr>
                <w:sz w:val="21"/>
              </w:rPr>
              <w:t>24小时）：+/-1% F.S；</w:t>
            </w:r>
          </w:p>
          <w:p>
            <w:r>
              <w:rPr>
                <w:sz w:val="21"/>
              </w:rPr>
              <w:t>2.</w:t>
            </w:r>
            <w:r>
              <w:rPr>
                <w:sz w:val="21"/>
              </w:rPr>
              <w:t>1.2.7</w:t>
            </w:r>
            <w:r>
              <w:rPr>
                <w:sz w:val="21"/>
              </w:rPr>
              <w:t>.</w:t>
            </w:r>
            <w:r>
              <w:rPr>
                <w:sz w:val="21"/>
              </w:rPr>
              <w:t>响应时间：</w:t>
            </w:r>
            <w:r>
              <w:rPr>
                <w:sz w:val="21"/>
              </w:rPr>
              <w:t>40秒（10秒平均），80秒（60秒平均），300秒（300秒平均）；</w:t>
            </w:r>
          </w:p>
          <w:p>
            <w:r>
              <w:rPr>
                <w:sz w:val="21"/>
              </w:rPr>
              <w:t>2.</w:t>
            </w:r>
            <w:r>
              <w:rPr>
                <w:sz w:val="21"/>
              </w:rPr>
              <w:t>1.2.8</w:t>
            </w:r>
            <w:r>
              <w:rPr>
                <w:sz w:val="21"/>
              </w:rPr>
              <w:t>.</w:t>
            </w:r>
            <w:r>
              <w:rPr>
                <w:sz w:val="21"/>
              </w:rPr>
              <w:t>精度：</w:t>
            </w:r>
            <w:r>
              <w:rPr>
                <w:sz w:val="21"/>
              </w:rPr>
              <w:t>+/-0.4 ppb (500 ppb量程)；</w:t>
            </w:r>
          </w:p>
          <w:p>
            <w:r>
              <w:rPr>
                <w:sz w:val="21"/>
              </w:rPr>
              <w:t>2.</w:t>
            </w:r>
            <w:r>
              <w:rPr>
                <w:sz w:val="21"/>
              </w:rPr>
              <w:t>1.2.9</w:t>
            </w:r>
            <w:r>
              <w:rPr>
                <w:sz w:val="21"/>
              </w:rPr>
              <w:t>.</w:t>
            </w:r>
            <w:r>
              <w:rPr>
                <w:sz w:val="21"/>
              </w:rPr>
              <w:t>线性：</w:t>
            </w:r>
            <w:r>
              <w:rPr>
                <w:sz w:val="21"/>
              </w:rPr>
              <w:t>+/-1% F.S；</w:t>
            </w:r>
          </w:p>
          <w:p>
            <w:r>
              <w:rPr>
                <w:sz w:val="21"/>
              </w:rPr>
              <w:t>2.</w:t>
            </w:r>
            <w:r>
              <w:rPr>
                <w:sz w:val="21"/>
              </w:rPr>
              <w:t>1.2.10</w:t>
            </w:r>
            <w:r>
              <w:rPr>
                <w:sz w:val="21"/>
              </w:rPr>
              <w:t>.</w:t>
            </w:r>
            <w:r>
              <w:rPr>
                <w:sz w:val="21"/>
              </w:rPr>
              <w:t>采样流量：</w:t>
            </w:r>
            <w:r>
              <w:rPr>
                <w:sz w:val="21"/>
              </w:rPr>
              <w:t>0.6 升/分。</w:t>
            </w:r>
          </w:p>
          <w:p>
            <w:pPr>
              <w:jc w:val="both"/>
            </w:pPr>
            <w:r>
              <w:rPr>
                <w:b/>
                <w:sz w:val="21"/>
              </w:rPr>
              <w:t>2.</w:t>
            </w:r>
            <w:r>
              <w:rPr>
                <w:b/>
                <w:sz w:val="21"/>
              </w:rPr>
              <w:t>2.臭氧分析仪</w:t>
            </w:r>
          </w:p>
          <w:p>
            <w:pPr>
              <w:jc w:val="both"/>
            </w:pPr>
            <w:r>
              <w:rPr>
                <w:sz w:val="21"/>
              </w:rPr>
              <w:t>2.</w:t>
            </w:r>
            <w:r>
              <w:rPr>
                <w:sz w:val="21"/>
              </w:rPr>
              <w:t>2.1</w:t>
            </w:r>
            <w:r>
              <w:rPr>
                <w:sz w:val="21"/>
              </w:rPr>
              <w:t>.</w:t>
            </w:r>
            <w:r>
              <w:rPr>
                <w:sz w:val="21"/>
              </w:rPr>
              <w:t>基本要求：</w:t>
            </w:r>
            <w:r>
              <w:rPr>
                <w:sz w:val="21"/>
              </w:rPr>
              <w:t>采用紫外光度法对大气臭氧浓度进行分析，对臭氧的分析能力可从</w:t>
            </w:r>
            <w:r>
              <w:rPr>
                <w:sz w:val="21"/>
              </w:rPr>
              <w:t>ppb量级到200ppm。</w:t>
            </w:r>
          </w:p>
          <w:p>
            <w:r>
              <w:rPr>
                <w:sz w:val="21"/>
              </w:rPr>
              <w:t>2.</w:t>
            </w:r>
            <w:r>
              <w:rPr>
                <w:sz w:val="21"/>
              </w:rPr>
              <w:t>2.2</w:t>
            </w:r>
            <w:r>
              <w:rPr>
                <w:sz w:val="21"/>
              </w:rPr>
              <w:t>.</w:t>
            </w:r>
            <w:r>
              <w:rPr>
                <w:sz w:val="21"/>
              </w:rPr>
              <w:t>技术参数：</w:t>
            </w:r>
          </w:p>
          <w:p>
            <w:r>
              <w:rPr>
                <w:sz w:val="21"/>
              </w:rPr>
              <w:t>2.</w:t>
            </w:r>
            <w:r>
              <w:rPr>
                <w:sz w:val="21"/>
              </w:rPr>
              <w:t>2.2.1</w:t>
            </w:r>
            <w:r>
              <w:rPr>
                <w:sz w:val="21"/>
              </w:rPr>
              <w:t>.</w:t>
            </w:r>
            <w:r>
              <w:rPr>
                <w:sz w:val="21"/>
              </w:rPr>
              <w:t>量程：</w:t>
            </w:r>
            <w:r>
              <w:rPr>
                <w:sz w:val="21"/>
              </w:rPr>
              <w:t>0-0.05, 0.1, 0.2, 0.5, 1, 2, 5, 10, 20, 50,100,200 ppm ；</w:t>
            </w:r>
          </w:p>
          <w:p>
            <w:pPr>
              <w:ind w:firstLine="630"/>
            </w:pPr>
            <w:r>
              <w:rPr>
                <w:sz w:val="21"/>
              </w:rPr>
              <w:t>0-0.1, 0.2, 1, 2, 5, 10, 20, 50, 100, 200 和 400 mg/m</w:t>
            </w:r>
            <w:r>
              <w:rPr>
                <w:sz w:val="21"/>
                <w:vertAlign w:val="superscript"/>
              </w:rPr>
              <w:t>3</w:t>
            </w:r>
            <w:r>
              <w:rPr>
                <w:sz w:val="21"/>
              </w:rPr>
              <w:t>；</w:t>
            </w:r>
          </w:p>
          <w:p>
            <w:r>
              <w:rPr>
                <w:sz w:val="21"/>
              </w:rPr>
              <w:t>2.</w:t>
            </w:r>
            <w:r>
              <w:rPr>
                <w:sz w:val="21"/>
              </w:rPr>
              <w:t>2.2.2</w:t>
            </w:r>
            <w:r>
              <w:rPr>
                <w:sz w:val="21"/>
              </w:rPr>
              <w:t>.</w:t>
            </w:r>
            <w:r>
              <w:rPr>
                <w:sz w:val="21"/>
              </w:rPr>
              <w:t>零点噪音：</w:t>
            </w:r>
            <w:r>
              <w:rPr>
                <w:sz w:val="21"/>
              </w:rPr>
              <w:t>0.25 ppb（60秒平均）；</w:t>
            </w:r>
          </w:p>
          <w:p>
            <w:r>
              <w:rPr>
                <w:sz w:val="21"/>
              </w:rPr>
              <w:t>2.</w:t>
            </w:r>
            <w:r>
              <w:rPr>
                <w:sz w:val="21"/>
              </w:rPr>
              <w:t>2.2.3</w:t>
            </w:r>
            <w:r>
              <w:rPr>
                <w:sz w:val="21"/>
              </w:rPr>
              <w:t>.</w:t>
            </w:r>
            <w:r>
              <w:rPr>
                <w:sz w:val="21"/>
              </w:rPr>
              <w:t>最低检测限：</w:t>
            </w:r>
            <w:r>
              <w:rPr>
                <w:sz w:val="21"/>
              </w:rPr>
              <w:t>0.50 ppb；</w:t>
            </w:r>
          </w:p>
          <w:p>
            <w:r>
              <w:rPr>
                <w:sz w:val="21"/>
              </w:rPr>
              <w:t>2.</w:t>
            </w:r>
            <w:r>
              <w:rPr>
                <w:sz w:val="21"/>
              </w:rPr>
              <w:t>2.2.4</w:t>
            </w:r>
            <w:r>
              <w:rPr>
                <w:sz w:val="21"/>
              </w:rPr>
              <w:t>.</w:t>
            </w:r>
            <w:r>
              <w:rPr>
                <w:sz w:val="21"/>
              </w:rPr>
              <w:t>零漂（</w:t>
            </w:r>
            <w:r>
              <w:rPr>
                <w:sz w:val="21"/>
              </w:rPr>
              <w:t>24小时）：&lt; 1.0 ppb；</w:t>
            </w:r>
          </w:p>
          <w:p>
            <w:r>
              <w:rPr>
                <w:sz w:val="21"/>
              </w:rPr>
              <w:t>2.</w:t>
            </w:r>
            <w:r>
              <w:rPr>
                <w:sz w:val="21"/>
              </w:rPr>
              <w:t>2.2.5</w:t>
            </w:r>
            <w:r>
              <w:rPr>
                <w:sz w:val="21"/>
              </w:rPr>
              <w:t>.</w:t>
            </w:r>
            <w:r>
              <w:rPr>
                <w:sz w:val="21"/>
              </w:rPr>
              <w:t>跨漂（</w:t>
            </w:r>
            <w:r>
              <w:rPr>
                <w:sz w:val="21"/>
              </w:rPr>
              <w:t>30天）：&lt;1% F.S；</w:t>
            </w:r>
          </w:p>
          <w:p>
            <w:r>
              <w:rPr>
                <w:sz w:val="21"/>
              </w:rPr>
              <w:t>2.</w:t>
            </w:r>
            <w:r>
              <w:rPr>
                <w:sz w:val="21"/>
              </w:rPr>
              <w:t>2.2.6</w:t>
            </w:r>
            <w:r>
              <w:rPr>
                <w:sz w:val="21"/>
              </w:rPr>
              <w:t>.</w:t>
            </w:r>
            <w:r>
              <w:rPr>
                <w:sz w:val="21"/>
              </w:rPr>
              <w:t>响应时间：</w:t>
            </w:r>
            <w:r>
              <w:rPr>
                <w:sz w:val="21"/>
              </w:rPr>
              <w:t>20秒（10秒平均）；</w:t>
            </w:r>
          </w:p>
          <w:p>
            <w:r>
              <w:rPr>
                <w:sz w:val="21"/>
              </w:rPr>
              <w:t>2.</w:t>
            </w:r>
            <w:r>
              <w:rPr>
                <w:sz w:val="21"/>
              </w:rPr>
              <w:t>2.2.7</w:t>
            </w:r>
            <w:r>
              <w:rPr>
                <w:sz w:val="21"/>
              </w:rPr>
              <w:t>.</w:t>
            </w:r>
            <w:r>
              <w:rPr>
                <w:sz w:val="21"/>
              </w:rPr>
              <w:t>精度：</w:t>
            </w:r>
            <w:r>
              <w:rPr>
                <w:sz w:val="21"/>
              </w:rPr>
              <w:t>1.0 ppb；</w:t>
            </w:r>
          </w:p>
          <w:p>
            <w:r>
              <w:rPr>
                <w:sz w:val="21"/>
              </w:rPr>
              <w:t>2.</w:t>
            </w:r>
            <w:r>
              <w:rPr>
                <w:sz w:val="21"/>
              </w:rPr>
              <w:t>2.2.8</w:t>
            </w:r>
            <w:r>
              <w:rPr>
                <w:sz w:val="21"/>
              </w:rPr>
              <w:t>.</w:t>
            </w:r>
            <w:r>
              <w:rPr>
                <w:sz w:val="21"/>
              </w:rPr>
              <w:t>线性：</w:t>
            </w:r>
            <w:r>
              <w:rPr>
                <w:sz w:val="21"/>
              </w:rPr>
              <w:t>+/-1% F.S；</w:t>
            </w:r>
          </w:p>
          <w:p>
            <w:r>
              <w:rPr>
                <w:sz w:val="21"/>
              </w:rPr>
              <w:t>2.</w:t>
            </w:r>
            <w:r>
              <w:rPr>
                <w:sz w:val="21"/>
              </w:rPr>
              <w:t>2.2.9</w:t>
            </w:r>
            <w:r>
              <w:rPr>
                <w:sz w:val="21"/>
              </w:rPr>
              <w:t>.</w:t>
            </w:r>
            <w:r>
              <w:rPr>
                <w:sz w:val="21"/>
              </w:rPr>
              <w:t>采样流量：</w:t>
            </w:r>
            <w:r>
              <w:rPr>
                <w:sz w:val="21"/>
              </w:rPr>
              <w:t>1-3升/。</w:t>
            </w:r>
          </w:p>
          <w:p>
            <w:pPr>
              <w:jc w:val="both"/>
            </w:pPr>
            <w:r>
              <w:rPr>
                <w:b/>
                <w:sz w:val="21"/>
              </w:rPr>
              <w:t>2.</w:t>
            </w:r>
            <w:r>
              <w:rPr>
                <w:b/>
                <w:sz w:val="21"/>
              </w:rPr>
              <w:t>3.过氧乙酰硝酸酯（PAN）分析仪</w:t>
            </w:r>
          </w:p>
          <w:p>
            <w:pPr>
              <w:jc w:val="both"/>
            </w:pPr>
            <w:r>
              <w:rPr>
                <w:color w:val="000000"/>
                <w:sz w:val="21"/>
              </w:rPr>
              <w:t>▲</w:t>
            </w:r>
            <w:r>
              <w:rPr>
                <w:color w:val="000000"/>
                <w:sz w:val="21"/>
              </w:rPr>
              <w:t>2.</w:t>
            </w:r>
            <w:r>
              <w:rPr>
                <w:color w:val="000000"/>
                <w:sz w:val="21"/>
              </w:rPr>
              <w:t>3.1</w:t>
            </w:r>
            <w:r>
              <w:rPr>
                <w:color w:val="000000"/>
                <w:sz w:val="21"/>
              </w:rPr>
              <w:t>.</w:t>
            </w:r>
            <w:r>
              <w:rPr>
                <w:color w:val="000000"/>
                <w:sz w:val="21"/>
              </w:rPr>
              <w:t>基本要求：</w:t>
            </w:r>
            <w:r>
              <w:rPr>
                <w:color w:val="000000"/>
                <w:sz w:val="21"/>
              </w:rPr>
              <w:t>用于监测环境空气中过氧乙酰硝酸酯（</w:t>
            </w:r>
            <w:r>
              <w:rPr>
                <w:color w:val="000000"/>
                <w:sz w:val="21"/>
              </w:rPr>
              <w:t>PAN）的在线气相色谱仪器，仪器需配备气相色谱部分和校准部分。</w:t>
            </w:r>
          </w:p>
          <w:p>
            <w:pPr>
              <w:jc w:val="both"/>
            </w:pPr>
            <w:r>
              <w:rPr>
                <w:color w:val="000000"/>
                <w:sz w:val="21"/>
              </w:rPr>
              <w:t>2.</w:t>
            </w:r>
            <w:r>
              <w:rPr>
                <w:color w:val="000000"/>
                <w:sz w:val="21"/>
              </w:rPr>
              <w:t>3.2</w:t>
            </w:r>
            <w:r>
              <w:rPr>
                <w:color w:val="000000"/>
                <w:sz w:val="21"/>
              </w:rPr>
              <w:t>.</w:t>
            </w:r>
            <w:r>
              <w:rPr>
                <w:color w:val="000000"/>
                <w:sz w:val="21"/>
              </w:rPr>
              <w:t>技术参数：</w:t>
            </w:r>
          </w:p>
          <w:p>
            <w:r>
              <w:rPr>
                <w:color w:val="000000"/>
                <w:sz w:val="21"/>
              </w:rPr>
              <w:t>2.</w:t>
            </w:r>
            <w:r>
              <w:rPr>
                <w:color w:val="000000"/>
                <w:sz w:val="21"/>
              </w:rPr>
              <w:t>3.2.1</w:t>
            </w:r>
            <w:r>
              <w:rPr>
                <w:color w:val="000000"/>
                <w:sz w:val="21"/>
              </w:rPr>
              <w:t>.</w:t>
            </w:r>
            <w:r>
              <w:rPr>
                <w:color w:val="000000"/>
                <w:sz w:val="21"/>
              </w:rPr>
              <w:t>分析方法：气相色谱法，结合</w:t>
            </w:r>
            <w:r>
              <w:rPr>
                <w:color w:val="000000"/>
                <w:sz w:val="21"/>
              </w:rPr>
              <w:t>ECD检测器；</w:t>
            </w:r>
          </w:p>
          <w:p>
            <w:r>
              <w:rPr>
                <w:color w:val="000000"/>
                <w:sz w:val="21"/>
              </w:rPr>
              <w:t>2.</w:t>
            </w:r>
            <w:r>
              <w:rPr>
                <w:color w:val="000000"/>
                <w:sz w:val="21"/>
              </w:rPr>
              <w:t>3.2.2</w:t>
            </w:r>
            <w:r>
              <w:rPr>
                <w:color w:val="000000"/>
                <w:sz w:val="21"/>
              </w:rPr>
              <w:t>.</w:t>
            </w:r>
            <w:r>
              <w:rPr>
                <w:color w:val="000000"/>
                <w:sz w:val="21"/>
              </w:rPr>
              <w:t>检测限：</w:t>
            </w:r>
            <w:r>
              <w:rPr>
                <w:color w:val="000000"/>
                <w:sz w:val="21"/>
              </w:rPr>
              <w:t>&lt;50ppt；</w:t>
            </w:r>
          </w:p>
          <w:p>
            <w:r>
              <w:rPr>
                <w:color w:val="000000"/>
                <w:sz w:val="21"/>
              </w:rPr>
              <w:t>2.</w:t>
            </w:r>
            <w:r>
              <w:rPr>
                <w:color w:val="000000"/>
                <w:sz w:val="21"/>
              </w:rPr>
              <w:t>3.2.3</w:t>
            </w:r>
            <w:r>
              <w:rPr>
                <w:color w:val="000000"/>
                <w:sz w:val="21"/>
              </w:rPr>
              <w:t>.</w:t>
            </w:r>
            <w:r>
              <w:rPr>
                <w:color w:val="000000"/>
                <w:sz w:val="21"/>
              </w:rPr>
              <w:t>测量频率：</w:t>
            </w:r>
            <w:r>
              <w:rPr>
                <w:color w:val="000000"/>
                <w:sz w:val="21"/>
              </w:rPr>
              <w:t>6次/小时；</w:t>
            </w:r>
          </w:p>
          <w:p>
            <w:r>
              <w:rPr>
                <w:color w:val="000000"/>
                <w:sz w:val="21"/>
              </w:rPr>
              <w:t>2.</w:t>
            </w:r>
            <w:r>
              <w:rPr>
                <w:color w:val="000000"/>
                <w:sz w:val="21"/>
              </w:rPr>
              <w:t>3.2.4</w:t>
            </w:r>
            <w:r>
              <w:rPr>
                <w:color w:val="000000"/>
                <w:sz w:val="21"/>
              </w:rPr>
              <w:t>.</w:t>
            </w:r>
            <w:r>
              <w:rPr>
                <w:color w:val="000000"/>
                <w:sz w:val="21"/>
              </w:rPr>
              <w:t>预柱和主柱：宽孔毛细管；</w:t>
            </w:r>
          </w:p>
          <w:p>
            <w:r>
              <w:rPr>
                <w:color w:val="000000"/>
                <w:sz w:val="21"/>
              </w:rPr>
              <w:t>2.</w:t>
            </w:r>
            <w:r>
              <w:rPr>
                <w:color w:val="000000"/>
                <w:sz w:val="21"/>
              </w:rPr>
              <w:t>3.2.5</w:t>
            </w:r>
            <w:r>
              <w:rPr>
                <w:color w:val="000000"/>
                <w:sz w:val="21"/>
              </w:rPr>
              <w:t>.</w:t>
            </w:r>
            <w:r>
              <w:rPr>
                <w:color w:val="000000"/>
                <w:sz w:val="21"/>
              </w:rPr>
              <w:t>动态线性范围：</w:t>
            </w:r>
            <w:r>
              <w:rPr>
                <w:color w:val="000000"/>
                <w:sz w:val="21"/>
              </w:rPr>
              <w:t>≥10ppb；</w:t>
            </w:r>
          </w:p>
          <w:p>
            <w:r>
              <w:rPr>
                <w:color w:val="000000"/>
                <w:sz w:val="21"/>
              </w:rPr>
              <w:t>2.</w:t>
            </w:r>
            <w:r>
              <w:rPr>
                <w:color w:val="000000"/>
                <w:sz w:val="21"/>
              </w:rPr>
              <w:t>3.2.6</w:t>
            </w:r>
            <w:r>
              <w:rPr>
                <w:color w:val="000000"/>
                <w:sz w:val="21"/>
              </w:rPr>
              <w:t>.</w:t>
            </w:r>
            <w:r>
              <w:rPr>
                <w:color w:val="000000"/>
                <w:sz w:val="21"/>
              </w:rPr>
              <w:t>色谱炉箱：</w:t>
            </w:r>
            <w:r>
              <w:rPr>
                <w:color w:val="000000"/>
                <w:sz w:val="21"/>
              </w:rPr>
              <w:t>Peltier制冷和Pt100温度控制；</w:t>
            </w:r>
          </w:p>
          <w:p>
            <w:r>
              <w:rPr>
                <w:color w:val="000000"/>
                <w:sz w:val="21"/>
              </w:rPr>
              <w:t>2.</w:t>
            </w:r>
            <w:r>
              <w:rPr>
                <w:color w:val="000000"/>
                <w:sz w:val="21"/>
              </w:rPr>
              <w:t>3.2.7</w:t>
            </w:r>
            <w:r>
              <w:rPr>
                <w:color w:val="000000"/>
                <w:sz w:val="21"/>
              </w:rPr>
              <w:t>.</w:t>
            </w:r>
            <w:r>
              <w:rPr>
                <w:color w:val="000000"/>
                <w:sz w:val="21"/>
              </w:rPr>
              <w:t>色谱柱箱温度波动：低于</w:t>
            </w:r>
            <w:r>
              <w:rPr>
                <w:color w:val="000000"/>
                <w:sz w:val="21"/>
              </w:rPr>
              <w:t>1K（1度）；</w:t>
            </w:r>
          </w:p>
          <w:p>
            <w:r>
              <w:rPr>
                <w:color w:val="000000"/>
                <w:sz w:val="21"/>
              </w:rPr>
              <w:t xml:space="preserve">    2.</w:t>
            </w:r>
            <w:r>
              <w:rPr>
                <w:color w:val="000000"/>
                <w:sz w:val="21"/>
              </w:rPr>
              <w:t>3.2.8</w:t>
            </w:r>
            <w:r>
              <w:rPr>
                <w:color w:val="000000"/>
                <w:sz w:val="21"/>
              </w:rPr>
              <w:t>.</w:t>
            </w:r>
            <w:r>
              <w:rPr>
                <w:color w:val="000000"/>
                <w:sz w:val="21"/>
              </w:rPr>
              <w:t>样品进样</w:t>
            </w:r>
            <w:r>
              <w:rPr>
                <w:color w:val="000000"/>
                <w:sz w:val="21"/>
              </w:rPr>
              <w:t>/色谱柱切换：气动VALCO 10通阀，配置外部样品环；</w:t>
            </w:r>
          </w:p>
          <w:p>
            <w:r>
              <w:rPr>
                <w:color w:val="000000"/>
                <w:sz w:val="21"/>
              </w:rPr>
              <w:t>2.</w:t>
            </w:r>
            <w:r>
              <w:rPr>
                <w:color w:val="000000"/>
                <w:sz w:val="21"/>
              </w:rPr>
              <w:t>3.2.9</w:t>
            </w:r>
            <w:r>
              <w:rPr>
                <w:color w:val="000000"/>
                <w:sz w:val="21"/>
              </w:rPr>
              <w:t>.</w:t>
            </w:r>
            <w:r>
              <w:rPr>
                <w:color w:val="000000"/>
                <w:sz w:val="21"/>
              </w:rPr>
              <w:t>载气和尾吹气：</w:t>
            </w:r>
            <w:r>
              <w:rPr>
                <w:color w:val="000000"/>
                <w:sz w:val="21"/>
              </w:rPr>
              <w:t>99.999%氮气，99.999%氮气</w:t>
            </w:r>
            <w:r>
              <w:rPr>
                <w:color w:val="000000"/>
                <w:sz w:val="21"/>
              </w:rPr>
              <w:t>。</w:t>
            </w:r>
          </w:p>
          <w:p/>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二</w:t>
      </w:r>
      <w:r>
        <w:rPr>
          <w:b/>
          <w:sz w:val="24"/>
        </w:rPr>
        <w:t>：</w:t>
      </w:r>
      <w:r>
        <w:rPr>
          <w:b/>
          <w:sz w:val="24"/>
        </w:rPr>
        <w:t>仪器运维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sz w:val="21"/>
              </w:rPr>
              <w:t>1.</w:t>
            </w:r>
            <w:r>
              <w:rPr>
                <w:b/>
                <w:sz w:val="21"/>
              </w:rPr>
              <w:t>仪器运维部分</w:t>
            </w:r>
          </w:p>
          <w:tbl>
            <w:tblPr>
              <w:tblBorders>
                <w:top w:val="none" w:color="000000" w:sz="4"/>
                <w:left w:val="none" w:color="000000" w:sz="4"/>
                <w:bottom w:val="none" w:color="000000" w:sz="4"/>
                <w:right w:val="none" w:color="000000" w:sz="4"/>
                <w:insideH w:val="none"/>
                <w:insideV w:val="none"/>
              </w:tblBorders>
            </w:tblPr>
            <w:tblGrid>
              <w:gridCol w:w="1450"/>
              <w:gridCol w:w="2932"/>
              <w:gridCol w:w="1203"/>
            </w:tblGrid>
            <w:tr>
              <w:tc>
                <w:tcPr>
                  <w:tcW w:type="dxa" w:w="1450"/>
                  <w:tcBorders>
                    <w:top w:val="single" w:color="000000" w:sz="4"/>
                    <w:left w:val="single" w:color="000000" w:sz="4"/>
                    <w:bottom w:val="single" w:color="000000" w:sz="4"/>
                    <w:right w:val="single" w:color="000000" w:sz="4"/>
                  </w:tcBorders>
                  <w:vAlign w:val="top"/>
                </w:tcPr>
                <w:p>
                  <w:pPr>
                    <w:jc w:val="center"/>
                  </w:pPr>
                  <w:r>
                    <w:rPr>
                      <w:sz w:val="21"/>
                    </w:rPr>
                    <w:t>站名</w:t>
                  </w:r>
                </w:p>
              </w:tc>
              <w:tc>
                <w:tcPr>
                  <w:tcW w:type="dxa" w:w="2932"/>
                  <w:tcBorders>
                    <w:top w:val="single" w:color="000000" w:sz="4"/>
                    <w:left w:val="single" w:color="000000" w:sz="4"/>
                    <w:bottom w:val="single" w:color="000000" w:sz="4"/>
                    <w:right w:val="single" w:color="000000" w:sz="4"/>
                  </w:tcBorders>
                  <w:vAlign w:val="top"/>
                </w:tcPr>
                <w:p>
                  <w:pPr>
                    <w:jc w:val="center"/>
                  </w:pPr>
                  <w:r>
                    <w:rPr>
                      <w:sz w:val="21"/>
                    </w:rPr>
                    <w:t>仪器</w:t>
                  </w:r>
                </w:p>
              </w:tc>
              <w:tc>
                <w:tcPr>
                  <w:tcW w:type="dxa" w:w="1203"/>
                  <w:tcBorders>
                    <w:top w:val="single" w:color="000000" w:sz="4"/>
                    <w:left w:val="single" w:color="000000" w:sz="4"/>
                    <w:bottom w:val="single" w:color="000000" w:sz="4"/>
                    <w:right w:val="single" w:color="000000" w:sz="4"/>
                  </w:tcBorders>
                  <w:vAlign w:val="top"/>
                </w:tcPr>
                <w:p>
                  <w:pPr>
                    <w:jc w:val="center"/>
                  </w:pPr>
                  <w:r>
                    <w:rPr>
                      <w:sz w:val="21"/>
                    </w:rPr>
                    <w:t>数量</w:t>
                  </w:r>
                </w:p>
              </w:tc>
            </w:tr>
            <w:tr>
              <w:tc>
                <w:tcPr>
                  <w:tcW w:type="dxa" w:w="1450"/>
                  <w:vMerge w:val="restart"/>
                  <w:tcBorders>
                    <w:top w:val="none" w:color="000000" w:sz="4"/>
                    <w:left w:val="single" w:color="000000" w:sz="4"/>
                    <w:bottom w:val="single" w:color="000000" w:sz="4"/>
                    <w:right w:val="single" w:color="000000" w:sz="4"/>
                  </w:tcBorders>
                  <w:vAlign w:val="top"/>
                </w:tcPr>
                <w:p>
                  <w:pPr>
                    <w:jc w:val="center"/>
                  </w:pPr>
                  <w:r>
                    <w:rPr>
                      <w:sz w:val="21"/>
                    </w:rPr>
                    <w:t>粤港澳大湾区（中山）大气成分野外科学试验基地</w:t>
                  </w:r>
                </w:p>
              </w:tc>
              <w:tc>
                <w:tcPr>
                  <w:tcW w:type="dxa" w:w="2932"/>
                  <w:tcBorders>
                    <w:top w:val="none" w:color="000000" w:sz="4"/>
                    <w:left w:val="single" w:color="000000" w:sz="4"/>
                    <w:bottom w:val="single" w:color="000000" w:sz="4"/>
                    <w:right w:val="single" w:color="000000" w:sz="4"/>
                  </w:tcBorders>
                  <w:vAlign w:val="top"/>
                </w:tcPr>
                <w:p>
                  <w:pPr>
                    <w:jc w:val="both"/>
                  </w:pPr>
                  <w:r>
                    <w:rPr>
                      <w:sz w:val="21"/>
                    </w:rPr>
                    <w:t>太阳光度计</w:t>
                  </w:r>
                </w:p>
              </w:tc>
              <w:tc>
                <w:tcPr>
                  <w:tcW w:type="dxa" w:w="1203"/>
                  <w:tcBorders>
                    <w:top w:val="none" w:color="000000" w:sz="4"/>
                    <w:left w:val="single" w:color="000000" w:sz="4"/>
                    <w:bottom w:val="single" w:color="000000" w:sz="4"/>
                    <w:right w:val="single" w:color="000000" w:sz="4"/>
                  </w:tcBorders>
                  <w:vAlign w:val="top"/>
                </w:tcPr>
                <w:p>
                  <w:pPr>
                    <w:jc w:val="center"/>
                  </w:pPr>
                  <w:r>
                    <w:rPr>
                      <w:sz w:val="21"/>
                    </w:rPr>
                    <w:t>1</w:t>
                  </w:r>
                </w:p>
              </w:tc>
            </w:tr>
            <w:tr>
              <w:tc>
                <w:tcPr>
                  <w:tcW w:type="dxa" w:w="1450"/>
                  <w:vMerge/>
                  <w:tcBorders>
                    <w:top w:val="none" w:color="000000" w:sz="4"/>
                    <w:left w:val="single" w:color="000000" w:sz="4"/>
                    <w:bottom w:val="single" w:color="000000" w:sz="4"/>
                    <w:right w:val="single" w:color="000000" w:sz="4"/>
                  </w:tcBorders>
                </w:tcPr>
                <w:p/>
              </w:tc>
              <w:tc>
                <w:tcPr>
                  <w:tcW w:type="dxa" w:w="2932"/>
                  <w:tcBorders>
                    <w:top w:val="none" w:color="000000" w:sz="4"/>
                    <w:left w:val="single" w:color="000000" w:sz="4"/>
                    <w:bottom w:val="single" w:color="000000" w:sz="4"/>
                    <w:right w:val="single" w:color="000000" w:sz="4"/>
                  </w:tcBorders>
                  <w:vAlign w:val="top"/>
                </w:tcPr>
                <w:p>
                  <w:pPr>
                    <w:jc w:val="both"/>
                  </w:pPr>
                  <w:r>
                    <w:rPr>
                      <w:sz w:val="21"/>
                    </w:rPr>
                    <w:t>黑碳仪</w:t>
                  </w:r>
                </w:p>
              </w:tc>
              <w:tc>
                <w:tcPr>
                  <w:tcW w:type="dxa" w:w="1203"/>
                  <w:tcBorders>
                    <w:top w:val="none" w:color="000000" w:sz="4"/>
                    <w:left w:val="single" w:color="000000" w:sz="4"/>
                    <w:bottom w:val="single" w:color="000000" w:sz="4"/>
                    <w:right w:val="single" w:color="000000" w:sz="4"/>
                  </w:tcBorders>
                  <w:vAlign w:val="top"/>
                </w:tcPr>
                <w:p>
                  <w:pPr>
                    <w:jc w:val="center"/>
                  </w:pPr>
                  <w:r>
                    <w:rPr>
                      <w:sz w:val="21"/>
                    </w:rPr>
                    <w:t>1</w:t>
                  </w:r>
                </w:p>
              </w:tc>
            </w:tr>
            <w:tr>
              <w:tc>
                <w:tcPr>
                  <w:tcW w:type="dxa" w:w="1450"/>
                  <w:vMerge/>
                  <w:tcBorders>
                    <w:top w:val="none" w:color="000000" w:sz="4"/>
                    <w:left w:val="single" w:color="000000" w:sz="4"/>
                    <w:bottom w:val="single" w:color="000000" w:sz="4"/>
                    <w:right w:val="single" w:color="000000" w:sz="4"/>
                  </w:tcBorders>
                </w:tcPr>
                <w:p/>
              </w:tc>
              <w:tc>
                <w:tcPr>
                  <w:tcW w:type="dxa" w:w="2932"/>
                  <w:tcBorders>
                    <w:top w:val="none" w:color="000000" w:sz="4"/>
                    <w:left w:val="single" w:color="000000" w:sz="4"/>
                    <w:bottom w:val="single" w:color="000000" w:sz="4"/>
                    <w:right w:val="single" w:color="000000" w:sz="4"/>
                  </w:tcBorders>
                  <w:vAlign w:val="top"/>
                </w:tcPr>
                <w:p>
                  <w:pPr>
                    <w:jc w:val="both"/>
                  </w:pPr>
                  <w:r>
                    <w:rPr>
                      <w:sz w:val="21"/>
                    </w:rPr>
                    <w:t>浊度仪</w:t>
                  </w:r>
                </w:p>
              </w:tc>
              <w:tc>
                <w:tcPr>
                  <w:tcW w:type="dxa" w:w="1203"/>
                  <w:tcBorders>
                    <w:top w:val="none" w:color="000000" w:sz="4"/>
                    <w:left w:val="single" w:color="000000" w:sz="4"/>
                    <w:bottom w:val="single" w:color="000000" w:sz="4"/>
                    <w:right w:val="single" w:color="000000" w:sz="4"/>
                  </w:tcBorders>
                  <w:vAlign w:val="top"/>
                </w:tcPr>
                <w:p>
                  <w:pPr>
                    <w:jc w:val="center"/>
                  </w:pPr>
                  <w:r>
                    <w:rPr>
                      <w:sz w:val="21"/>
                    </w:rPr>
                    <w:t>1</w:t>
                  </w:r>
                </w:p>
              </w:tc>
            </w:tr>
            <w:tr>
              <w:tc>
                <w:tcPr>
                  <w:tcW w:type="dxa" w:w="1450"/>
                  <w:vMerge/>
                  <w:tcBorders>
                    <w:top w:val="none" w:color="000000" w:sz="4"/>
                    <w:left w:val="single" w:color="000000" w:sz="4"/>
                    <w:bottom w:val="single" w:color="000000" w:sz="4"/>
                    <w:right w:val="single" w:color="000000" w:sz="4"/>
                  </w:tcBorders>
                </w:tcPr>
                <w:p/>
              </w:tc>
              <w:tc>
                <w:tcPr>
                  <w:tcW w:type="dxa" w:w="2932"/>
                  <w:tcBorders>
                    <w:top w:val="none" w:color="000000" w:sz="4"/>
                    <w:left w:val="single" w:color="000000" w:sz="4"/>
                    <w:bottom w:val="single" w:color="000000" w:sz="4"/>
                    <w:right w:val="single" w:color="000000" w:sz="4"/>
                  </w:tcBorders>
                  <w:vAlign w:val="top"/>
                </w:tcPr>
                <w:p>
                  <w:pPr>
                    <w:jc w:val="both"/>
                  </w:pPr>
                  <w:r>
                    <w:rPr>
                      <w:sz w:val="21"/>
                    </w:rPr>
                    <w:t>颗粒物分析仪</w:t>
                  </w:r>
                </w:p>
              </w:tc>
              <w:tc>
                <w:tcPr>
                  <w:tcW w:type="dxa" w:w="1203"/>
                  <w:tcBorders>
                    <w:top w:val="none" w:color="000000" w:sz="4"/>
                    <w:left w:val="single" w:color="000000" w:sz="4"/>
                    <w:bottom w:val="single" w:color="000000" w:sz="4"/>
                    <w:right w:val="single" w:color="000000" w:sz="4"/>
                  </w:tcBorders>
                  <w:vAlign w:val="top"/>
                </w:tcPr>
                <w:p>
                  <w:pPr>
                    <w:jc w:val="center"/>
                  </w:pPr>
                  <w:r>
                    <w:rPr>
                      <w:sz w:val="21"/>
                    </w:rPr>
                    <w:t>1</w:t>
                  </w:r>
                </w:p>
              </w:tc>
            </w:tr>
            <w:tr>
              <w:tc>
                <w:tcPr>
                  <w:tcW w:type="dxa" w:w="1450"/>
                  <w:vMerge/>
                  <w:tcBorders>
                    <w:top w:val="none" w:color="000000" w:sz="4"/>
                    <w:left w:val="single" w:color="000000" w:sz="4"/>
                    <w:bottom w:val="single" w:color="000000" w:sz="4"/>
                    <w:right w:val="single" w:color="000000" w:sz="4"/>
                  </w:tcBorders>
                </w:tcPr>
                <w:p/>
              </w:tc>
              <w:tc>
                <w:tcPr>
                  <w:tcW w:type="dxa" w:w="2932"/>
                  <w:tcBorders>
                    <w:top w:val="none" w:color="000000" w:sz="4"/>
                    <w:left w:val="single" w:color="000000" w:sz="4"/>
                    <w:bottom w:val="single" w:color="000000" w:sz="4"/>
                    <w:right w:val="single" w:color="000000" w:sz="4"/>
                  </w:tcBorders>
                  <w:vAlign w:val="top"/>
                </w:tcPr>
                <w:p>
                  <w:pPr>
                    <w:jc w:val="both"/>
                  </w:pPr>
                  <w:r>
                    <w:rPr>
                      <w:sz w:val="21"/>
                    </w:rPr>
                    <w:t>雾滴谱仪</w:t>
                  </w:r>
                </w:p>
              </w:tc>
              <w:tc>
                <w:tcPr>
                  <w:tcW w:type="dxa" w:w="1203"/>
                  <w:tcBorders>
                    <w:top w:val="none" w:color="000000" w:sz="4"/>
                    <w:left w:val="single" w:color="000000" w:sz="4"/>
                    <w:bottom w:val="single" w:color="000000" w:sz="4"/>
                    <w:right w:val="single" w:color="000000" w:sz="4"/>
                  </w:tcBorders>
                  <w:vAlign w:val="top"/>
                </w:tcPr>
                <w:p>
                  <w:pPr>
                    <w:jc w:val="center"/>
                  </w:pPr>
                  <w:r>
                    <w:rPr>
                      <w:sz w:val="21"/>
                    </w:rPr>
                    <w:t>1</w:t>
                  </w:r>
                </w:p>
              </w:tc>
            </w:tr>
            <w:tr>
              <w:tc>
                <w:tcPr>
                  <w:tcW w:type="dxa" w:w="1450"/>
                  <w:vMerge/>
                  <w:tcBorders>
                    <w:top w:val="none" w:color="000000" w:sz="4"/>
                    <w:left w:val="single" w:color="000000" w:sz="4"/>
                    <w:bottom w:val="single" w:color="000000" w:sz="4"/>
                    <w:right w:val="single" w:color="000000" w:sz="4"/>
                  </w:tcBorders>
                </w:tcPr>
                <w:p/>
              </w:tc>
              <w:tc>
                <w:tcPr>
                  <w:tcW w:type="dxa" w:w="2932"/>
                  <w:tcBorders>
                    <w:top w:val="none" w:color="000000" w:sz="4"/>
                    <w:left w:val="single" w:color="000000" w:sz="4"/>
                    <w:bottom w:val="single" w:color="000000" w:sz="4"/>
                    <w:right w:val="single" w:color="000000" w:sz="4"/>
                  </w:tcBorders>
                  <w:vAlign w:val="top"/>
                </w:tcPr>
                <w:p>
                  <w:pPr>
                    <w:jc w:val="both"/>
                  </w:pPr>
                  <w:r>
                    <w:rPr>
                      <w:sz w:val="21"/>
                    </w:rPr>
                    <w:t>氮氧化物分析仪</w:t>
                  </w:r>
                </w:p>
              </w:tc>
              <w:tc>
                <w:tcPr>
                  <w:tcW w:type="dxa" w:w="1203"/>
                  <w:tcBorders>
                    <w:top w:val="none" w:color="000000" w:sz="4"/>
                    <w:left w:val="single" w:color="000000" w:sz="4"/>
                    <w:bottom w:val="single" w:color="000000" w:sz="4"/>
                    <w:right w:val="single" w:color="000000" w:sz="4"/>
                  </w:tcBorders>
                  <w:vAlign w:val="top"/>
                </w:tcPr>
                <w:p>
                  <w:pPr>
                    <w:jc w:val="center"/>
                  </w:pPr>
                  <w:r>
                    <w:rPr>
                      <w:sz w:val="21"/>
                    </w:rPr>
                    <w:t>1</w:t>
                  </w:r>
                </w:p>
              </w:tc>
            </w:tr>
            <w:tr>
              <w:tc>
                <w:tcPr>
                  <w:tcW w:type="dxa" w:w="1450"/>
                  <w:vMerge/>
                  <w:tcBorders>
                    <w:top w:val="none" w:color="000000" w:sz="4"/>
                    <w:left w:val="single" w:color="000000" w:sz="4"/>
                    <w:bottom w:val="single" w:color="000000" w:sz="4"/>
                    <w:right w:val="single" w:color="000000" w:sz="4"/>
                  </w:tcBorders>
                </w:tcPr>
                <w:p/>
              </w:tc>
              <w:tc>
                <w:tcPr>
                  <w:tcW w:type="dxa" w:w="2932"/>
                  <w:tcBorders>
                    <w:top w:val="none" w:color="000000" w:sz="4"/>
                    <w:left w:val="single" w:color="000000" w:sz="4"/>
                    <w:bottom w:val="single" w:color="000000" w:sz="4"/>
                    <w:right w:val="single" w:color="000000" w:sz="4"/>
                  </w:tcBorders>
                  <w:vAlign w:val="top"/>
                </w:tcPr>
                <w:p>
                  <w:pPr>
                    <w:jc w:val="both"/>
                  </w:pPr>
                  <w:r>
                    <w:rPr>
                      <w:sz w:val="21"/>
                    </w:rPr>
                    <w:t>臭氧分析仪</w:t>
                  </w:r>
                </w:p>
              </w:tc>
              <w:tc>
                <w:tcPr>
                  <w:tcW w:type="dxa" w:w="1203"/>
                  <w:tcBorders>
                    <w:top w:val="none" w:color="000000" w:sz="4"/>
                    <w:left w:val="single" w:color="000000" w:sz="4"/>
                    <w:bottom w:val="single" w:color="000000" w:sz="4"/>
                    <w:right w:val="single" w:color="000000" w:sz="4"/>
                  </w:tcBorders>
                  <w:vAlign w:val="top"/>
                </w:tcPr>
                <w:p>
                  <w:pPr>
                    <w:jc w:val="center"/>
                  </w:pPr>
                  <w:r>
                    <w:rPr>
                      <w:sz w:val="21"/>
                    </w:rPr>
                    <w:t>1</w:t>
                  </w:r>
                </w:p>
              </w:tc>
            </w:tr>
            <w:tr>
              <w:tc>
                <w:tcPr>
                  <w:tcW w:type="dxa" w:w="1450"/>
                  <w:vMerge/>
                  <w:tcBorders>
                    <w:top w:val="none" w:color="000000" w:sz="4"/>
                    <w:left w:val="single" w:color="000000" w:sz="4"/>
                    <w:bottom w:val="single" w:color="000000" w:sz="4"/>
                    <w:right w:val="single" w:color="000000" w:sz="4"/>
                  </w:tcBorders>
                </w:tcPr>
                <w:p/>
              </w:tc>
              <w:tc>
                <w:tcPr>
                  <w:tcW w:type="dxa" w:w="2932"/>
                  <w:tcBorders>
                    <w:top w:val="none" w:color="000000" w:sz="4"/>
                    <w:left w:val="single" w:color="000000" w:sz="4"/>
                    <w:bottom w:val="single" w:color="000000" w:sz="4"/>
                    <w:right w:val="single" w:color="000000" w:sz="4"/>
                  </w:tcBorders>
                  <w:vAlign w:val="top"/>
                </w:tcPr>
                <w:p>
                  <w:pPr>
                    <w:jc w:val="both"/>
                  </w:pPr>
                  <w:r>
                    <w:rPr>
                      <w:sz w:val="21"/>
                    </w:rPr>
                    <w:t>微波辐射计</w:t>
                  </w:r>
                </w:p>
              </w:tc>
              <w:tc>
                <w:tcPr>
                  <w:tcW w:type="dxa" w:w="1203"/>
                  <w:tcBorders>
                    <w:top w:val="none" w:color="000000" w:sz="4"/>
                    <w:left w:val="single" w:color="000000" w:sz="4"/>
                    <w:bottom w:val="single" w:color="000000" w:sz="4"/>
                    <w:right w:val="single" w:color="000000" w:sz="4"/>
                  </w:tcBorders>
                  <w:vAlign w:val="top"/>
                </w:tcPr>
                <w:p>
                  <w:pPr>
                    <w:jc w:val="center"/>
                  </w:pPr>
                  <w:r>
                    <w:rPr>
                      <w:sz w:val="21"/>
                    </w:rPr>
                    <w:t>1</w:t>
                  </w:r>
                </w:p>
              </w:tc>
            </w:tr>
            <w:tr>
              <w:tc>
                <w:tcPr>
                  <w:tcW w:type="dxa" w:w="1450"/>
                  <w:vMerge/>
                  <w:tcBorders>
                    <w:top w:val="none" w:color="000000" w:sz="4"/>
                    <w:left w:val="single" w:color="000000" w:sz="4"/>
                    <w:bottom w:val="single" w:color="000000" w:sz="4"/>
                    <w:right w:val="single" w:color="000000" w:sz="4"/>
                  </w:tcBorders>
                </w:tcPr>
                <w:p/>
              </w:tc>
              <w:tc>
                <w:tcPr>
                  <w:tcW w:type="dxa" w:w="2932"/>
                  <w:tcBorders>
                    <w:top w:val="none" w:color="000000" w:sz="4"/>
                    <w:left w:val="single" w:color="000000" w:sz="4"/>
                    <w:bottom w:val="single" w:color="000000" w:sz="4"/>
                    <w:right w:val="single" w:color="000000" w:sz="4"/>
                  </w:tcBorders>
                  <w:vAlign w:val="top"/>
                </w:tcPr>
                <w:p>
                  <w:pPr>
                    <w:jc w:val="both"/>
                  </w:pPr>
                  <w:r>
                    <w:rPr>
                      <w:sz w:val="21"/>
                    </w:rPr>
                    <w:t>风廓线雷达</w:t>
                  </w:r>
                </w:p>
              </w:tc>
              <w:tc>
                <w:tcPr>
                  <w:tcW w:type="dxa" w:w="1203"/>
                  <w:tcBorders>
                    <w:top w:val="none" w:color="000000" w:sz="4"/>
                    <w:left w:val="single" w:color="000000" w:sz="4"/>
                    <w:bottom w:val="single" w:color="000000" w:sz="4"/>
                    <w:right w:val="single" w:color="000000" w:sz="4"/>
                  </w:tcBorders>
                  <w:vAlign w:val="top"/>
                </w:tcPr>
                <w:p>
                  <w:pPr>
                    <w:jc w:val="center"/>
                  </w:pPr>
                  <w:r>
                    <w:rPr>
                      <w:sz w:val="21"/>
                    </w:rPr>
                    <w:t>1</w:t>
                  </w:r>
                </w:p>
              </w:tc>
            </w:tr>
            <w:tr>
              <w:tc>
                <w:tcPr>
                  <w:tcW w:type="dxa" w:w="1450"/>
                  <w:vMerge/>
                  <w:tcBorders>
                    <w:top w:val="none" w:color="000000" w:sz="4"/>
                    <w:left w:val="single" w:color="000000" w:sz="4"/>
                    <w:bottom w:val="single" w:color="000000" w:sz="4"/>
                    <w:right w:val="single" w:color="000000" w:sz="4"/>
                  </w:tcBorders>
                </w:tcPr>
                <w:p/>
              </w:tc>
              <w:tc>
                <w:tcPr>
                  <w:tcW w:type="dxa" w:w="2932"/>
                  <w:tcBorders>
                    <w:top w:val="none" w:color="000000" w:sz="4"/>
                    <w:left w:val="single" w:color="000000" w:sz="4"/>
                    <w:bottom w:val="single" w:color="000000" w:sz="4"/>
                    <w:right w:val="single" w:color="000000" w:sz="4"/>
                  </w:tcBorders>
                  <w:vAlign w:val="top"/>
                </w:tcPr>
                <w:p>
                  <w:pPr>
                    <w:jc w:val="both"/>
                  </w:pPr>
                  <w:r>
                    <w:rPr>
                      <w:sz w:val="21"/>
                    </w:rPr>
                    <w:t>过氧乙酰硝酸酯（</w:t>
                  </w:r>
                  <w:r>
                    <w:rPr>
                      <w:sz w:val="21"/>
                    </w:rPr>
                    <w:t>PAN）分析仪</w:t>
                  </w:r>
                </w:p>
              </w:tc>
              <w:tc>
                <w:tcPr>
                  <w:tcW w:type="dxa" w:w="1203"/>
                  <w:tcBorders>
                    <w:top w:val="none" w:color="000000" w:sz="4"/>
                    <w:left w:val="single" w:color="000000" w:sz="4"/>
                    <w:bottom w:val="single" w:color="000000" w:sz="4"/>
                    <w:right w:val="single" w:color="000000" w:sz="4"/>
                  </w:tcBorders>
                  <w:vAlign w:val="top"/>
                </w:tcPr>
                <w:p>
                  <w:pPr>
                    <w:jc w:val="center"/>
                  </w:pPr>
                  <w:r>
                    <w:rPr>
                      <w:sz w:val="21"/>
                    </w:rPr>
                    <w:t>1</w:t>
                  </w:r>
                </w:p>
              </w:tc>
            </w:tr>
            <w:tr>
              <w:tc>
                <w:tcPr>
                  <w:tcW w:type="dxa" w:w="1450"/>
                  <w:vMerge/>
                  <w:tcBorders>
                    <w:top w:val="none" w:color="000000" w:sz="4"/>
                    <w:left w:val="single" w:color="000000" w:sz="4"/>
                    <w:bottom w:val="single" w:color="000000" w:sz="4"/>
                    <w:right w:val="single" w:color="000000" w:sz="4"/>
                  </w:tcBorders>
                </w:tcPr>
                <w:p/>
              </w:tc>
              <w:tc>
                <w:tcPr>
                  <w:tcW w:type="dxa" w:w="2932"/>
                  <w:tcBorders>
                    <w:top w:val="none" w:color="000000" w:sz="4"/>
                    <w:left w:val="single" w:color="000000" w:sz="4"/>
                    <w:bottom w:val="single" w:color="000000" w:sz="4"/>
                    <w:right w:val="single" w:color="000000" w:sz="4"/>
                  </w:tcBorders>
                  <w:vAlign w:val="top"/>
                </w:tcPr>
                <w:p>
                  <w:pPr>
                    <w:jc w:val="both"/>
                  </w:pPr>
                  <w:r>
                    <w:rPr>
                      <w:sz w:val="21"/>
                    </w:rPr>
                    <w:t>光解光谱仪</w:t>
                  </w:r>
                </w:p>
              </w:tc>
              <w:tc>
                <w:tcPr>
                  <w:tcW w:type="dxa" w:w="1203"/>
                  <w:tcBorders>
                    <w:top w:val="none" w:color="000000" w:sz="4"/>
                    <w:left w:val="single" w:color="000000" w:sz="4"/>
                    <w:bottom w:val="single" w:color="000000" w:sz="4"/>
                    <w:right w:val="single" w:color="000000" w:sz="4"/>
                  </w:tcBorders>
                  <w:vAlign w:val="top"/>
                </w:tcPr>
                <w:p>
                  <w:pPr>
                    <w:jc w:val="center"/>
                  </w:pPr>
                  <w:r>
                    <w:rPr>
                      <w:sz w:val="21"/>
                    </w:rPr>
                    <w:t>1</w:t>
                  </w:r>
                </w:p>
              </w:tc>
            </w:tr>
          </w:tbl>
          <w:p>
            <w:pPr>
              <w:jc w:val="both"/>
            </w:pPr>
          </w:p>
          <w:p>
            <w:pPr>
              <w:jc w:val="both"/>
            </w:pPr>
            <w:r>
              <w:rPr>
                <w:b/>
                <w:sz w:val="21"/>
              </w:rPr>
              <w:t>2.</w:t>
            </w:r>
            <w:r>
              <w:rPr>
                <w:b/>
                <w:sz w:val="21"/>
              </w:rPr>
              <w:t>运维服务总体要求：</w:t>
            </w:r>
          </w:p>
          <w:p>
            <w:pPr>
              <w:ind w:firstLine="420"/>
              <w:jc w:val="both"/>
            </w:pPr>
            <w:r>
              <w:rPr>
                <w:sz w:val="21"/>
              </w:rPr>
              <w:t>为了达到行业规范要求，保证数据有效性，更好的通过质量控制考核，需要委托服务方对仪器设备进行巡检、标定、校准，保证数据的准确性。具体包括：</w:t>
            </w:r>
          </w:p>
          <w:p>
            <w:r>
              <w:rPr>
                <w:sz w:val="21"/>
              </w:rPr>
              <w:t>2</w:t>
            </w:r>
            <w:r>
              <w:rPr>
                <w:sz w:val="21"/>
              </w:rPr>
              <w:t>.1</w:t>
            </w:r>
            <w:r>
              <w:rPr>
                <w:sz w:val="21"/>
              </w:rPr>
              <w:t>.</w:t>
            </w:r>
            <w:r>
              <w:rPr>
                <w:sz w:val="21"/>
              </w:rPr>
              <w:t>每周现场巡检一次，负责观测站点日常运行维护，对各项仪器的完整、正常、稳定和安全运行负责。</w:t>
            </w:r>
          </w:p>
          <w:p>
            <w:r>
              <w:rPr>
                <w:sz w:val="21"/>
              </w:rPr>
              <w:t>2</w:t>
            </w:r>
            <w:r>
              <w:rPr>
                <w:sz w:val="21"/>
              </w:rPr>
              <w:t>.2</w:t>
            </w:r>
            <w:r>
              <w:rPr>
                <w:sz w:val="21"/>
              </w:rPr>
              <w:t>.</w:t>
            </w:r>
            <w:r>
              <w:rPr>
                <w:sz w:val="21"/>
              </w:rPr>
              <w:t>执行国家环境空气质量自动监测标准规范、质量体系文件、质量控制计划；建立运行保障制度，制定并实施运维应急预案和内部质量控制与质量保证制度；按照全过程留痕的原则规范运维、质控记录，做到运维、质控记录电子化。</w:t>
            </w:r>
          </w:p>
          <w:p>
            <w:r>
              <w:rPr>
                <w:sz w:val="21"/>
              </w:rPr>
              <w:t>2</w:t>
            </w:r>
            <w:r>
              <w:rPr>
                <w:sz w:val="21"/>
              </w:rPr>
              <w:t>.3</w:t>
            </w:r>
            <w:r>
              <w:rPr>
                <w:sz w:val="21"/>
              </w:rPr>
              <w:t>.</w:t>
            </w:r>
            <w:r>
              <w:rPr>
                <w:sz w:val="21"/>
              </w:rPr>
              <w:t>负责在线审核、按时上报、定期分析等工作，对数据质量、数据安全负责。每半年提交一次所有监测数据的离线副本。</w:t>
            </w:r>
          </w:p>
          <w:p>
            <w:r>
              <w:rPr>
                <w:sz w:val="21"/>
              </w:rPr>
              <w:t>2</w:t>
            </w:r>
            <w:r>
              <w:rPr>
                <w:sz w:val="21"/>
              </w:rPr>
              <w:t>.4</w:t>
            </w:r>
            <w:r>
              <w:rPr>
                <w:sz w:val="21"/>
              </w:rPr>
              <w:t>.</w:t>
            </w:r>
            <w:r>
              <w:rPr>
                <w:sz w:val="21"/>
              </w:rPr>
              <w:t>建立数据异常快速响应机制，发现数据中断、异常、数据质量不符合质控要求、数据合理性或关联性存疑、有效数据获取率变化等情况时，及时上报相关部门，同时查找分析原因、排除异常情况，并采取预防措施。</w:t>
            </w:r>
          </w:p>
          <w:p>
            <w:pPr>
              <w:ind w:firstLine="10"/>
            </w:pPr>
            <w:r>
              <w:rPr>
                <w:sz w:val="21"/>
              </w:rPr>
              <w:t>2</w:t>
            </w:r>
            <w:r>
              <w:rPr>
                <w:sz w:val="21"/>
              </w:rPr>
              <w:t>.5</w:t>
            </w:r>
            <w:r>
              <w:rPr>
                <w:sz w:val="21"/>
              </w:rPr>
              <w:t>.</w:t>
            </w:r>
            <w:r>
              <w:rPr>
                <w:sz w:val="21"/>
              </w:rPr>
              <w:t>承担日常运行维护和质量控制工作，包括但不限于仪器设备日常和定期的检查调校、易损件更换、耗材更换、试剂补充、管路清洗、质量控制等，维护、更换、质控的内容和周期必须符合国家有关技术规范的规定和设备原厂商的要求。</w:t>
            </w:r>
          </w:p>
          <w:p>
            <w:pPr>
              <w:ind w:firstLine="10"/>
            </w:pPr>
            <w:r>
              <w:rPr>
                <w:sz w:val="21"/>
              </w:rPr>
              <w:t>2</w:t>
            </w:r>
            <w:r>
              <w:rPr>
                <w:sz w:val="21"/>
              </w:rPr>
              <w:t>.6</w:t>
            </w:r>
            <w:r>
              <w:rPr>
                <w:sz w:val="21"/>
              </w:rPr>
              <w:t>.</w:t>
            </w:r>
            <w:r>
              <w:rPr>
                <w:sz w:val="21"/>
              </w:rPr>
              <w:t>做好运维期间的档案建立与管理工作，每年提交一次运维工作报告（包括备件、耗材的采购、使用、库存等情况）并移交年度运维档案。运营期结束前应向相关部门提供所有仪器设备正常运行的支持性证据，并完整移交运维期间的所有文件资料。</w:t>
            </w:r>
          </w:p>
          <w:p>
            <w:pPr>
              <w:jc w:val="both"/>
            </w:pPr>
            <w:r>
              <w:rPr>
                <w:b/>
                <w:sz w:val="21"/>
              </w:rPr>
              <w:t>3.</w:t>
            </w:r>
            <w:r>
              <w:rPr>
                <w:b/>
                <w:sz w:val="21"/>
              </w:rPr>
              <w:t>维护服务内容</w:t>
            </w:r>
          </w:p>
          <w:p>
            <w:pPr>
              <w:jc w:val="both"/>
            </w:pPr>
            <w:r>
              <w:rPr>
                <w:sz w:val="21"/>
              </w:rPr>
              <w:t>3</w:t>
            </w:r>
            <w:r>
              <w:rPr>
                <w:sz w:val="21"/>
              </w:rPr>
              <w:t>.1</w:t>
            </w:r>
            <w:r>
              <w:rPr>
                <w:sz w:val="21"/>
              </w:rPr>
              <w:t>.</w:t>
            </w:r>
            <w:r>
              <w:rPr>
                <w:sz w:val="21"/>
              </w:rPr>
              <w:t>站点概况：</w:t>
            </w:r>
          </w:p>
          <w:p>
            <w:pPr>
              <w:ind w:firstLine="420"/>
              <w:jc w:val="both"/>
            </w:pPr>
            <w:r>
              <w:rPr>
                <w:sz w:val="21"/>
              </w:rPr>
              <w:t>粤港澳大湾区（中山）大气成分野外科学试验基地，分别分布在广东省中山市古香林和紫马岭公园内的中山气象站。主要观测设备包括太阳光度计、黑碳仪、浊度仪、颗粒物分析仪、雾滴谱仪、氮氧化物分析仪、臭氧分析仪、风廓线雷达、微波辐射计、过氧乙酰硝酸酯（</w:t>
            </w:r>
            <w:r>
              <w:rPr>
                <w:sz w:val="21"/>
              </w:rPr>
              <w:t>PAN）分析仪、光解光谱仪等，以及数据采集器、电源系统（UPS）、通信系统、计算机处理系统（含专业软件）、网络传输系统、空调等保障设施，仪器设备24小时连续在线运行。</w:t>
            </w:r>
          </w:p>
          <w:p>
            <w:pPr>
              <w:jc w:val="both"/>
            </w:pPr>
            <w:r>
              <w:rPr>
                <w:sz w:val="21"/>
              </w:rPr>
              <w:t>3</w:t>
            </w:r>
            <w:r>
              <w:rPr>
                <w:sz w:val="21"/>
              </w:rPr>
              <w:t>.2</w:t>
            </w:r>
            <w:r>
              <w:rPr>
                <w:sz w:val="21"/>
              </w:rPr>
              <w:t>.</w:t>
            </w:r>
            <w:r>
              <w:rPr>
                <w:sz w:val="21"/>
              </w:rPr>
              <w:t>维护服务要求：</w:t>
            </w:r>
          </w:p>
          <w:p>
            <w:pPr>
              <w:ind w:firstLine="10"/>
            </w:pPr>
            <w:r>
              <w:rPr>
                <w:sz w:val="21"/>
              </w:rPr>
              <w:t>3</w:t>
            </w:r>
            <w:r>
              <w:rPr>
                <w:sz w:val="21"/>
              </w:rPr>
              <w:t>.2.1</w:t>
            </w:r>
            <w:r>
              <w:rPr>
                <w:sz w:val="21"/>
              </w:rPr>
              <w:t>.</w:t>
            </w:r>
            <w:r>
              <w:rPr>
                <w:sz w:val="21"/>
              </w:rPr>
              <w:t>设备：检查站房仪器及辅助设施的工作状况、流量、压力、检漏、灯源、电磁阀以及采样总管、支管、钢瓶等。</w:t>
            </w:r>
          </w:p>
          <w:p>
            <w:pPr>
              <w:ind w:firstLine="630"/>
            </w:pPr>
            <w:r>
              <w:rPr>
                <w:sz w:val="21"/>
              </w:rPr>
              <w:t>3</w:t>
            </w:r>
            <w:r>
              <w:rPr>
                <w:sz w:val="21"/>
              </w:rPr>
              <w:t>.2.2</w:t>
            </w:r>
            <w:r>
              <w:rPr>
                <w:sz w:val="21"/>
              </w:rPr>
              <w:t>.</w:t>
            </w:r>
            <w:r>
              <w:rPr>
                <w:sz w:val="21"/>
              </w:rPr>
              <w:t>数据：确保数据采集正常。</w:t>
            </w:r>
          </w:p>
          <w:p>
            <w:pPr>
              <w:ind w:firstLine="630"/>
            </w:pPr>
            <w:r>
              <w:rPr>
                <w:sz w:val="21"/>
              </w:rPr>
              <w:t>3.2.3</w:t>
            </w:r>
            <w:r>
              <w:rPr>
                <w:sz w:val="21"/>
              </w:rPr>
              <w:t>.</w:t>
            </w:r>
            <w:r>
              <w:rPr>
                <w:sz w:val="21"/>
              </w:rPr>
              <w:t>保养：采样管的清洗，仪器清洗，滤网清洁等。</w:t>
            </w:r>
          </w:p>
          <w:p>
            <w:pPr>
              <w:ind w:firstLine="630"/>
            </w:pPr>
            <w:r>
              <w:rPr>
                <w:sz w:val="21"/>
              </w:rPr>
              <w:t>3</w:t>
            </w:r>
            <w:r>
              <w:rPr>
                <w:sz w:val="21"/>
              </w:rPr>
              <w:t>.2.4</w:t>
            </w:r>
            <w:r>
              <w:rPr>
                <w:sz w:val="21"/>
              </w:rPr>
              <w:t>.</w:t>
            </w:r>
            <w:r>
              <w:rPr>
                <w:sz w:val="21"/>
              </w:rPr>
              <w:t>耗材更换：根据环境状况定期更换，滤膜、介质、滤带、密封圈等。</w:t>
            </w:r>
          </w:p>
          <w:p>
            <w:r>
              <w:rPr>
                <w:sz w:val="21"/>
              </w:rPr>
              <w:t>3</w:t>
            </w:r>
            <w:r>
              <w:rPr>
                <w:sz w:val="21"/>
              </w:rPr>
              <w:t>.2.5</w:t>
            </w:r>
            <w:r>
              <w:rPr>
                <w:sz w:val="21"/>
              </w:rPr>
              <w:t>.</w:t>
            </w:r>
            <w:r>
              <w:rPr>
                <w:sz w:val="21"/>
              </w:rPr>
              <w:t>校准：为了确保系统所测数据的可靠性，根据相关规范要求对各种气体分析仪器进行单点、多点校准，对颗粒物仪器、采样管等进行流量标定及调整，并填写</w:t>
            </w:r>
            <w:r>
              <w:rPr>
                <w:sz w:val="21"/>
              </w:rPr>
              <w:t>“记录表”，标准物质的定期更换；计量用具的定期送检（如有）。</w:t>
            </w:r>
          </w:p>
          <w:p>
            <w:r>
              <w:rPr>
                <w:sz w:val="21"/>
              </w:rPr>
              <w:t>3</w:t>
            </w:r>
            <w:r>
              <w:rPr>
                <w:sz w:val="21"/>
              </w:rPr>
              <w:t>.2.6</w:t>
            </w:r>
            <w:r>
              <w:rPr>
                <w:sz w:val="21"/>
              </w:rPr>
              <w:t>.</w:t>
            </w:r>
            <w:r>
              <w:rPr>
                <w:sz w:val="21"/>
              </w:rPr>
              <w:t>保养</w:t>
            </w:r>
            <w:r>
              <w:rPr>
                <w:sz w:val="21"/>
              </w:rPr>
              <w:t>/维护周期：分为每周、月、季度、半年和年度维护，各项维护工作内容需包含以下项目：</w:t>
            </w:r>
          </w:p>
          <w:p>
            <w:r>
              <w:rPr>
                <w:color w:val="000000"/>
                <w:sz w:val="24"/>
              </w:rPr>
              <w:t>▲</w:t>
            </w:r>
            <w:r>
              <w:rPr>
                <w:sz w:val="21"/>
              </w:rPr>
              <w:t>3</w:t>
            </w:r>
            <w:r>
              <w:rPr>
                <w:sz w:val="21"/>
              </w:rPr>
              <w:t>.2.6.1</w:t>
            </w:r>
            <w:r>
              <w:rPr>
                <w:sz w:val="21"/>
              </w:rPr>
              <w:t>.</w:t>
            </w:r>
            <w:r>
              <w:rPr>
                <w:sz w:val="21"/>
              </w:rPr>
              <w:t>周维护内容：</w:t>
            </w:r>
          </w:p>
          <w:p>
            <w:pPr>
              <w:ind w:firstLine="420"/>
              <w:jc w:val="both"/>
            </w:pPr>
            <w:r>
              <w:rPr>
                <w:sz w:val="21"/>
              </w:rPr>
              <w:t>查看站房附近区域是否异常的污染源或干扰物。检查各监测仪器的运行状况和工作状态参数是否正常。检查标准气钢瓶阀门是否漏气，标准气的消耗情况。检查采样和排气管路是否有漏气或堵塞现象以及各分析仪器采样流量是否正常。检查监测仪器的采样入口与采样支路管线结合部之间安装的过滤膜的污染情况，若发现过滤膜明显污染应及时更换。检查黑碳仪滤带，填写维护记录表。对气体分析仪进行零</w:t>
            </w:r>
            <w:r>
              <w:rPr>
                <w:sz w:val="21"/>
              </w:rPr>
              <w:t>/跨漂校准检查，填写维护记录表（双周维护）。</w:t>
            </w:r>
          </w:p>
          <w:p>
            <w:r>
              <w:rPr>
                <w:color w:val="000000"/>
                <w:sz w:val="24"/>
              </w:rPr>
              <w:t>▲</w:t>
            </w:r>
            <w:r>
              <w:rPr>
                <w:sz w:val="21"/>
              </w:rPr>
              <w:t>3</w:t>
            </w:r>
            <w:r>
              <w:rPr>
                <w:sz w:val="21"/>
              </w:rPr>
              <w:t>.2.6.2</w:t>
            </w:r>
            <w:r>
              <w:rPr>
                <w:sz w:val="21"/>
              </w:rPr>
              <w:t>.</w:t>
            </w:r>
            <w:r>
              <w:rPr>
                <w:sz w:val="21"/>
              </w:rPr>
              <w:t>月维护内容（周维护内容基础上增项）：</w:t>
            </w:r>
          </w:p>
          <w:p>
            <w:r>
              <w:rPr>
                <w:sz w:val="21"/>
              </w:rPr>
              <w:t xml:space="preserve">    清洗站房空调过滤网，防止尘土阻塞空调机过滤网。清洗各监测仪器风扇过滤器。清洗黑碳仪采样头，清洗颗粒物采样头，清洗浊度仪采样头，过氧乙酰硝酸酯（</w:t>
            </w:r>
            <w:r>
              <w:rPr>
                <w:sz w:val="21"/>
              </w:rPr>
              <w:t>PAN）分析仪进行标定，雾滴谱仪清洁光室，浊度仪进行零/标检查，根据情况来进行全校准。反应性气体仪器进行多点校准、检查颗粒物仪器的滤带、滤膜是否需要更换，如需要更换应及时更换，填写维护记录表。</w:t>
            </w:r>
          </w:p>
          <w:p>
            <w:r>
              <w:rPr>
                <w:color w:val="000000"/>
                <w:sz w:val="24"/>
              </w:rPr>
              <w:t>▲</w:t>
            </w:r>
            <w:r>
              <w:rPr>
                <w:sz w:val="21"/>
              </w:rPr>
              <w:t>3</w:t>
            </w:r>
            <w:r>
              <w:rPr>
                <w:sz w:val="21"/>
              </w:rPr>
              <w:t>.2.6.3</w:t>
            </w:r>
            <w:r>
              <w:rPr>
                <w:sz w:val="21"/>
              </w:rPr>
              <w:t>.</w:t>
            </w:r>
            <w:r>
              <w:rPr>
                <w:sz w:val="21"/>
              </w:rPr>
              <w:t>季度维护内容（月维护内容基础上增项）：</w:t>
            </w:r>
          </w:p>
          <w:p>
            <w:pPr>
              <w:ind w:firstLine="420"/>
              <w:jc w:val="both"/>
            </w:pPr>
            <w:r>
              <w:rPr>
                <w:sz w:val="21"/>
              </w:rPr>
              <w:t>系统检查：黑碳仪，浊度仪进行全校准；检查钢瓶及减压阀，估算可用时间；仪器易损件检查，如需要更换应及时更换，填写维护记录表。</w:t>
            </w:r>
          </w:p>
          <w:p>
            <w:r>
              <w:rPr>
                <w:sz w:val="21"/>
              </w:rPr>
              <w:t>3</w:t>
            </w:r>
            <w:r>
              <w:rPr>
                <w:sz w:val="21"/>
              </w:rPr>
              <w:t>.2.6.4</w:t>
            </w:r>
            <w:r>
              <w:rPr>
                <w:sz w:val="21"/>
              </w:rPr>
              <w:t>.</w:t>
            </w:r>
            <w:r>
              <w:rPr>
                <w:sz w:val="21"/>
              </w:rPr>
              <w:t>半年维护内容（季维护内容基础上增项）：</w:t>
            </w:r>
          </w:p>
          <w:p>
            <w:pPr>
              <w:ind w:firstLine="420"/>
              <w:jc w:val="both"/>
            </w:pPr>
            <w:r>
              <w:rPr>
                <w:sz w:val="21"/>
              </w:rPr>
              <w:t>3</w:t>
            </w:r>
            <w:r>
              <w:rPr>
                <w:sz w:val="21"/>
              </w:rPr>
              <w:t>.2.6.4.1</w:t>
            </w:r>
            <w:r>
              <w:rPr>
                <w:sz w:val="21"/>
              </w:rPr>
              <w:t>.</w:t>
            </w:r>
            <w:r>
              <w:rPr>
                <w:sz w:val="21"/>
              </w:rPr>
              <w:t>气体分析仪和颗粒物分析仪按照国家标准、行业标准或厂标要求进行半年度保养；反应性气体分析仪检查流量和进行漏气试验；黑碳仪清洗光室，检查更换一次性过滤器，清洗管路；浊度仪检查更换一次性过滤器，清洗腔室，检漏等；气体分析仪多点校准；过氧乙酰硝酸酯（</w:t>
            </w:r>
            <w:r>
              <w:rPr>
                <w:sz w:val="21"/>
              </w:rPr>
              <w:t>PAN）做ECD老化；附属设施半年保养并填写维护记录表。</w:t>
            </w:r>
          </w:p>
          <w:p>
            <w:pPr>
              <w:ind w:firstLine="420"/>
              <w:jc w:val="both"/>
            </w:pPr>
            <w:r>
              <w:rPr>
                <w:color w:val="000000"/>
                <w:sz w:val="21"/>
              </w:rPr>
              <w:t>▲</w:t>
            </w:r>
            <w:r>
              <w:rPr>
                <w:sz w:val="21"/>
              </w:rPr>
              <w:t>3</w:t>
            </w:r>
            <w:r>
              <w:rPr>
                <w:sz w:val="21"/>
              </w:rPr>
              <w:t>.2.6.4</w:t>
            </w:r>
            <w:r>
              <w:rPr>
                <w:sz w:val="21"/>
              </w:rPr>
              <w:t>.2</w:t>
            </w:r>
            <w:r>
              <w:rPr>
                <w:sz w:val="21"/>
              </w:rPr>
              <w:t>.</w:t>
            </w:r>
            <w:r>
              <w:rPr>
                <w:sz w:val="21"/>
              </w:rPr>
              <w:t>微波辐射计数据标定，液氮定标服务。微波辐射计供电系统、光纤通信系统检查，温度、湿度、风速传感器等传感器模块。微波窗口防水膜更换。</w:t>
            </w:r>
          </w:p>
          <w:p>
            <w:r>
              <w:rPr>
                <w:sz w:val="21"/>
              </w:rPr>
              <w:t>3</w:t>
            </w:r>
            <w:r>
              <w:rPr>
                <w:sz w:val="21"/>
              </w:rPr>
              <w:t>.2.6.5</w:t>
            </w:r>
            <w:r>
              <w:rPr>
                <w:sz w:val="21"/>
              </w:rPr>
              <w:t>.</w:t>
            </w:r>
            <w:r>
              <w:rPr>
                <w:sz w:val="21"/>
              </w:rPr>
              <w:t>年度维护内容（半年维护内容基础上增项）：</w:t>
            </w:r>
          </w:p>
          <w:p>
            <w:pPr>
              <w:ind w:firstLine="420"/>
              <w:jc w:val="both"/>
            </w:pPr>
            <w:r>
              <w:rPr>
                <w:sz w:val="21"/>
              </w:rPr>
              <w:t>3</w:t>
            </w:r>
            <w:r>
              <w:rPr>
                <w:sz w:val="21"/>
              </w:rPr>
              <w:t>.2.6.5</w:t>
            </w:r>
            <w:r>
              <w:rPr>
                <w:sz w:val="21"/>
              </w:rPr>
              <w:t>.1</w:t>
            </w:r>
            <w:r>
              <w:rPr>
                <w:sz w:val="21"/>
              </w:rPr>
              <w:t>.</w:t>
            </w:r>
            <w:r>
              <w:rPr>
                <w:sz w:val="21"/>
              </w:rPr>
              <w:t xml:space="preserve"> </w:t>
            </w:r>
            <w:r>
              <w:rPr>
                <w:sz w:val="21"/>
              </w:rPr>
              <w:t>清洗采样总管、颗粒物采样管、浊度仪采样管等，清洗从总管到监测仪器采样口之间的气路管线；仪器年度维护或更换了关键零部件后，对仪器重新进行多点校准和检查；更换附属设施易损件并填写维护记录表。</w:t>
            </w:r>
          </w:p>
          <w:p>
            <w:pPr>
              <w:jc w:val="both"/>
            </w:pPr>
            <w:r>
              <w:rPr>
                <w:sz w:val="21"/>
              </w:rPr>
              <w:t xml:space="preserve">      </w:t>
            </w:r>
            <w:r>
              <w:rPr>
                <w:color w:val="000000"/>
                <w:sz w:val="21"/>
              </w:rPr>
              <w:t>▲</w:t>
            </w:r>
            <w:r>
              <w:rPr>
                <w:sz w:val="21"/>
              </w:rPr>
              <w:t>3</w:t>
            </w:r>
            <w:r>
              <w:rPr>
                <w:sz w:val="21"/>
              </w:rPr>
              <w:t>.2.6.5</w:t>
            </w:r>
            <w:r>
              <w:rPr>
                <w:sz w:val="21"/>
              </w:rPr>
              <w:t>.2</w:t>
            </w:r>
            <w:r>
              <w:rPr>
                <w:sz w:val="21"/>
              </w:rPr>
              <w:t>.</w:t>
            </w:r>
            <w:r>
              <w:rPr>
                <w:sz w:val="21"/>
              </w:rPr>
              <w:t>风</w:t>
            </w:r>
            <w:r>
              <w:rPr>
                <w:sz w:val="21"/>
              </w:rPr>
              <w:t>廓线</w:t>
            </w:r>
            <w:r>
              <w:rPr>
                <w:sz w:val="21"/>
              </w:rPr>
              <w:t>雷达汛期前巡检、日常保障、年终维护。汛期前巡检时间安排，按照指定检查内容风廓线雷达的附属设施、运行指标检查及性能标定等，具体巡查内容参照。</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三</w:t>
      </w:r>
      <w:r>
        <w:rPr>
          <w:b/>
          <w:sz w:val="24"/>
        </w:rPr>
        <w:t>：</w:t>
      </w:r>
      <w:r>
        <w:rPr>
          <w:b/>
          <w:sz w:val="24"/>
        </w:rPr>
        <w:t>数据分析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p>
          <w:p>
            <w:pPr>
              <w:jc w:val="both"/>
            </w:pPr>
            <w:r>
              <w:rPr>
                <w:sz w:val="21"/>
              </w:rPr>
              <w:t>1</w:t>
            </w:r>
            <w:r>
              <w:rPr>
                <w:sz w:val="21"/>
              </w:rPr>
              <w:t>.</w:t>
            </w:r>
            <w:r>
              <w:rPr>
                <w:sz w:val="21"/>
              </w:rPr>
              <w:t>通过采集分析相关观测数据，分析不同季节大气光化学污染状况，利用后向轨迹模型解析本地排放和跨界输送对臭氧污染的贡献，分析不同气象要素对臭氧生成的影响，以及确立臭氧污染发生时的天气形势等。每季度</w:t>
            </w:r>
            <w:r>
              <w:rPr>
                <w:sz w:val="21"/>
              </w:rPr>
              <w:t>/年撰写中山市空气质量和污染气象条件分析报告，协助中山市气象局完成气象环保会商。</w:t>
            </w:r>
          </w:p>
          <w:p>
            <w:pPr>
              <w:jc w:val="both"/>
            </w:pPr>
            <w:r>
              <w:rPr>
                <w:sz w:val="21"/>
              </w:rPr>
              <w:t>2</w:t>
            </w:r>
            <w:r>
              <w:rPr>
                <w:sz w:val="21"/>
              </w:rPr>
              <w:t>.</w:t>
            </w:r>
            <w:r>
              <w:rPr>
                <w:sz w:val="21"/>
              </w:rPr>
              <w:t>在运维的同时对中山市气象局相关业务人员开展专业仪器观测、数据分析、模式应用、报告撰写等协助工作。通过系统性培训和交流，使相关业务人员了解设备的结构、组成、配置、主要功能等，使其能够独立进行系统配置、操作维护、运行管理、故障分析排查等工作，掌握一定的系统性能优化和升级方法，从技术上和管理上保证系统的正常运行。</w:t>
            </w:r>
          </w:p>
          <w:p>
            <w:pPr>
              <w:jc w:val="both"/>
            </w:pP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1.采购代理机构：本项目是指智林招标（广东）有限公司，负责整个采购活动的组织，依法负责编制和发布磋商文件，对磋商文件拥有最终的解释权，不以任何身份出任磋商小组成员。</w:t>
      </w:r>
    </w:p>
    <w:p>
      <w:pPr>
        <w:ind w:firstLine="480"/>
      </w:pPr>
      <w:r>
        <w:rPr/>
        <w:t>2.采购人：本项目是指</w:t>
      </w:r>
      <w:r>
        <w:rPr/>
        <w:t>中山市气象局</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无：兼投兼中：本项目兼投兼中。</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采购机构代理服务收费标准：参照国家发展计划委员会颁发的[2002]1980号文《招标代理服务收费管理暂行办法》及发改价[2011]534号文的规定下浮20%收取。</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0</w:t>
            </w:r>
            <w:r>
              <w:rPr/>
              <w:t>份。供应商保证该后备步骤。</w:t>
            </w:r>
          </w:p>
          <w:p>
            <w:r>
              <w:rPr/>
              <w:t>（3）纸质响应文件正本</w:t>
            </w:r>
            <w:r>
              <w:rPr/>
              <w:t>0</w:t>
            </w:r>
            <w:r>
              <w:rPr/>
              <w:t>份，纸质响应文件副本</w:t>
            </w:r>
            <w:r>
              <w:rPr/>
              <w:t>0</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请在汇款单上写明本项目的项目名称+中标服务费）：开户银行：中国银行股份有限公司中山中山五路支行，帐号：695172408489，收款人：智林招标（广东）有限公司。</w:t>
            </w:r>
          </w:p>
          <w:p>
            <w:pPr>
              <w:jc w:val="left"/>
            </w:pPr>
            <w:r>
              <w:rPr/>
              <w:t>二、需落实的政府采购政策，1）《政府采购促进中小企业发展管理办法》（财库〔2020〕46号）；2）《关于政府采购支持监狱企业发展有关问题》（财库〔2014〕68号）；3）《关于促进残疾人就业政府采购政策的通知》（财库〔2017〕141号）；4）《关于印发环境标志产品政府 采购品目清单的通知》（财库〔2019〕18号）；5）《关于印发节能产品政府采购品目清单的通知》（财库〔2019〕19号）；6）《关于建立政府强制采购节能产品制度的通知》（国办发〔2007〕51号）；7）《关于运用政府采购政策支持脱贫攻坚的通知》（财库[2019]27号）。</w:t>
            </w:r>
          </w:p>
          <w:p>
            <w:pPr>
              <w:jc w:val="left"/>
            </w:pPr>
            <w:r>
              <w:rPr/>
              <w:t>三、采购标的对应的中小企业划分标准所属行业，其他未列明行业</w:t>
            </w:r>
          </w:p>
          <w:p>
            <w:pPr>
              <w:jc w:val="left"/>
            </w:pPr>
            <w:r>
              <w:rPr/>
              <w:t>四、关于贯彻落实《中国人民银行中山市中心支行 中山市财政局 中山市经济和信息化局 中山市人民政府金融工作局关于印发的通知》的告知，1、根据《中国人民银行中山市中心支行 中山市 财政局 中山市经济和信息化局 中山市人民政府金融工作局关于印发的通知》（中人银发【2017 】82号）规定，凡通过政府采购法定程序取得我市政府采购合同的中小微企业，均可向辖区内开 展政府采购质押融资业务的银行机构申请办理融资业务。2、截至当前，辖区内开展政府采购质押融资业务的银行机构报备的联系方式如下：政府采购质押融资业务的银行机构联系人名单 序号 银行机构 经办部门 联系人 联系方式 1 中国农业发展银行中山市分行 客 户业务部邹可仕 188025 98981 信贷与风险管理部 陈小龙 15889891688 2 中国工商 银行中山分行普惠金融事业部 陈炳 菁 18928108782 普惠金融事业部 杨培鹏 15900085352 3 中国农业银行中山分行 普惠金融事 业部 赖思韵 22644682 4 广发银行中山分行 普惠 金融部 林光宇 888 62643 5 中国邮政储蓄银 行中山市分行 小企业金融部 黄嘉霖138247207 41 6 中山农村商业银 行 总行公司业务部 杜保 森 88884181 7 平安银行中山分行 普惠金融部 林晓冰 13823931817 8 兴业银行中山分行 企 业金融部 刘中芳 0760-88368666-203172 9 招商银行中山分行公司金融事业部 唐庆颖 13924 998608 10 中国光大银行中山分行 公司业 务管理部 张梓颖 076 0-88858067 11 广州银行中 山分行 公司金融部 杨顺龙 88776919 12 中信银行中山分行 普惠金融部 陈廷忠 15113386853 普惠金融部 余超贤 15918291829 13 渤海银行中山分行 公司金融部 李建夏 13631124024、0 760-87911816 分行营业部 徐艺 13928142042、0760-87911808 14 华夏银行中山分行 营 销管理部 叶怡 28137 855 15 东莞银行中山分行 业务部赵荣耀 13042854636/86939959 16 东亚银行（中国）有限公司中山支行 中山支行 王涛89986282/18926998881 17 浦发银行中山 分行 交易银行部 付涛 0760-89982303 3、中小微企业有融资需求的，可通过应收账款融资服务 平台（网址： www.crcrfsp.com）和中山市社会征信和金融服务一体化系统（网址：www.zsyt hxt.zs.gov.cn）向辖区内特定或非特定银行机构咨询并提出融资申请。4、采购人应当及时在应收账款融资服务平台（网址：www.crcrf sp.com）确认债权债务关系，支持中小微企业融资。5、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6、财政部门根据《政府采购法》等相关法规、规章规定，对参加政府采购活动的供应商的不良行为予以记录，并纳入中山市社会征信和金融服务一体化系统，供银行机构融资授信时审慎性参考。</w:t>
            </w:r>
          </w:p>
        </w:tc>
      </w:tr>
      <w:tr>
        <w:tc>
          <w:tcPr>
            <w:tcW w:type="dxa" w:w="1051"/>
          </w:tcPr>
          <w:p>
            <w:pPr>
              <w:jc w:val="center"/>
            </w:pPr>
            <w:r>
              <w:rPr/>
              <w:t>19</w:t>
            </w:r>
          </w:p>
        </w:tc>
        <w:tc>
          <w:tcPr>
            <w:tcW w:type="dxa" w:w="2252"/>
          </w:tcPr>
          <w:p>
            <w:r>
              <w:rPr/>
              <w:t>开标解密时长</w:t>
            </w:r>
          </w:p>
        </w:tc>
        <w:tc>
          <w:tcPr>
            <w:tcW w:type="dxa" w:w="5004"/>
          </w:tcPr>
          <w:p>
            <w:r>
              <w:rPr/>
              <w:t>120分钟</w:t>
            </w: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采购包1：是</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；请各供应商在响应文件递交截止时间前按须知前附表规定的金额递交至</w:t>
      </w:r>
      <w:r>
        <w:rPr/>
        <w:t>智林招标（广东）有限公司</w:t>
      </w:r>
      <w:r>
        <w:rPr/>
        <w:t>，到账情况以开启时</w:t>
      </w:r>
      <w:r>
        <w:rPr/>
        <w:t>智林招标（广东）有限公司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黄先生</w:t>
      </w:r>
    </w:p>
    <w:p>
      <w:pPr>
        <w:ind w:firstLine="480"/>
      </w:pPr>
      <w:r>
        <w:rPr/>
        <w:t>电话：</w:t>
      </w:r>
      <w:r>
        <w:rPr/>
        <w:t>13232352888</w:t>
      </w:r>
    </w:p>
    <w:p>
      <w:pPr>
        <w:ind w:firstLine="480"/>
      </w:pPr>
      <w:r>
        <w:rPr/>
        <w:t>传真：</w:t>
      </w:r>
      <w:r>
        <w:rPr/>
        <w:t>0760-88889687</w:t>
      </w:r>
    </w:p>
    <w:p>
      <w:pPr>
        <w:ind w:firstLine="480"/>
      </w:pPr>
      <w:r>
        <w:rPr/>
        <w:t>邮箱：</w:t>
      </w:r>
      <w:r>
        <w:rPr/>
        <w:t>zhilinzb@163.com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话：0760-88266155、88266862、88266299</w:t>
      </w:r>
    </w:p>
    <w:p>
      <w:r>
        <w:rPr/>
        <w:t>邮  编：528400</w:t>
      </w:r>
    </w:p>
    <w:p>
      <w:r>
        <w:rPr/>
        <w:t>传  真：0760-88266215</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粤港澳大湾区（中山）大气成分野外科学试验基地日常维护运行项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智林招标（广东）有限公司</w:t>
      </w:r>
      <w:r>
        <w:rPr/>
        <w:t>统一对外发布。</w:t>
      </w:r>
    </w:p>
    <w:p>
      <w:pPr>
        <w:ind w:firstLine="480"/>
      </w:pPr>
      <w:r>
        <w:rPr/>
        <w:t>（2）对</w:t>
      </w:r>
      <w:r>
        <w:rPr/>
        <w:t>智林招标（广东）有限公司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4.7不同投标人的电子投标文件制作计算机的网卡MAC地址硬件信息相同的。</w:t>
      </w:r>
    </w:p>
    <w:p>
      <w:pPr>
        <w:ind w:firstLine="480"/>
      </w:pPr>
      <w:r>
        <w:rPr/>
        <w:t>4.8供应商上传的电子响应文件使用该项目其他响应供应商的数字证书加密的或加盖该项目的其他响应供应商的电子印章的。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采购包1（粤港澳大湾区（中山）大气成分野外科学试验基地日常维护运行项目）：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系统抓取并记录到供应商与同项目（采购包）其他投标（响应）供应商电子投标文件制作计算机的网卡MAC地址硬件信息相同的，评标委员会应认定其投标（响应）无效。</w:t>
      </w:r>
    </w:p>
    <w:p>
      <w:pPr>
        <w:ind w:firstLine="480"/>
      </w:pPr>
      <w:r>
        <w:rPr/>
        <w:t>表一资格性审查表：</w:t>
      </w:r>
    </w:p>
    <w:p>
      <w:pPr>
        <w:ind w:firstLine="480"/>
      </w:pPr>
    </w:p>
    <w:p/>
    <w:p>
      <w:r>
        <w:rPr/>
        <w:t>采购包1（粤港澳大湾区（中山）大气成分野外科学试验基地日常维护运行项目）：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或2021年度财务状况报告或基本开户行出具的资信证明或投标截止日前12个月内任意1个月的财务报表，包括:资产负债表、利润表复印件加盖投标人公章）。</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促进中小企业发展</w:t>
            </w:r>
          </w:p>
        </w:tc>
        <w:tc>
          <w:tcPr>
            <w:tcW w:type="dxa" w:w="4238"/>
          </w:tcPr>
          <w:p>
            <w:r>
              <w:rPr/>
              <w:t>采购包整体专门面向中小企业。只允许个体户、中小企业、监狱企业、残疾人福利性单位参与本项目投标。中小企业具体标准根据《工业和信息化部、国家统计局、国家发展和改革委员会、财政部关于印发中小企业划型标准规定的通知》（工信部联企业〔2011〕300号）文件进行划分；监狱企业根据（财库〔2014〕68号）的规定；残疾人福利性单位根据（财库〔2017〕141号）的规定。提供有效的中小企业声明函（或残疾人福利性单位声明函或监狱企业证明文件），否则不予认定。本项目标的按照《中小企业划分标准规定》（工信部联企业[2011]300号）划分行业为：其他未列明行业。</w:t>
            </w:r>
          </w:p>
        </w:tc>
      </w:tr>
    </w:tbl>
    <w:p/>
    <w:p>
      <w:pPr>
        <w:ind w:firstLine="480"/>
      </w:pPr>
      <w:r>
        <w:rPr/>
        <w:t>表二符合性审查表：</w:t>
      </w:r>
    </w:p>
    <w:p>
      <w:pPr>
        <w:ind w:firstLine="480"/>
      </w:pPr>
    </w:p>
    <w:p/>
    <w:p>
      <w:r>
        <w:rPr/>
        <w:t>采购包1（粤港澳大湾区（中山）大气成分野外科学试验基地日常维护运行项目）：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响应文件的制作</w:t>
            </w:r>
          </w:p>
        </w:tc>
        <w:tc>
          <w:tcPr>
            <w:tcW w:type="dxa" w:w="4238"/>
          </w:tcPr>
          <w:p>
            <w:r>
              <w:rPr/>
              <w:t>提交了响应承诺函，响应文件按要求签署、盖章。</w:t>
            </w:r>
          </w:p>
        </w:tc>
      </w:tr>
      <w:tr>
        <w:tc>
          <w:tcPr>
            <w:tcW w:type="dxa" w:w="890"/>
          </w:tcPr>
          <w:p>
            <w:r>
              <w:rPr/>
              <w:t>2</w:t>
            </w:r>
          </w:p>
        </w:tc>
        <w:tc>
          <w:tcPr>
            <w:tcW w:type="dxa" w:w="3178"/>
          </w:tcPr>
          <w:p>
            <w:r>
              <w:rPr/>
              <w:t>响应文件的有效期</w:t>
            </w:r>
          </w:p>
        </w:tc>
        <w:tc>
          <w:tcPr>
            <w:tcW w:type="dxa" w:w="4238"/>
          </w:tcPr>
          <w:p>
            <w:r>
              <w:rPr/>
              <w:t>响应文件的有效期为从提交投标（响应）文件的截止之日起90日历天。</w:t>
            </w:r>
          </w:p>
        </w:tc>
      </w:tr>
      <w:tr>
        <w:tc>
          <w:tcPr>
            <w:tcW w:type="dxa" w:w="890"/>
          </w:tcPr>
          <w:p>
            <w:r>
              <w:rPr/>
              <w:t>3</w:t>
            </w:r>
          </w:p>
        </w:tc>
        <w:tc>
          <w:tcPr>
            <w:tcW w:type="dxa" w:w="3178"/>
          </w:tcPr>
          <w:p>
            <w:r>
              <w:rPr/>
              <w:t>资格证明书及授权委托书</w:t>
            </w:r>
          </w:p>
        </w:tc>
        <w:tc>
          <w:tcPr>
            <w:tcW w:type="dxa" w:w="4238"/>
          </w:tcPr>
          <w:p>
            <w:r>
              <w:rPr/>
              <w:t>法定代表人/负责人资格证明书及授权委托书，按对应格式文件签署、盖章（原件）。</w:t>
            </w:r>
          </w:p>
        </w:tc>
      </w:tr>
      <w:tr>
        <w:tc>
          <w:tcPr>
            <w:tcW w:type="dxa" w:w="890"/>
          </w:tcPr>
          <w:p>
            <w:r>
              <w:rPr/>
              <w:t>4</w:t>
            </w:r>
          </w:p>
        </w:tc>
        <w:tc>
          <w:tcPr>
            <w:tcW w:type="dxa" w:w="3178"/>
          </w:tcPr>
          <w:p>
            <w:r>
              <w:rPr/>
              <w:t>投标报价</w:t>
            </w:r>
          </w:p>
        </w:tc>
        <w:tc>
          <w:tcPr>
            <w:tcW w:type="dxa" w:w="4238"/>
          </w:tcPr>
          <w:p>
            <w:r>
              <w:rPr/>
              <w:t>投标（报价）总金额是固定价且是唯一的，未超过本项目采购预算。</w:t>
            </w:r>
          </w:p>
        </w:tc>
      </w:tr>
      <w:tr>
        <w:tc>
          <w:tcPr>
            <w:tcW w:type="dxa" w:w="890"/>
          </w:tcPr>
          <w:p>
            <w:r>
              <w:rPr/>
              <w:t>5</w:t>
            </w:r>
          </w:p>
        </w:tc>
        <w:tc>
          <w:tcPr>
            <w:tcW w:type="dxa" w:w="3178"/>
          </w:tcPr>
          <w:p>
            <w:r>
              <w:rPr/>
              <w:t>带“★”号条款</w:t>
            </w:r>
          </w:p>
        </w:tc>
        <w:tc>
          <w:tcPr>
            <w:tcW w:type="dxa" w:w="4238"/>
          </w:tcPr>
          <w:p>
            <w:r>
              <w:rPr/>
              <w:t>实质性满足采购需求中的带“★”号条款要求。</w:t>
            </w:r>
          </w:p>
        </w:tc>
      </w:tr>
      <w:tr>
        <w:tc>
          <w:tcPr>
            <w:tcW w:type="dxa" w:w="890"/>
          </w:tcPr>
          <w:p>
            <w:r>
              <w:rPr/>
              <w:t>6</w:t>
            </w:r>
          </w:p>
        </w:tc>
        <w:tc>
          <w:tcPr>
            <w:tcW w:type="dxa" w:w="3178"/>
          </w:tcPr>
          <w:p>
            <w:r>
              <w:rPr/>
              <w:t>商务要求响应情况</w:t>
            </w:r>
          </w:p>
        </w:tc>
        <w:tc>
          <w:tcPr>
            <w:tcW w:type="dxa" w:w="4238"/>
          </w:tcPr>
          <w:p>
            <w:r>
              <w:rPr/>
              <w:t>商务条款是否完全响应且无偏离。</w:t>
            </w:r>
          </w:p>
        </w:tc>
      </w:tr>
      <w:tr>
        <w:tc>
          <w:tcPr>
            <w:tcW w:type="dxa" w:w="890"/>
          </w:tcPr>
          <w:p>
            <w:r>
              <w:rPr/>
              <w:t>7</w:t>
            </w:r>
          </w:p>
        </w:tc>
        <w:tc>
          <w:tcPr>
            <w:tcW w:type="dxa" w:w="3178"/>
          </w:tcPr>
          <w:p>
            <w:r>
              <w:rPr/>
              <w:t>其他情形</w:t>
            </w:r>
          </w:p>
        </w:tc>
        <w:tc>
          <w:tcPr>
            <w:tcW w:type="dxa" w:w="4238"/>
          </w:tcPr>
          <w:p>
            <w:r>
              <w:rPr/>
              <w:t>无磋商文件或法规明确规定可以废标的其他情形。</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粤港澳大湾区（中山）大气成分野外科学试验基地日常维护运行项目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技术部分65.0分</w:t>
            </w:r>
          </w:p>
          <w:p>
            <w:r>
              <w:rPr/>
              <w:t>报价得分15.0分</w:t>
            </w:r>
          </w:p>
        </w:tc>
      </w:tr>
      <w:tr>
        <w:tc>
          <w:tcPr>
            <w:tcW w:type="dxa" w:w="922"/>
            <w:gridSpan w:val="2"/>
            <w:vMerge w:val="restart"/>
          </w:tcPr>
          <w:p>
            <w:pPr>
              <w:jc w:val="center"/>
            </w:pPr>
            <w:r>
              <w:rPr/>
              <w:t>技术部分</w:t>
            </w:r>
          </w:p>
        </w:tc>
        <w:tc>
          <w:tcPr>
            <w:tcW w:type="dxa" w:w="2307"/>
          </w:tcPr>
          <w:p>
            <w:pPr>
              <w:jc w:val="left"/>
            </w:pPr>
            <w:r>
              <w:rPr/>
              <w:t>对磋商文件第二章《采购需求》中“具体技术(参数)要求”条款的响应情况 (14.0分)</w:t>
            </w:r>
          </w:p>
        </w:tc>
        <w:tc>
          <w:tcPr>
            <w:tcW w:type="dxa" w:w="5076"/>
          </w:tcPr>
          <w:p>
            <w:pPr>
              <w:jc w:val="left"/>
            </w:pPr>
            <w:r>
              <w:rPr/>
              <w:t>考核报价人对磋商文件第二章《采购需求》中附表一、附表二、附表三“具体技术(参数)要求”中所有条款的响应程度（每条条款最小一级序号均以一项计算）： 1.完全响应技术要求的得14分； 2.“▲”条款参数每负偏离一项扣3分， 本项共9分，扣完为止； 3.非“▲”条款每负偏离一项扣1分，本项共5分，扣完为止。  注：如采购需求中有明确需要提供证明资料的，以采购需求中要求的为准，无或未按要求提供证明材料的不得分；如采购需求中无明确证明材料的，则以报价人响应文件中的《技术和服务要求响应表》中的响应情况按要求填写内容为准，未填写的视为负偏离。</w:t>
            </w:r>
          </w:p>
        </w:tc>
      </w:tr>
      <w:tr>
        <w:tc>
          <w:tcPr>
            <w:tcW w:type="dxa" w:w="922"/>
            <w:gridSpan w:val="2"/>
            <w:vMerge/>
          </w:tcPr>
          <w:p/>
        </w:tc>
        <w:tc>
          <w:tcPr>
            <w:tcW w:type="dxa" w:w="2307"/>
          </w:tcPr>
          <w:p>
            <w:pPr>
              <w:jc w:val="left"/>
            </w:pPr>
            <w:r>
              <w:rPr/>
              <w:t>对本项目现场情况的了解、重点难点的认识 (11.0分)</w:t>
            </w:r>
            <w:r>
              <w:rPr/>
              <w:t>，（等次分值选择：</w:t>
            </w:r>
            <w:r>
              <w:rPr/>
              <w:t>0.0;</w:t>
            </w:r>
            <w:r>
              <w:rPr/>
              <w:t>3.0;</w:t>
            </w:r>
            <w:r>
              <w:rPr/>
              <w:t>7.0;</w:t>
            </w:r>
            <w:r>
              <w:rPr/>
              <w:t>11.0;</w:t>
            </w:r>
            <w:r>
              <w:rPr/>
              <w:t>）</w:t>
            </w:r>
          </w:p>
        </w:tc>
        <w:tc>
          <w:tcPr>
            <w:tcW w:type="dxa" w:w="5076"/>
          </w:tcPr>
          <w:p>
            <w:pPr>
              <w:jc w:val="left"/>
            </w:pPr>
            <w:r>
              <w:rPr/>
              <w:t>根据报价人对本项目的现场情况是否了解，重点难点的认识是否充分具体进行评审： 1.对本项目现场情况熟悉、了解，对项目作业重点、难点认识充分并有应对措施，得11分； 2.对本项目现场情况较熟悉、较了解，对项目作业重点、难点认识较充分并有一定的应对措施，得7分； 3.对本项目现场情况不熟悉、不了解，对项目作业重点、难点认识不充分，没有应对措施，得3分； 4.不提供相关表述不得分。</w:t>
            </w:r>
          </w:p>
        </w:tc>
      </w:tr>
      <w:tr>
        <w:tc>
          <w:tcPr>
            <w:tcW w:type="dxa" w:w="922"/>
            <w:gridSpan w:val="2"/>
            <w:vMerge/>
          </w:tcPr>
          <w:p/>
        </w:tc>
        <w:tc>
          <w:tcPr>
            <w:tcW w:type="dxa" w:w="2307"/>
          </w:tcPr>
          <w:p>
            <w:pPr>
              <w:jc w:val="left"/>
            </w:pPr>
            <w:r>
              <w:rPr/>
              <w:t>实施方案 (13.0分)</w:t>
            </w:r>
            <w:r>
              <w:rPr/>
              <w:t>，（等次分值选择：</w:t>
            </w:r>
            <w:r>
              <w:rPr/>
              <w:t>0.0;</w:t>
            </w:r>
            <w:r>
              <w:rPr/>
              <w:t>1.0;</w:t>
            </w:r>
            <w:r>
              <w:rPr/>
              <w:t>5.0;</w:t>
            </w:r>
            <w:r>
              <w:rPr/>
              <w:t>9.0;</w:t>
            </w:r>
            <w:r>
              <w:rPr/>
              <w:t>13.0;</w:t>
            </w:r>
            <w:r>
              <w:rPr/>
              <w:t>）</w:t>
            </w:r>
          </w:p>
        </w:tc>
        <w:tc>
          <w:tcPr>
            <w:tcW w:type="dxa" w:w="5076"/>
          </w:tcPr>
          <w:p>
            <w:pPr>
              <w:jc w:val="left"/>
            </w:pPr>
            <w:r>
              <w:rPr/>
              <w:t>根据报价人提供的实施方案（包括但不限于项目工作方案、项目实施进度等）进行评审： 1.实施方案非常详细、具体、内容齐全，得13分； 2.实施方案较详细、具体、内容较齐全，得9分； 3.实施方案基本详细、具体、内容基本齐全，得5分； 4.实施方案一般详细、具体、内容不齐全，得1分； 5.不提供方案不得分。</w:t>
            </w:r>
          </w:p>
        </w:tc>
      </w:tr>
      <w:tr>
        <w:tc>
          <w:tcPr>
            <w:tcW w:type="dxa" w:w="922"/>
            <w:gridSpan w:val="2"/>
            <w:vMerge/>
          </w:tcPr>
          <w:p/>
        </w:tc>
        <w:tc>
          <w:tcPr>
            <w:tcW w:type="dxa" w:w="2307"/>
          </w:tcPr>
          <w:p>
            <w:pPr>
              <w:jc w:val="left"/>
            </w:pPr>
            <w:r>
              <w:rPr/>
              <w:t>服务便利性方案 (13.0分)</w:t>
            </w:r>
            <w:r>
              <w:rPr/>
              <w:t>，（等次分值选择：</w:t>
            </w:r>
            <w:r>
              <w:rPr/>
              <w:t>0.0;</w:t>
            </w:r>
            <w:r>
              <w:rPr/>
              <w:t>1.0;</w:t>
            </w:r>
            <w:r>
              <w:rPr/>
              <w:t>5.0;</w:t>
            </w:r>
            <w:r>
              <w:rPr/>
              <w:t>9.0;</w:t>
            </w:r>
            <w:r>
              <w:rPr/>
              <w:t>13.0;</w:t>
            </w:r>
            <w:r>
              <w:rPr/>
              <w:t>）</w:t>
            </w:r>
          </w:p>
        </w:tc>
        <w:tc>
          <w:tcPr>
            <w:tcW w:type="dxa" w:w="5076"/>
          </w:tcPr>
          <w:p>
            <w:pPr>
              <w:jc w:val="left"/>
            </w:pPr>
            <w:r>
              <w:rPr/>
              <w:t>根据报价人服务便利性情况（办公环境、距离远近、交通状况）及方案进行评审： 1.投标人提供服务便利性方案周全、详尽、可行，响应迅速，处理问题能力强，得13分； 2.投标人提供服务便利性方案比较周全、详尽、可行，响应较迅速，处理问题能力较强，得9分； 3.投标人提供服务便利性方案不太具体、可行，响应慢，处理问题能力差，得5分； 4.投标人提供服务便利性方案不具体、不可行，响应慢，处理问题能力差，得1分； 5.不提供方案不得分。</w:t>
            </w:r>
          </w:p>
        </w:tc>
      </w:tr>
      <w:tr>
        <w:tc>
          <w:tcPr>
            <w:tcW w:type="dxa" w:w="922"/>
            <w:gridSpan w:val="2"/>
            <w:vMerge/>
          </w:tcPr>
          <w:p/>
        </w:tc>
        <w:tc>
          <w:tcPr>
            <w:tcW w:type="dxa" w:w="2307"/>
          </w:tcPr>
          <w:p>
            <w:pPr>
              <w:jc w:val="left"/>
            </w:pPr>
            <w:r>
              <w:rPr/>
              <w:t>进度安排及保障措施 (14.0分)</w:t>
            </w:r>
            <w:r>
              <w:rPr/>
              <w:t>，（等次分值选择：</w:t>
            </w:r>
            <w:r>
              <w:rPr/>
              <w:t>0.0;</w:t>
            </w:r>
            <w:r>
              <w:rPr/>
              <w:t>2.0;</w:t>
            </w:r>
            <w:r>
              <w:rPr/>
              <w:t>6.0;</w:t>
            </w:r>
            <w:r>
              <w:rPr/>
              <w:t>10.0;</w:t>
            </w:r>
            <w:r>
              <w:rPr/>
              <w:t>14.0;</w:t>
            </w:r>
            <w:r>
              <w:rPr/>
              <w:t>）</w:t>
            </w:r>
          </w:p>
        </w:tc>
        <w:tc>
          <w:tcPr>
            <w:tcW w:type="dxa" w:w="5076"/>
          </w:tcPr>
          <w:p>
            <w:pPr>
              <w:jc w:val="left"/>
            </w:pPr>
            <w:r>
              <w:rPr/>
              <w:t>对报价人工作进度计划安排及保障措施，进度计划、运行保障方案的科学合理性，并结合其作出的保障措施的可行性，包括针对项目实施的时间、人员计划，培训计划等内容进行评审： 1.进度计划、运行保障方案具有科学合理性，针对项目实施的保障措施全面、合理、有针对性、可行性好，得14分； 2.进度计划、运行保障方案较科学、合理，针对项目实施的保障措施较全面、合理、较有针对性、可行性较好，得10分； 3.进度计划、运行保障方案科学合理性一般，针对项目实施的保障措施一般、针对性及可行性一般，得6分； 4.进度计划、运行保障方案科学合理性较差，针对项目实施的保障措施不全面、针对性及可行性差，得2分； 5.未提供不得分。</w:t>
            </w:r>
          </w:p>
        </w:tc>
      </w:tr>
      <w:tr>
        <w:tc>
          <w:tcPr>
            <w:tcW w:type="dxa" w:w="922"/>
            <w:gridSpan w:val="2"/>
            <w:vMerge w:val="restart"/>
          </w:tcPr>
          <w:p>
            <w:pPr>
              <w:jc w:val="center"/>
            </w:pPr>
            <w:r>
              <w:rPr/>
              <w:t>商务部分</w:t>
            </w:r>
          </w:p>
        </w:tc>
        <w:tc>
          <w:tcPr>
            <w:tcW w:type="dxa" w:w="2307"/>
          </w:tcPr>
          <w:p>
            <w:pPr>
              <w:jc w:val="left"/>
            </w:pPr>
            <w:r>
              <w:rPr/>
              <w:t>同类项目业绩 (5.0分)</w:t>
            </w:r>
          </w:p>
        </w:tc>
        <w:tc>
          <w:tcPr>
            <w:tcW w:type="dxa" w:w="5076"/>
          </w:tcPr>
          <w:p>
            <w:pPr>
              <w:jc w:val="left"/>
            </w:pPr>
            <w:r>
              <w:rPr/>
              <w:t>磋商小组应根据报价人提供的业绩情况进行评审： 2019年1月1日以来（以合同签订日期为准）报价人承担（大气成分项目、气象设备）建设或维修等相关同类项目，每提供一个项目业绩得1分，最多得5分。  注：1.按磋商文件格式十五填写《投标人业绩情况表》并提供业绩合同关键页复印件并加盖公章（《投标人业绩情况表》里客户名称、项目名称及合同金额、签订合同时间为必填项；关键页内容必须清晰阐明项目名称、双方单位名称、合同签订日期、合同履行主要内容）。 2.通过合同关键信息无法判断是否得分的，也可以提供能证明得分的其它证明资料，如项目报告或合同甲方出具的证明文件等。 3.未按要求提供的不得分。</w:t>
            </w:r>
          </w:p>
        </w:tc>
      </w:tr>
      <w:tr>
        <w:tc>
          <w:tcPr>
            <w:tcW w:type="dxa" w:w="922"/>
            <w:gridSpan w:val="2"/>
            <w:vMerge/>
          </w:tcPr>
          <w:p/>
        </w:tc>
        <w:tc>
          <w:tcPr>
            <w:tcW w:type="dxa" w:w="2307"/>
          </w:tcPr>
          <w:p>
            <w:pPr>
              <w:jc w:val="left"/>
            </w:pPr>
            <w:r>
              <w:rPr/>
              <w:t>企业体系认证 (3.0分)</w:t>
            </w:r>
          </w:p>
        </w:tc>
        <w:tc>
          <w:tcPr>
            <w:tcW w:type="dxa" w:w="5076"/>
          </w:tcPr>
          <w:p>
            <w:pPr>
              <w:jc w:val="left"/>
            </w:pPr>
            <w:r>
              <w:rPr/>
              <w:t>1.报价人具有有效的质量管理体系认证证书，得1分； 2.报价人具有有效的环境管理体系认证证书，得1分； 3.报价人具有有效的职业健康安全管理体系认证证书，得1分； 注：须提供相关证书复印件并加盖公章，不提供不得分。</w:t>
            </w:r>
          </w:p>
        </w:tc>
      </w:tr>
      <w:tr>
        <w:tc>
          <w:tcPr>
            <w:tcW w:type="dxa" w:w="922"/>
            <w:gridSpan w:val="2"/>
            <w:vMerge/>
          </w:tcPr>
          <w:p/>
        </w:tc>
        <w:tc>
          <w:tcPr>
            <w:tcW w:type="dxa" w:w="2307"/>
          </w:tcPr>
          <w:p>
            <w:pPr>
              <w:jc w:val="left"/>
            </w:pPr>
            <w:r>
              <w:rPr/>
              <w:t>拟投入本项目的项目团队成员情况 (12.0分)</w:t>
            </w:r>
          </w:p>
        </w:tc>
        <w:tc>
          <w:tcPr>
            <w:tcW w:type="dxa" w:w="5076"/>
          </w:tcPr>
          <w:p>
            <w:pPr>
              <w:jc w:val="left"/>
            </w:pPr>
            <w:r>
              <w:rPr/>
              <w:t>根据拟投入本项目的项目团队成员情况进行评审： 1.项目实施团队（含项目负责人）具备大气、气象等相关专业技术人员，具有高级或以上职称证书，每提供一个得2分，本项最多得6分。每个证书不重复记分。  2.项目实施团队具备大气、气象相关专业的工程师，每提供一个初级或以上职称证书的得1分，本项最多得6分； 每个证书不重复记分。  注：响应文件中需提供团队人员名单、职称证书材料复印件并加盖公章，不提供不得分。</w:t>
            </w:r>
          </w:p>
        </w:tc>
      </w:tr>
      <w:tr>
        <w:tc>
          <w:tcPr>
            <w:tcW w:type="dxa" w:w="922"/>
            <w:gridSpan w:val="2"/>
          </w:tcPr>
          <w:p>
            <w:pPr>
              <w:jc w:val="center"/>
            </w:pPr>
            <w:r>
              <w:rPr/>
              <w:t>投标报价</w:t>
            </w:r>
          </w:p>
        </w:tc>
        <w:tc>
          <w:tcPr>
            <w:tcW w:type="dxa" w:w="2307"/>
          </w:tcPr>
          <w:p>
            <w:pPr>
              <w:jc w:val="left"/>
            </w:pPr>
            <w:r>
              <w:rPr/>
              <w:t>投标报价得分 (15.0分)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6.1.按照评标程序、评分标准以及权重分配的规定，磋商小组各成员分别首先就各个供应商的技术商务状况及其对磋商文件要求的响应情况进行评议和比较，评出其技术商务评分。各评委的技术商务评分的算术平均值即为该供应商的技术商务得分。然后，评出供应商的价格得分。将各供应商的技术商务得分和价格得分相加得出其综合得分。磋商小组出具评审报告，并推荐成交候选人名单。6.2.本项目推荐3名成交候选人。将综合得分由高到低顺序排列。综合得分相同的，按下列顺序比较确定：（1）评审价格（由低到高）；（2）技术商务得分（由高到低）。如以上都相同的，由磋商小组抽签确定。第一成交候选人放弃成交或成交资格被依法确认无效的，采购人可以按照排序从其他成交候选人中确定成交供应商，没有其他成交候选人的，重新组织采购活动。</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rPr>
        <w:t xml:space="preserve"> </w:t>
      </w:r>
    </w:p>
    <w:p>
      <w:pPr>
        <w:jc w:val="center"/>
      </w:pPr>
      <w:r>
        <w:rPr>
          <w:b/>
        </w:rPr>
        <w:t xml:space="preserve"> </w:t>
      </w:r>
    </w:p>
    <w:p>
      <w:pPr>
        <w:jc w:val="center"/>
      </w:pPr>
      <w:r>
        <w:rPr>
          <w:b/>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b/>
        </w:rPr>
        <w:t xml:space="preserve"> </w:t>
      </w:r>
    </w:p>
    <w:p>
      <w:pPr>
        <w:jc w:val="center"/>
      </w:pPr>
      <w:r>
        <w:rPr>
          <w:b/>
          <w:sz w:val="27"/>
        </w:rPr>
        <w:t>广东省政府采购</w:t>
      </w:r>
    </w:p>
    <w:p>
      <w:pPr>
        <w:jc w:val="both"/>
      </w:pPr>
      <w:r>
        <w:rPr>
          <w:color w:val="222222"/>
          <w:sz w:val="27"/>
        </w:rPr>
        <w:t xml:space="preserve"> </w:t>
      </w:r>
    </w:p>
    <w:p>
      <w:pPr>
        <w:jc w:val="center"/>
      </w:pPr>
      <w:r>
        <w:rPr>
          <w:b/>
          <w:sz w:val="27"/>
        </w:rPr>
        <w:t>合　同　书</w:t>
      </w:r>
    </w:p>
    <w:p>
      <w:pPr>
        <w:jc w:val="center"/>
      </w:pPr>
      <w:r>
        <w:br/>
      </w:r>
      <w:r>
        <w:rPr>
          <w:b/>
          <w:color w:val="222222"/>
          <w:sz w:val="24"/>
        </w:rPr>
        <w:t>（仅供参考，双方在签订合同时可根据实际情况作相应修改）</w:t>
      </w:r>
      <w:r>
        <w:br/>
      </w:r>
      <w:r>
        <w:br/>
      </w:r>
      <w:r>
        <w:br/>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pPr>
        <w:jc w:val="both"/>
      </w:pPr>
      <w:r>
        <w:br/>
      </w:r>
      <w:r>
        <w:rPr>
          <w:color w:val="222222"/>
          <w:sz w:val="27"/>
        </w:rPr>
        <w:t xml:space="preserve"> </w:t>
      </w:r>
    </w:p>
    <w:p>
      <w:pPr>
        <w:jc w:val="both"/>
      </w:pPr>
      <w:r>
        <w:rPr/>
        <w:t xml:space="preserve"> </w:t>
      </w:r>
    </w:p>
    <w:p>
      <w:pPr>
        <w:jc w:val="both"/>
      </w:pPr>
      <w:r>
        <w:rPr>
          <w:b/>
        </w:rPr>
        <w:t>甲方：</w:t>
      </w:r>
      <w:r>
        <w:rPr>
          <w:b/>
        </w:rPr>
        <w:t xml:space="preserve"> </w:t>
      </w:r>
      <w:r>
        <w:rPr>
          <w:u w:val="single"/>
        </w:rPr>
        <w:t>　　　　　</w:t>
      </w:r>
      <w:r>
        <w:rPr>
          <w:u w:val="single"/>
        </w:rPr>
        <w:t xml:space="preserve"> </w:t>
      </w:r>
      <w:r>
        <w:rPr>
          <w:u w:val="single"/>
        </w:rPr>
        <w:t xml:space="preserve"> </w:t>
      </w:r>
    </w:p>
    <w:p>
      <w:pPr>
        <w:jc w:val="both"/>
      </w:pPr>
      <w:r>
        <w:rPr>
          <w:color w:val="222222"/>
          <w:sz w:val="27"/>
        </w:rPr>
        <w:t>电话：</w:t>
      </w:r>
      <w:r>
        <w:rPr>
          <w:color w:val="222222"/>
          <w:sz w:val="27"/>
        </w:rPr>
        <w:t xml:space="preserve"> </w:t>
      </w:r>
      <w:r>
        <w:rPr>
          <w:u w:val="single"/>
        </w:rPr>
        <w:t>　　　　</w:t>
      </w:r>
      <w:r>
        <w:rPr>
          <w:u w:val="single"/>
        </w:rPr>
        <w:t xml:space="preserve"> </w:t>
      </w:r>
      <w:r>
        <w:rPr>
          <w:u w:val="single"/>
        </w:rPr>
        <w:t xml:space="preserve"> </w:t>
      </w:r>
      <w:r>
        <w:rPr>
          <w:color w:val="222222"/>
          <w:sz w:val="27"/>
        </w:rPr>
        <w:t>传真</w:t>
      </w:r>
      <w:r>
        <w:rPr>
          <w:color w:val="222222"/>
          <w:sz w:val="27"/>
        </w:rPr>
        <w:t xml:space="preserve"> </w:t>
      </w:r>
      <w:r>
        <w:rPr>
          <w:color w:val="222222"/>
          <w:sz w:val="27"/>
        </w:rPr>
        <w:t>：</w:t>
      </w:r>
      <w:r>
        <w:rPr>
          <w:color w:val="222222"/>
          <w:sz w:val="27"/>
        </w:rPr>
        <w:t xml:space="preserve"> </w:t>
      </w:r>
      <w:r>
        <w:rPr>
          <w:u w:val="single"/>
        </w:rPr>
        <w:t>　　　</w:t>
      </w:r>
      <w:r>
        <w:rPr>
          <w:u w:val="single"/>
        </w:rPr>
        <w:t xml:space="preserve"> </w:t>
      </w:r>
      <w:r>
        <w:rPr>
          <w:u w:val="single"/>
        </w:rPr>
        <w:t xml:space="preserve"> </w:t>
      </w:r>
      <w:r>
        <w:rPr>
          <w:color w:val="222222"/>
          <w:sz w:val="27"/>
        </w:rPr>
        <w:t>地址：</w:t>
      </w:r>
      <w:r>
        <w:rPr>
          <w:color w:val="222222"/>
          <w:sz w:val="27"/>
        </w:rPr>
        <w:t xml:space="preserve"> </w:t>
      </w:r>
      <w:r>
        <w:rPr>
          <w:u w:val="single"/>
        </w:rPr>
        <w:t>　　　</w:t>
      </w:r>
      <w:r>
        <w:rPr>
          <w:u w:val="single"/>
        </w:rPr>
        <w:t xml:space="preserve"> </w:t>
      </w:r>
      <w:r>
        <w:rPr>
          <w:u w:val="single"/>
        </w:rPr>
        <w:t xml:space="preserve"> </w:t>
      </w:r>
      <w:r>
        <w:rPr>
          <w:u w:val="single"/>
        </w:rPr>
        <w:t xml:space="preserve"> </w:t>
      </w:r>
    </w:p>
    <w:p>
      <w:pPr>
        <w:jc w:val="both"/>
      </w:pPr>
      <w:r>
        <w:rPr>
          <w:b/>
        </w:rPr>
        <w:t>乙方：</w:t>
      </w:r>
      <w:r>
        <w:rPr>
          <w:b/>
        </w:rPr>
        <w:t xml:space="preserve"> </w:t>
      </w:r>
      <w:r>
        <w:rPr>
          <w:u w:val="single"/>
        </w:rPr>
        <w:t>　　　　　</w:t>
      </w:r>
      <w:r>
        <w:rPr>
          <w:u w:val="single"/>
        </w:rPr>
        <w:t xml:space="preserve"> </w:t>
      </w:r>
      <w:r>
        <w:rPr>
          <w:u w:val="single"/>
        </w:rPr>
        <w:t xml:space="preserve"> </w:t>
      </w:r>
    </w:p>
    <w:p>
      <w:pPr>
        <w:jc w:val="both"/>
      </w:pPr>
      <w:r>
        <w:rPr>
          <w:color w:val="222222"/>
          <w:sz w:val="27"/>
        </w:rPr>
        <w:t>电话：</w:t>
      </w:r>
      <w:r>
        <w:rPr>
          <w:color w:val="222222"/>
          <w:sz w:val="27"/>
        </w:rPr>
        <w:t xml:space="preserve"> </w:t>
      </w:r>
      <w:r>
        <w:rPr>
          <w:u w:val="single"/>
        </w:rPr>
        <w:t>　　　　</w:t>
      </w:r>
      <w:r>
        <w:rPr>
          <w:u w:val="single"/>
        </w:rPr>
        <w:t xml:space="preserve"> </w:t>
      </w:r>
      <w:r>
        <w:rPr>
          <w:u w:val="single"/>
        </w:rPr>
        <w:t xml:space="preserve"> </w:t>
      </w:r>
      <w:r>
        <w:rPr>
          <w:u w:val="single"/>
        </w:rPr>
        <w:t xml:space="preserve"> </w:t>
      </w:r>
      <w:r>
        <w:rPr>
          <w:color w:val="222222"/>
          <w:sz w:val="27"/>
        </w:rPr>
        <w:t>传真：</w:t>
      </w:r>
      <w:r>
        <w:rPr>
          <w:u w:val="single"/>
        </w:rPr>
        <w:t>　　　</w:t>
      </w:r>
      <w:r>
        <w:rPr>
          <w:u w:val="single"/>
        </w:rPr>
        <w:t xml:space="preserve"> </w:t>
      </w:r>
      <w:r>
        <w:rPr>
          <w:u w:val="single"/>
        </w:rPr>
        <w:t xml:space="preserve"> </w:t>
      </w:r>
      <w:r>
        <w:rPr>
          <w:u w:val="single"/>
        </w:rPr>
        <w:t xml:space="preserve"> </w:t>
      </w:r>
      <w:r>
        <w:rPr>
          <w:color w:val="222222"/>
          <w:sz w:val="27"/>
        </w:rPr>
        <w:t>地址：</w:t>
      </w:r>
      <w:r>
        <w:rPr>
          <w:color w:val="222222"/>
          <w:sz w:val="27"/>
        </w:rPr>
        <w:t xml:space="preserve"> </w:t>
      </w:r>
      <w:r>
        <w:rPr>
          <w:u w:val="single"/>
        </w:rPr>
        <w:t>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both"/>
      </w:pPr>
      <w:r>
        <w:rPr>
          <w:color w:val="222222"/>
          <w:sz w:val="27"/>
        </w:rPr>
        <w:t xml:space="preserve"> </w:t>
      </w:r>
      <w:r>
        <w:rPr>
          <w:color w:val="222222"/>
          <w:sz w:val="27"/>
        </w:rPr>
        <w:t xml:space="preserve"> </w:t>
      </w:r>
      <w:r>
        <w:rPr>
          <w:color w:val="222222"/>
          <w:sz w:val="27"/>
        </w:rPr>
        <w:t>根据</w:t>
      </w:r>
      <w:r>
        <w:rPr>
          <w:color w:val="222222"/>
          <w:sz w:val="27"/>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color w:val="222222"/>
          <w:sz w:val="27"/>
        </w:rPr>
        <w:t>的采购结果，按照《中华人民共和国政府采购法》，《</w:t>
      </w:r>
      <w:r>
        <w:rPr>
          <w:color w:val="222222"/>
          <w:sz w:val="27"/>
        </w:rPr>
        <w:t>中华人民共和国民法典(合同编)</w:t>
      </w:r>
      <w:r>
        <w:rPr>
          <w:color w:val="222222"/>
          <w:sz w:val="27"/>
        </w:rPr>
        <w:t>》的规定，经双方协商，本着平等互利和诚实信用的原则，一致同意遵守本合同如下。</w:t>
      </w:r>
    </w:p>
    <w:p>
      <w:pPr>
        <w:jc w:val="both"/>
      </w:pPr>
      <w:r>
        <w:rPr>
          <w:b/>
        </w:rPr>
        <w:t>一、合同金额</w:t>
      </w:r>
    </w:p>
    <w:p>
      <w:pPr>
        <w:jc w:val="both"/>
      </w:pPr>
      <w:r>
        <w:rPr>
          <w:color w:val="222222"/>
          <w:sz w:val="27"/>
        </w:rPr>
        <w:t>　　合同金额为（大写）：_____________元（￥_________元）人民币。</w:t>
      </w:r>
    </w:p>
    <w:p>
      <w:pPr>
        <w:jc w:val="both"/>
      </w:pPr>
      <w:r>
        <w:rPr>
          <w:b/>
        </w:rPr>
        <w:t>二、服务范围</w:t>
      </w:r>
    </w:p>
    <w:p>
      <w:pPr>
        <w:jc w:val="both"/>
      </w:pPr>
      <w:r>
        <w:rPr>
          <w:color w:val="222222"/>
          <w:sz w:val="27"/>
        </w:rPr>
        <w:t>　　甲方聘请乙方提供以下服务：</w:t>
      </w:r>
    </w:p>
    <w:p>
      <w:pPr>
        <w:jc w:val="both"/>
      </w:pPr>
      <w:r>
        <w:rPr>
          <w:color w:val="222222"/>
          <w:sz w:val="27"/>
        </w:rPr>
        <w:t>　　1．</w:t>
      </w:r>
      <w:r>
        <w:rPr>
          <w:u w:val="single"/>
        </w:rPr>
        <w:t>　　　　　　　　　　　</w:t>
      </w:r>
      <w:r>
        <w:rPr>
          <w:color w:val="222222"/>
          <w:sz w:val="27"/>
        </w:rPr>
        <w:t>。</w:t>
      </w:r>
    </w:p>
    <w:p>
      <w:pPr>
        <w:jc w:val="both"/>
      </w:pPr>
      <w:r>
        <w:rPr>
          <w:color w:val="222222"/>
          <w:sz w:val="27"/>
        </w:rPr>
        <w:t>　　2．</w:t>
      </w:r>
      <w:r>
        <w:rPr>
          <w:u w:val="single"/>
        </w:rPr>
        <w:t>　　　　　　　　　　　</w:t>
      </w:r>
    </w:p>
    <w:p>
      <w:pPr>
        <w:jc w:val="both"/>
      </w:pPr>
      <w:r>
        <w:rPr>
          <w:color w:val="222222"/>
          <w:sz w:val="27"/>
        </w:rPr>
        <w:t>……</w:t>
      </w:r>
    </w:p>
    <w:p>
      <w:pPr>
        <w:jc w:val="both"/>
      </w:pPr>
      <w:r>
        <w:rPr>
          <w:b/>
        </w:rPr>
        <w:t>三、甲方乙方的权利和义务</w:t>
      </w:r>
    </w:p>
    <w:p>
      <w:pPr>
        <w:jc w:val="both"/>
      </w:pPr>
      <w:r>
        <w:rPr>
          <w:color w:val="222222"/>
          <w:sz w:val="27"/>
        </w:rPr>
        <w:t>　　1.甲方的权利和义务</w:t>
      </w:r>
    </w:p>
    <w:p>
      <w:pPr>
        <w:jc w:val="both"/>
      </w:pPr>
      <w:r>
        <w:rPr>
          <w:color w:val="222222"/>
          <w:sz w:val="27"/>
        </w:rPr>
        <w:t>　　2.乙方的权利和义务</w:t>
      </w:r>
    </w:p>
    <w:p>
      <w:pPr>
        <w:jc w:val="both"/>
      </w:pPr>
      <w:r>
        <w:rPr>
          <w:b/>
        </w:rPr>
        <w:t>四、服务期间（项目完成期限）</w:t>
      </w:r>
    </w:p>
    <w:p>
      <w:pPr>
        <w:jc w:val="both"/>
      </w:pPr>
      <w:r>
        <w:rPr>
          <w:color w:val="222222"/>
          <w:sz w:val="27"/>
        </w:rPr>
        <w:t>　　1.委托服务期间自______年______月至______年______月止。</w:t>
      </w:r>
    </w:p>
    <w:p>
      <w:pPr>
        <w:jc w:val="both"/>
      </w:pPr>
      <w:r>
        <w:rPr>
          <w:b/>
        </w:rPr>
        <w:t>五、付款方式</w:t>
      </w:r>
    </w:p>
    <w:p>
      <w:pPr>
        <w:jc w:val="both"/>
      </w:pPr>
      <w:r>
        <w:rPr>
          <w:color w:val="222222"/>
          <w:sz w:val="27"/>
        </w:rPr>
        <w:t>　　由甲方按下列程序在</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color w:val="222222"/>
          <w:sz w:val="27"/>
        </w:rPr>
        <w:t xml:space="preserve"> </w:t>
      </w:r>
      <w:r>
        <w:rPr>
          <w:color w:val="222222"/>
          <w:sz w:val="27"/>
        </w:rPr>
        <w:t>内付款：</w:t>
      </w:r>
    </w:p>
    <w:p>
      <w:pPr>
        <w:jc w:val="both"/>
      </w:pPr>
      <w:r>
        <w:rPr>
          <w:color w:val="222222"/>
          <w:sz w:val="27"/>
        </w:rPr>
        <w:t>　　1.在合同实施及服务人员到达服务地后__天内，甲方应将第一次付　　款总服务费的__(-%)付给乙方。</w:t>
      </w:r>
    </w:p>
    <w:p>
      <w:pPr>
        <w:jc w:val="both"/>
      </w:pPr>
      <w:r>
        <w:rPr>
          <w:color w:val="222222"/>
          <w:sz w:val="27"/>
        </w:rPr>
        <w:t>　　2.第二次付款额应为总服务费的__(-%)，甲方应在乙方已经准备好，并递交了服务报告及其它相关文件，而这些报告和文件符合合同附件上的要求并被甲方验收后付给乙方。</w:t>
      </w:r>
    </w:p>
    <w:p>
      <w:pPr>
        <w:jc w:val="both"/>
      </w:pPr>
      <w:r>
        <w:rPr>
          <w:color w:val="222222"/>
          <w:sz w:val="27"/>
        </w:rPr>
        <w:t>　　3.最后一次付款额应为总服务费的__(-%)，甲方应在乙方递交了服务总结报告和说明并完全履行合同完毕_________日内付给乙方。</w:t>
      </w:r>
    </w:p>
    <w:p>
      <w:pPr>
        <w:jc w:val="both"/>
      </w:pPr>
      <w:r>
        <w:rPr>
          <w:color w:val="222222"/>
          <w:sz w:val="27"/>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jc w:val="both"/>
      </w:pPr>
      <w:r>
        <w:rPr>
          <w:b/>
        </w:rPr>
        <w:t>六、知识产权归属</w:t>
      </w:r>
    </w:p>
    <w:p>
      <w:pPr>
        <w:jc w:val="both"/>
      </w:pPr>
      <w:r>
        <w:rPr>
          <w:b/>
        </w:rPr>
        <w:t>七、保密</w:t>
      </w:r>
    </w:p>
    <w:p>
      <w:pPr>
        <w:jc w:val="both"/>
      </w:pPr>
      <w:r>
        <w:rPr>
          <w:b/>
        </w:rPr>
        <w:t>八、违约责任与赔偿损失</w:t>
      </w:r>
    </w:p>
    <w:p>
      <w:pPr>
        <w:jc w:val="both"/>
      </w:pPr>
      <w:r>
        <w:rPr>
          <w:color w:val="222222"/>
          <w:sz w:val="27"/>
        </w:rPr>
        <w:t>　　1.乙方提供的服务不符合本合同规定的，甲方有权拒收，并且乙方须向甲方方支付本合同总价5%的违约金。</w:t>
      </w:r>
    </w:p>
    <w:p>
      <w:pPr>
        <w:jc w:val="both"/>
      </w:pPr>
      <w:r>
        <w:rPr>
          <w:color w:val="222222"/>
          <w:sz w:val="27"/>
        </w:rPr>
        <w:t>　　2.乙方未能按本合同规定的交货时间提供服务，从逾期之日起每日按本合同总价3‰的数额向甲方支付违约金；逾期半个月以上的，甲方有权终止合同，由此造成的甲方经济损失由乙方承担。</w:t>
      </w:r>
    </w:p>
    <w:p>
      <w:pPr>
        <w:jc w:val="both"/>
      </w:pPr>
      <w:r>
        <w:rPr>
          <w:color w:val="222222"/>
          <w:sz w:val="27"/>
        </w:rPr>
        <w:t>　　3.甲方无正当理由拒收接受服务，到期拒付服务款项的，甲方向乙方偿付本合同总的5%的违约金。甲方人逾期付款，则每日按本合同总价的3‰向乙方偿付违约金。</w:t>
      </w:r>
    </w:p>
    <w:p>
      <w:pPr>
        <w:jc w:val="both"/>
      </w:pPr>
      <w:r>
        <w:rPr>
          <w:color w:val="222222"/>
          <w:sz w:val="27"/>
        </w:rPr>
        <w:t>　　4.对于因甲方原因导致变更、中止或者终止政府采购合同的，甲方应当依照以下合同约定对供应商受到的损失予以赔偿或者补偿：</w:t>
      </w:r>
    </w:p>
    <w:p>
      <w:pPr>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5.其它违约责任按《</w:t>
      </w:r>
      <w:r>
        <w:rPr>
          <w:color w:val="222222"/>
          <w:sz w:val="27"/>
        </w:rPr>
        <w:t>中华人民共和国民法典(合同编)</w:t>
      </w:r>
      <w:r>
        <w:rPr>
          <w:color w:val="222222"/>
          <w:sz w:val="27"/>
        </w:rPr>
        <w:t>》处理。</w:t>
      </w:r>
    </w:p>
    <w:p>
      <w:pPr>
        <w:jc w:val="both"/>
      </w:pPr>
      <w:r>
        <w:rPr>
          <w:b/>
        </w:rPr>
        <w:t>九、争议的解决</w:t>
      </w:r>
    </w:p>
    <w:p>
      <w:pPr>
        <w:ind w:firstLine="400"/>
        <w:jc w:val="both"/>
      </w:pPr>
      <w:r>
        <w:rPr>
          <w:color w:val="222222"/>
          <w:sz w:val="27"/>
        </w:rPr>
        <w:t>合同执行过程中发生的任何争议，如双方不能通过友好协商解决，按相关法律法规处理。</w:t>
      </w:r>
      <w:r>
        <w:rPr>
          <w:color w:val="222222"/>
          <w:sz w:val="27"/>
        </w:rPr>
        <w:t xml:space="preserve"> </w:t>
      </w:r>
      <w:r>
        <w:rPr>
          <w:color w:val="222222"/>
          <w:sz w:val="27"/>
        </w:rPr>
        <w:t xml:space="preserve"> </w:t>
      </w:r>
      <w:r>
        <w:rPr>
          <w:color w:val="222222"/>
          <w:sz w:val="27"/>
        </w:rPr>
        <w:t xml:space="preserve"> </w:t>
      </w:r>
      <w:r>
        <w:rPr>
          <w:color w:val="222222"/>
          <w:sz w:val="27"/>
        </w:rPr>
        <w:t xml:space="preserve"> </w:t>
      </w:r>
      <w:r>
        <w:rPr>
          <w:color w:val="222222"/>
          <w:sz w:val="27"/>
        </w:rPr>
        <w:t xml:space="preserve"> </w:t>
      </w:r>
    </w:p>
    <w:p>
      <w:pPr>
        <w:jc w:val="both"/>
      </w:pPr>
      <w:r>
        <w:rPr>
          <w:b/>
        </w:rPr>
        <w:t>十、不可抗力</w:t>
      </w:r>
    </w:p>
    <w:p>
      <w:pPr>
        <w:jc w:val="both"/>
      </w:pPr>
      <w:r>
        <w:rPr>
          <w:color w:val="222222"/>
          <w:sz w:val="27"/>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r>
        <w:rPr>
          <w:b/>
        </w:rPr>
        <w:t>十一、税费</w:t>
      </w:r>
    </w:p>
    <w:p>
      <w:pPr>
        <w:jc w:val="both"/>
      </w:pPr>
      <w:r>
        <w:rPr>
          <w:color w:val="222222"/>
          <w:sz w:val="27"/>
        </w:rPr>
        <w:t>　　在中国境内、外发生的与本合同执行有关的一切税费均由乙方负担。</w:t>
      </w:r>
    </w:p>
    <w:p>
      <w:pPr>
        <w:jc w:val="both"/>
      </w:pPr>
      <w:r>
        <w:rPr>
          <w:b/>
        </w:rPr>
        <w:t>十二、其它</w:t>
      </w:r>
    </w:p>
    <w:p>
      <w:pPr>
        <w:jc w:val="both"/>
      </w:pPr>
      <w:r>
        <w:rPr>
          <w:color w:val="222222"/>
          <w:sz w:val="27"/>
        </w:rPr>
        <w:t>　　1.本合同所有附件、招标文件、投标文件、中标通知书均为合同的有效组成部分，与本合同具有同等法律效力。</w:t>
      </w:r>
    </w:p>
    <w:p>
      <w:pPr>
        <w:jc w:val="both"/>
      </w:pPr>
      <w:r>
        <w:rPr>
          <w:color w:val="222222"/>
          <w:sz w:val="27"/>
        </w:rPr>
        <w:t>　　2.在执行本合同的过程中，所有经双方签署确认的文件（包括会议纪要、补充协议、往来信函）即成为本合同的有效组成部分。</w:t>
      </w:r>
    </w:p>
    <w:p>
      <w:pPr>
        <w:jc w:val="both"/>
      </w:pPr>
      <w:r>
        <w:rPr>
          <w:color w:val="222222"/>
          <w:sz w:val="27"/>
        </w:rPr>
        <w:t>　　3.如一方地址、电话、传真号码有变更，应在变更当日内书面通知对方，否则，应承担相应责任。</w:t>
      </w:r>
    </w:p>
    <w:p>
      <w:pPr>
        <w:jc w:val="both"/>
      </w:pPr>
      <w:r>
        <w:rPr>
          <w:color w:val="222222"/>
          <w:sz w:val="27"/>
        </w:rPr>
        <w:t>　　4.除甲方事先书面同意外，乙方不得部分或全部转让其应履行的合同项下的义务。</w:t>
      </w:r>
    </w:p>
    <w:p>
      <w:pPr>
        <w:jc w:val="both"/>
      </w:pPr>
      <w:r>
        <w:rPr>
          <w:b/>
        </w:rPr>
        <w:t>十三、合同生效</w:t>
      </w:r>
    </w:p>
    <w:p>
      <w:pPr>
        <w:jc w:val="both"/>
      </w:pPr>
      <w:r>
        <w:rPr>
          <w:color w:val="222222"/>
          <w:sz w:val="27"/>
        </w:rPr>
        <w:t>　　1.本合同在甲乙双方法人代表或其授权代表签字盖章后生效。</w:t>
      </w:r>
    </w:p>
    <w:p>
      <w:pPr>
        <w:jc w:val="both"/>
      </w:pPr>
      <w:r>
        <w:rPr>
          <w:color w:val="222222"/>
          <w:sz w:val="27"/>
        </w:rPr>
        <w:t>　　2.</w:t>
      </w:r>
      <w:r>
        <w:rPr>
          <w:color w:val="222222"/>
          <w:sz w:val="27"/>
        </w:rPr>
        <w:t>合同一式</w:t>
      </w:r>
      <w:r>
        <w:rPr>
          <w:color w:val="222222"/>
          <w:sz w:val="21"/>
          <w:u w:val="single"/>
        </w:rPr>
        <w:t xml:space="preserve">   </w:t>
      </w:r>
      <w:r>
        <w:rPr>
          <w:color w:val="222222"/>
          <w:sz w:val="27"/>
        </w:rPr>
        <w:t>份。具有同等法律效力，甲方执</w:t>
      </w:r>
      <w:r>
        <w:rPr>
          <w:color w:val="222222"/>
          <w:sz w:val="21"/>
          <w:u w:val="single"/>
        </w:rPr>
        <w:t xml:space="preserve">   </w:t>
      </w:r>
      <w:r>
        <w:rPr>
          <w:color w:val="222222"/>
          <w:sz w:val="27"/>
        </w:rPr>
        <w:t xml:space="preserve"> </w:t>
      </w:r>
      <w:r>
        <w:rPr>
          <w:color w:val="222222"/>
          <w:sz w:val="27"/>
        </w:rPr>
        <w:t>份、乙方执</w:t>
      </w:r>
      <w:r>
        <w:rPr>
          <w:color w:val="222222"/>
          <w:sz w:val="21"/>
          <w:u w:val="single"/>
        </w:rPr>
        <w:t xml:space="preserve">   </w:t>
      </w:r>
      <w:r>
        <w:rPr>
          <w:color w:val="222222"/>
          <w:sz w:val="27"/>
        </w:rPr>
        <w:t xml:space="preserve"> </w:t>
      </w:r>
      <w:r>
        <w:rPr>
          <w:color w:val="222222"/>
          <w:sz w:val="27"/>
        </w:rPr>
        <w:t>份，招标代理机构</w:t>
      </w:r>
      <w:r>
        <w:rPr>
          <w:color w:val="222222"/>
          <w:sz w:val="27"/>
          <w:u w:val="single"/>
        </w:rPr>
        <w:t>壹</w:t>
      </w:r>
      <w:r>
        <w:rPr>
          <w:color w:val="222222"/>
          <w:sz w:val="27"/>
        </w:rPr>
        <w:t>份。合同自签字之日起即时生效。</w:t>
      </w:r>
    </w:p>
    <w:p>
      <w:pPr>
        <w:jc w:val="both"/>
      </w:pPr>
      <w:r>
        <w:rPr>
          <w:color w:val="222222"/>
          <w:sz w:val="27"/>
        </w:rPr>
        <w:t xml:space="preserve"> </w:t>
      </w:r>
    </w:p>
    <w:p>
      <w:pPr>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乙方（盖章）：</w:t>
      </w:r>
    </w:p>
    <w:p>
      <w:pPr>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代表：</w:t>
      </w:r>
    </w:p>
    <w:p>
      <w:pPr>
        <w:jc w:val="both"/>
      </w:pPr>
      <w:r>
        <w:rPr>
          <w:color w:val="222222"/>
          <w:sz w:val="27"/>
        </w:rPr>
        <w:t>签定地点：</w:t>
      </w:r>
    </w:p>
    <w:p>
      <w:pPr>
        <w:jc w:val="both"/>
      </w:pPr>
      <w:r>
        <w:rPr>
          <w:color w:val="222222"/>
          <w:sz w:val="27"/>
        </w:rPr>
        <w:t>签定日期：　　　年　　月　　日</w:t>
      </w:r>
      <w:r>
        <w:rPr>
          <w:color w:val="222222"/>
          <w:sz w:val="27"/>
        </w:rPr>
        <w:t xml:space="preserve"> </w:t>
      </w:r>
      <w:r>
        <w:rPr>
          <w:color w:val="222222"/>
          <w:sz w:val="27"/>
        </w:rPr>
        <w:t>签定日期：　　　年　　月　　日</w:t>
      </w:r>
    </w:p>
    <w:p>
      <w:pPr>
        <w:jc w:val="both"/>
      </w:pPr>
      <w:r>
        <w:rPr>
          <w:color w:val="222222"/>
          <w:sz w:val="27"/>
        </w:rPr>
        <w:t>开户名称：</w:t>
      </w:r>
    </w:p>
    <w:p>
      <w:pPr>
        <w:jc w:val="both"/>
      </w:pPr>
      <w:r>
        <w:rPr>
          <w:color w:val="222222"/>
          <w:sz w:val="27"/>
        </w:rPr>
        <w:t>银行帐号：</w:t>
      </w:r>
    </w:p>
    <w:p>
      <w:pPr>
        <w:jc w:val="both"/>
      </w:pPr>
      <w:r>
        <w:rPr>
          <w:color w:val="222222"/>
          <w:sz w:val="27"/>
        </w:rPr>
        <w:t>开 户 行：</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442000-2022-04672</w:t>
      </w:r>
    </w:p>
    <w:p>
      <w:pPr>
        <w:jc w:val="center"/>
      </w:pPr>
      <w:r>
        <w:rPr>
          <w:b/>
          <w:sz w:val="24"/>
        </w:rPr>
        <w:t>采购项目编号：</w:t>
      </w:r>
      <w:r>
        <w:rPr>
          <w:b/>
          <w:sz w:val="24"/>
        </w:rPr>
        <w:t>442000-2022-04672</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智林招标（广东）有限公司</w:t>
      </w:r>
    </w:p>
    <w:p>
      <w:pPr>
        <w:ind w:firstLine="480"/>
      </w:pPr>
      <w:r>
        <w:rPr/>
        <w:t>你方组织的</w:t>
      </w:r>
      <w:r>
        <w:rPr>
          <w:u w:val="single"/>
        </w:rPr>
        <w:t>粤港澳大湾区（中山）大气成分野外科学试验基地日常维护运行项目</w:t>
      </w:r>
      <w:r>
        <w:rPr/>
        <w:t>项目的竞争性磋商[采购项目编号为：</w:t>
      </w:r>
      <w:r>
        <w:rPr>
          <w:u w:val="single"/>
        </w:rPr>
        <w:t>442000-2022-04672</w:t>
      </w:r>
      <w:r>
        <w:rPr/>
        <w:t>]，我方愿参与响应。</w:t>
      </w:r>
    </w:p>
    <w:p>
      <w:pPr>
        <w:ind w:firstLine="480"/>
      </w:pPr>
      <w:r>
        <w:rPr/>
        <w:t>我方确认收到贵方提供的</w:t>
      </w:r>
      <w:r>
        <w:rPr>
          <w:u w:val="single"/>
        </w:rPr>
        <w:t>粤港澳大湾区（中山）大气成分野外科学试验基地日常维护运行项目</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粤港澳大湾区（中山）大气成分野外科学试验基地日常维护运行项目</w:t>
      </w:r>
      <w:r>
        <w:rPr/>
        <w:t>项目采购[采购项目编号为</w:t>
      </w:r>
      <w:r>
        <w:rPr/>
        <w:t>442000-2022-04672</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中山市气象局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智林招标（广东）有限公司</w:t>
      </w:r>
    </w:p>
    <w:p>
      <w:pPr>
        <w:ind w:firstLine="480"/>
      </w:pPr>
      <w:r>
        <w:rPr/>
        <w:t>我单位参加贵公司组织的</w:t>
      </w:r>
      <w:r>
        <w:rPr/>
        <w:t>粤港澳大湾区（中山）大气成分野外科学试验基地日常维护运行项目</w:t>
      </w:r>
      <w:r>
        <w:rPr/>
        <w:t>（采购项目编号：</w:t>
      </w:r>
      <w:r>
        <w:rPr/>
        <w:t>442000-2022-04672</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3、如我公司被选为成交供应商，在成交结果公示后3日内向采购代理机构指定帐户缴付代理服务费。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粤港澳大湾区（中山）大气成分野外科学试验基地日常维护运行项目</w:t>
      </w:r>
      <w:r>
        <w:rPr/>
        <w:t>项目（采购项目编号：</w:t>
      </w:r>
      <w:r>
        <w:rPr/>
        <w:t>442000-2022-04672</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