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442000-2023-03484</w:t>
      </w:r>
    </w:p>
    <w:p>
      <w:pPr>
        <w:jc w:val="center"/>
      </w:pPr>
      <w:r>
        <w:rPr>
          <w:b/>
          <w:sz w:val="24"/>
        </w:rPr>
        <w:t>采购项目编号：</w:t>
      </w:r>
      <w:r>
        <w:rPr>
          <w:b/>
          <w:sz w:val="24"/>
        </w:rPr>
        <w:t>442000-2023-03484</w:t>
      </w:r>
    </w:p>
    <w:p>
      <w:pPr>
        <w:jc w:val="center"/>
      </w:pPr>
      <w:r>
        <w:rPr>
          <w:b/>
          <w:sz w:val="24"/>
        </w:rPr>
        <w:t>项目名称：</w:t>
      </w:r>
      <w:r>
        <w:rPr>
          <w:b/>
          <w:sz w:val="24"/>
        </w:rPr>
        <w:t>中山市人民医院2023年管理干部培训采购项目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中山市人民医院</w:t>
      </w:r>
      <w:r>
        <w:rPr/>
        <w:t>的委托，采用</w:t>
      </w:r>
      <w:r>
        <w:rPr/>
        <w:t>竞争性磋商</w:t>
      </w:r>
      <w:r>
        <w:rPr/>
        <w:t>方式组织采购</w:t>
      </w:r>
      <w:r>
        <w:rPr/>
        <w:t>中山市人民医院2023年管理干部培训采购项目</w:t>
      </w:r>
      <w:r>
        <w:rPr/>
        <w:t>。欢迎符合资格条件的供应商参加。</w:t>
      </w:r>
    </w:p>
    <w:p>
      <w:r>
        <w:rPr>
          <w:b/>
          <w:sz w:val="28"/>
        </w:rPr>
        <w:t>一.项目概述</w:t>
      </w:r>
    </w:p>
    <w:p>
      <w:r>
        <w:rPr>
          <w:b/>
          <w:sz w:val="24"/>
        </w:rPr>
        <w:t>1.名称与编号</w:t>
      </w:r>
    </w:p>
    <w:p>
      <w:pPr>
        <w:ind w:firstLine="480"/>
      </w:pPr>
      <w:r>
        <w:rPr/>
        <w:t>采购项目名称：</w:t>
      </w:r>
      <w:r>
        <w:rPr/>
        <w:t>中山市人民医院2023年管理干部培训采购项目</w:t>
      </w:r>
    </w:p>
    <w:p>
      <w:pPr>
        <w:ind w:firstLine="480"/>
      </w:pPr>
      <w:r>
        <w:rPr/>
        <w:t>采购计划编号：</w:t>
      </w:r>
      <w:r>
        <w:rPr/>
        <w:t>442000-2023-03484</w:t>
      </w:r>
    </w:p>
    <w:p>
      <w:pPr>
        <w:ind w:firstLine="480"/>
      </w:pPr>
      <w:r>
        <w:rPr/>
        <w:t>采购项目编号：</w:t>
      </w:r>
      <w:r>
        <w:rPr/>
        <w:t>442000-2023-03484</w:t>
      </w:r>
    </w:p>
    <w:p>
      <w:pPr>
        <w:ind w:firstLine="480"/>
      </w:pPr>
      <w:r>
        <w:rPr/>
        <w:t>采购方式：</w:t>
      </w:r>
      <w:r>
        <w:rPr/>
        <w:t>竞争性磋商</w:t>
      </w:r>
    </w:p>
    <w:p>
      <w:pPr>
        <w:ind w:firstLine="480"/>
      </w:pPr>
      <w:r>
        <w:rPr/>
        <w:t>预算金额：</w:t>
      </w:r>
      <w:r>
        <w:rPr/>
        <w:t>2,100,000.00</w:t>
      </w:r>
      <w:r>
        <w:rPr/>
        <w:t>元</w:t>
      </w:r>
    </w:p>
    <w:p>
      <w:r>
        <w:rPr>
          <w:b/>
          <w:sz w:val="24"/>
        </w:rPr>
        <w:t>2.项目内容及需求情况（采购项目技术规格、参数及要求）</w:t>
      </w:r>
    </w:p>
    <w:p>
      <w:pPr>
        <w:ind w:firstLine="480"/>
      </w:pPr>
    </w:p>
    <w:p/>
    <w:p>
      <w:r>
        <w:rPr/>
        <w:t>采购包1(中山市人民医院2023年管理干部培训采购项目):</w:t>
      </w:r>
    </w:p>
    <w:p>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培训服务</w:t>
            </w:r>
          </w:p>
        </w:tc>
        <w:tc>
          <w:tcPr>
            <w:tcW w:type="dxa" w:w="2136"/>
          </w:tcPr>
          <w:p>
            <w:r>
              <w:rPr/>
              <w:t>中山市人民医院2023年管理干部培训</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合同履行期限：自签订合同起至2023年10月31日前完成。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4）履行合同所必需的设备和专业技术能力：请在响应文件里提供承诺书或说明书。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采购包1（中山市人民医院2023年管理干部培训采购项目）：</w:t>
      </w:r>
      <w:r>
        <w:rPr/>
        <w:t>本项目专门面向中小企业采购。参与的供应商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必须与本项目采购文件中明确的所属行业（其他未列明行业）一致；根据附件2《中小企业划型标准规定》以单位上一年度经济数据自行判定是否属于其他未列明行业中小微企业，符合中小微类型的方可参与本项目的投标。</w:t>
      </w:r>
    </w:p>
    <w:p/>
    <w:p>
      <w:r>
        <w:rPr>
          <w:b/>
          <w:sz w:val="24"/>
        </w:rPr>
        <w:t>3.本项目特定的资格要求：</w:t>
      </w:r>
    </w:p>
    <w:p>
      <w:pPr>
        <w:ind w:firstLine="480"/>
      </w:pPr>
    </w:p>
    <w:p/>
    <w:p>
      <w:r>
        <w:rPr/>
        <w:t>采购包1（中山市人民医院2023年管理干部培训采购项目）：</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1"/>
        </w:rPr>
        <w:t>1.</w:t>
      </w:r>
      <w:r>
        <w:rPr>
          <w:color w:val="000000"/>
          <w:sz w:val="21"/>
        </w:rPr>
        <w:t>项目名称：</w:t>
      </w:r>
      <w:r>
        <w:rPr>
          <w:color w:val="000000"/>
          <w:sz w:val="21"/>
        </w:rPr>
        <w:t>中山市人民医院</w:t>
      </w:r>
      <w:r>
        <w:rPr>
          <w:color w:val="000000"/>
          <w:sz w:val="21"/>
        </w:rPr>
        <w:t>2023</w:t>
      </w:r>
      <w:r>
        <w:rPr>
          <w:color w:val="000000"/>
          <w:sz w:val="21"/>
        </w:rPr>
        <w:t>年管理干部培训采购项目</w:t>
      </w:r>
    </w:p>
    <w:p>
      <w:pPr>
        <w:jc w:val="both"/>
      </w:pPr>
      <w:r>
        <w:rPr>
          <w:color w:val="000000"/>
          <w:sz w:val="21"/>
        </w:rPr>
        <w:t>2.</w:t>
      </w:r>
      <w:r>
        <w:rPr>
          <w:color w:val="000000"/>
          <w:sz w:val="21"/>
        </w:rPr>
        <w:t>项目编号：</w:t>
      </w:r>
      <w:r>
        <w:rPr>
          <w:color w:val="000000"/>
          <w:sz w:val="21"/>
        </w:rPr>
        <w:t>442000-2023-03484</w:t>
      </w:r>
    </w:p>
    <w:p>
      <w:pPr>
        <w:jc w:val="both"/>
      </w:pPr>
      <w:r>
        <w:rPr>
          <w:color w:val="000000"/>
          <w:sz w:val="21"/>
        </w:rPr>
        <w:t>3.</w:t>
      </w:r>
      <w:r>
        <w:rPr>
          <w:color w:val="000000"/>
          <w:sz w:val="21"/>
        </w:rPr>
        <w:t>预算金额：</w:t>
      </w:r>
      <w:r>
        <w:rPr>
          <w:color w:val="000000"/>
          <w:sz w:val="21"/>
        </w:rPr>
        <w:t>2,100,000.00</w:t>
      </w:r>
      <w:r>
        <w:rPr>
          <w:color w:val="000000"/>
          <w:sz w:val="21"/>
        </w:rPr>
        <w:t>元</w:t>
      </w:r>
    </w:p>
    <w:p>
      <w:pPr>
        <w:jc w:val="both"/>
      </w:pPr>
      <w:r>
        <w:rPr>
          <w:color w:val="000000"/>
          <w:sz w:val="21"/>
        </w:rPr>
        <w:t>4</w:t>
      </w:r>
      <w:r>
        <w:rPr>
          <w:color w:val="000000"/>
          <w:sz w:val="21"/>
        </w:rPr>
        <w:t>.</w:t>
      </w:r>
      <w:r>
        <w:rPr>
          <w:color w:val="000000"/>
          <w:sz w:val="21"/>
        </w:rPr>
        <w:t>采购方式：竞争性磋商</w:t>
      </w:r>
    </w:p>
    <w:p>
      <w:pPr>
        <w:jc w:val="both"/>
      </w:pPr>
      <w:r>
        <w:rPr>
          <w:color w:val="000000"/>
          <w:sz w:val="21"/>
        </w:rPr>
        <w:t>5</w:t>
      </w:r>
      <w:r>
        <w:rPr>
          <w:color w:val="000000"/>
          <w:sz w:val="21"/>
        </w:rPr>
        <w:t>.</w:t>
      </w:r>
      <w:r>
        <w:rPr>
          <w:color w:val="000000"/>
          <w:sz w:val="21"/>
        </w:rPr>
        <w:t>报价方式：按总价报价。</w:t>
      </w:r>
    </w:p>
    <w:p>
      <w:pPr>
        <w:jc w:val="both"/>
      </w:pPr>
      <w:r>
        <w:rPr>
          <w:color w:val="000000"/>
          <w:sz w:val="21"/>
        </w:rPr>
        <w:t>6</w:t>
      </w:r>
      <w:r>
        <w:rPr>
          <w:color w:val="000000"/>
          <w:sz w:val="21"/>
        </w:rPr>
        <w:t>.</w:t>
      </w:r>
      <w:r>
        <w:rPr>
          <w:color w:val="000000"/>
          <w:sz w:val="21"/>
        </w:rPr>
        <w:t>服务期限：</w:t>
      </w:r>
      <w:r>
        <w:rPr>
          <w:color w:val="000000"/>
          <w:sz w:val="21"/>
        </w:rPr>
        <w:t>自签订合同起至</w:t>
      </w:r>
      <w:r>
        <w:rPr>
          <w:color w:val="000000"/>
          <w:sz w:val="21"/>
        </w:rPr>
        <w:t>202</w:t>
      </w:r>
      <w:r>
        <w:rPr>
          <w:color w:val="000000"/>
          <w:sz w:val="21"/>
        </w:rPr>
        <w:t>3</w:t>
      </w:r>
      <w:r>
        <w:rPr>
          <w:color w:val="000000"/>
          <w:sz w:val="21"/>
        </w:rPr>
        <w:t>年10</w:t>
      </w:r>
      <w:r>
        <w:rPr>
          <w:color w:val="000000"/>
          <w:sz w:val="21"/>
        </w:rPr>
        <w:t>月31</w:t>
      </w:r>
      <w:r>
        <w:rPr>
          <w:color w:val="000000"/>
          <w:sz w:val="21"/>
        </w:rPr>
        <w:t>日前完成。</w:t>
      </w:r>
    </w:p>
    <w:p>
      <w:pPr>
        <w:jc w:val="both"/>
      </w:pPr>
      <w:r>
        <w:rPr>
          <w:color w:val="000000"/>
          <w:sz w:val="21"/>
        </w:rPr>
        <w:t>7</w:t>
      </w:r>
      <w:r>
        <w:rPr>
          <w:color w:val="000000"/>
          <w:sz w:val="21"/>
        </w:rPr>
        <w:t>.</w:t>
      </w:r>
      <w:r>
        <w:rPr>
          <w:color w:val="000000"/>
          <w:sz w:val="21"/>
        </w:rPr>
        <w:t>本项目由成交人承包及负责磋商文件对成交人要求的一切事宜及责任。</w:t>
      </w:r>
    </w:p>
    <w:p>
      <w:pPr>
        <w:jc w:val="both"/>
      </w:pPr>
      <w:r>
        <w:rPr>
          <w:color w:val="000000"/>
          <w:sz w:val="21"/>
        </w:rPr>
        <w:t>8</w:t>
      </w:r>
      <w:r>
        <w:rPr>
          <w:color w:val="000000"/>
          <w:sz w:val="21"/>
        </w:rPr>
        <w:t>.</w:t>
      </w:r>
      <w:r>
        <w:rPr>
          <w:color w:val="000000"/>
          <w:sz w:val="21"/>
        </w:rPr>
        <w:t>本项目属于专门面向中小企业采购项目。</w:t>
      </w:r>
    </w:p>
    <w:p>
      <w:pPr>
        <w:jc w:val="both"/>
      </w:pPr>
      <w:r>
        <w:rPr>
          <w:color w:val="000000"/>
          <w:sz w:val="21"/>
        </w:rPr>
        <w:t>9</w:t>
      </w:r>
      <w:r>
        <w:rPr>
          <w:color w:val="000000"/>
          <w:sz w:val="21"/>
        </w:rPr>
        <w:t>.</w:t>
      </w:r>
      <w:r>
        <w:rPr>
          <w:color w:val="000000"/>
          <w:sz w:val="21"/>
        </w:rPr>
        <w:t>本项目不接受联合体投标。</w:t>
      </w:r>
    </w:p>
    <w:p>
      <w:pPr>
        <w:jc w:val="both"/>
      </w:pPr>
      <w:r>
        <w:rPr>
          <w:color w:val="000000"/>
          <w:sz w:val="21"/>
        </w:rPr>
        <w:t>1</w:t>
      </w:r>
      <w:r>
        <w:rPr>
          <w:color w:val="000000"/>
          <w:sz w:val="21"/>
        </w:rPr>
        <w:t>0</w:t>
      </w:r>
      <w:r>
        <w:rPr>
          <w:color w:val="000000"/>
          <w:sz w:val="21"/>
        </w:rPr>
        <w:t>.</w:t>
      </w:r>
      <w:r>
        <w:rPr>
          <w:color w:val="000000"/>
          <w:sz w:val="21"/>
        </w:rPr>
        <w:t>成交人未经采购人批准，不得以任何方式转包或分包。</w:t>
      </w:r>
    </w:p>
    <w:p>
      <w:pPr>
        <w:jc w:val="both"/>
      </w:pPr>
      <w:r>
        <w:rPr>
          <w:color w:val="000000"/>
          <w:sz w:val="21"/>
        </w:rPr>
        <w:t>1</w:t>
      </w:r>
      <w:r>
        <w:rPr>
          <w:color w:val="000000"/>
          <w:sz w:val="21"/>
        </w:rPr>
        <w:t>1</w:t>
      </w:r>
      <w:r>
        <w:rPr>
          <w:color w:val="000000"/>
          <w:sz w:val="21"/>
        </w:rPr>
        <w:t>.</w:t>
      </w:r>
      <w:r>
        <w:rPr>
          <w:color w:val="000000"/>
          <w:sz w:val="21"/>
        </w:rPr>
        <w:t>在磋商过程中符合要求的供应商不足</w:t>
      </w:r>
      <w:r>
        <w:rPr>
          <w:color w:val="000000"/>
          <w:sz w:val="21"/>
        </w:rPr>
        <w:t>3</w:t>
      </w:r>
      <w:r>
        <w:rPr>
          <w:color w:val="000000"/>
          <w:sz w:val="21"/>
        </w:rPr>
        <w:t>家时，根据《财政部关于政府采购竞争性磋商采购方式管理暂行办法有关问题的补充通知》（财库</w:t>
      </w:r>
      <w:r>
        <w:rPr>
          <w:color w:val="000000"/>
          <w:sz w:val="21"/>
        </w:rPr>
        <w:t>[2015]124</w:t>
      </w:r>
      <w:r>
        <w:rPr>
          <w:color w:val="000000"/>
          <w:sz w:val="21"/>
        </w:rPr>
        <w:t>号）规定，采用竞争性磋商采购方式采购的政府购买服务项目（含政府和社会资本合作项目），在采购过程中符合要求的供应商（社会资本）只有</w:t>
      </w:r>
      <w:r>
        <w:rPr>
          <w:color w:val="000000"/>
          <w:sz w:val="21"/>
        </w:rPr>
        <w:t>2</w:t>
      </w:r>
      <w:r>
        <w:rPr>
          <w:color w:val="000000"/>
          <w:sz w:val="21"/>
        </w:rPr>
        <w:t>家的，竞争性磋商采购活动可以继续进行。</w:t>
      </w:r>
    </w:p>
    <w:p>
      <w:pPr>
        <w:jc w:val="both"/>
      </w:pPr>
      <w:r>
        <w:rPr>
          <w:sz w:val="21"/>
        </w:rPr>
        <w:t>1</w:t>
      </w:r>
      <w:r>
        <w:rPr>
          <w:sz w:val="21"/>
        </w:rPr>
        <w:t>2</w:t>
      </w:r>
      <w:r>
        <w:rPr>
          <w:sz w:val="21"/>
        </w:rPr>
        <w:t>.</w:t>
      </w:r>
      <w:r>
        <w:rPr>
          <w:sz w:val="21"/>
        </w:rPr>
        <w:t>竞争性磋商文件中凡有</w:t>
      </w:r>
      <w:r>
        <w:rPr>
          <w:sz w:val="21"/>
        </w:rPr>
        <w:t>“★”</w:t>
      </w:r>
      <w:r>
        <w:rPr>
          <w:sz w:val="21"/>
        </w:rPr>
        <w:t>标识的内容条款为关键条款，投标供应商必须对此作出回答并完全满足这些要求不可以出现任何负偏离，对这些关键条款的任何负偏离将视为无效投标。加注</w:t>
      </w:r>
      <w:r>
        <w:rPr>
          <w:sz w:val="21"/>
        </w:rPr>
        <w:t>“▲”</w:t>
      </w:r>
      <w:r>
        <w:rPr>
          <w:sz w:val="21"/>
        </w:rPr>
        <w:t>的内容为重点评标项目，投标人必须对该标识项目按照要求进行真实应答描述。</w:t>
      </w:r>
    </w:p>
    <w:p>
      <w:pPr>
        <w:jc w:val="both"/>
      </w:pPr>
      <w:r>
        <w:rPr>
          <w:sz w:val="21"/>
        </w:rPr>
        <w:t>1</w:t>
      </w:r>
      <w:r>
        <w:rPr>
          <w:sz w:val="21"/>
        </w:rPr>
        <w:t>3</w:t>
      </w:r>
      <w:r>
        <w:rPr>
          <w:sz w:val="21"/>
        </w:rPr>
        <w:t>.</w:t>
      </w:r>
      <w:r>
        <w:rPr>
          <w:sz w:val="21"/>
        </w:rPr>
        <w:t>本项目由成交人负责竞争性磋商文件对成交人要求的一切事宜及责任。投标报价中不得包含竞争性磋商文件要求以外的内容，否则，在评标时不予核减；若投标报价有缺漏项的，缺漏项部分的价格视为已包含在投标报价中，成交后不作任何调整，采购人将不再支付任何费用。</w:t>
      </w:r>
    </w:p>
    <w:p/>
    <w:p>
      <w:pPr>
        <w:ind w:firstLine="480"/>
      </w:pPr>
    </w:p>
    <w:p/>
    <w:p>
      <w:r>
        <w:rPr/>
        <w:t>采购包1（中山市人民医院2023年管理干部培训采购项目）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自签订合同起至2023年10月31日前完成。</w:t>
            </w:r>
          </w:p>
        </w:tc>
      </w:tr>
      <w:tr>
        <w:tc>
          <w:tcPr>
            <w:tcW w:type="dxa" w:w="4153"/>
          </w:tcPr>
          <w:p>
            <w:r>
              <w:rPr/>
              <w:t>标的提供的地点</w:t>
            </w:r>
          </w:p>
        </w:tc>
        <w:tc>
          <w:tcPr>
            <w:tcW w:type="dxa" w:w="4153"/>
          </w:tcPr>
          <w:p/>
          <w:p>
            <w:r>
              <w:rPr/>
              <w:t>采购人指定培训地点。</w:t>
            </w:r>
          </w:p>
        </w:tc>
      </w:tr>
      <w:tr>
        <w:tc>
          <w:tcPr>
            <w:tcW w:type="dxa" w:w="4153"/>
          </w:tcPr>
          <w:p>
            <w:r>
              <w:rPr/>
              <w:t>付款方式</w:t>
            </w:r>
          </w:p>
        </w:tc>
        <w:tc>
          <w:tcPr>
            <w:tcW w:type="dxa" w:w="4153"/>
          </w:tcPr>
          <w:p/>
          <w:p/>
          <w:p>
            <w:r>
              <w:rPr/>
              <w:t>1期：支付比例40%,签订合同后10天内，支付成交金额40%的预付款。</w:t>
            </w:r>
          </w:p>
          <w:p/>
          <w:p>
            <w:r>
              <w:rPr/>
              <w:t>2期：支付比例40%,第二期团队出发前支付成交金额40%的款项。</w:t>
            </w:r>
          </w:p>
          <w:p/>
          <w:p>
            <w:r>
              <w:rPr/>
              <w:t>3期：支付比例20%,余额在完成行程后10天内结算完毕。</w:t>
            </w:r>
          </w:p>
        </w:tc>
      </w:tr>
      <w:tr>
        <w:tc>
          <w:tcPr>
            <w:tcW w:type="dxa" w:w="4153"/>
          </w:tcPr>
          <w:p>
            <w:r>
              <w:rPr/>
              <w:t>验收要求</w:t>
            </w:r>
          </w:p>
        </w:tc>
        <w:tc>
          <w:tcPr>
            <w:tcW w:type="dxa" w:w="4153"/>
          </w:tcPr>
          <w:p/>
          <w:p/>
          <w:p/>
          <w:p>
            <w:r>
              <w:rPr/>
              <w:t>1期：（1）依照磋商文件的要求和响应文件的承诺执行。（2）如磋商文件没有特别说明，则按国家、地方或行业（排列在前者优先）现行相关验收规范和评定标准执行。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培训服务</w:t>
            </w:r>
          </w:p>
        </w:tc>
        <w:tc>
          <w:tcPr>
            <w:tcW w:type="dxa" w:w="933"/>
          </w:tcPr>
          <w:p>
            <w:pPr>
              <w:jc w:val="left"/>
            </w:pPr>
            <w:r>
              <w:rPr/>
              <w:t>中山市人民医院2023年管理干部培训</w:t>
            </w:r>
          </w:p>
        </w:tc>
        <w:tc>
          <w:tcPr>
            <w:tcW w:type="dxa" w:w="933"/>
          </w:tcPr>
          <w:p>
            <w:pPr>
              <w:jc w:val="left"/>
            </w:pPr>
            <w:r>
              <w:rPr/>
              <w:t>项</w:t>
            </w:r>
          </w:p>
        </w:tc>
        <w:tc>
          <w:tcPr>
            <w:tcW w:type="dxa" w:w="933"/>
          </w:tcPr>
          <w:p>
            <w:pPr>
              <w:jc w:val="right"/>
            </w:pPr>
            <w:r>
              <w:rPr/>
              <w:t>1.00</w:t>
            </w:r>
          </w:p>
        </w:tc>
        <w:tc>
          <w:tcPr>
            <w:tcW w:type="dxa" w:w="933"/>
          </w:tcPr>
          <w:p>
            <w:pPr>
              <w:jc w:val="right"/>
            </w:pPr>
            <w:r>
              <w:rPr/>
              <w:t>2,100,000.00</w:t>
            </w:r>
          </w:p>
        </w:tc>
        <w:tc>
          <w:tcPr>
            <w:tcW w:type="dxa" w:w="933"/>
          </w:tcPr>
          <w:p>
            <w:pPr>
              <w:jc w:val="right"/>
            </w:pPr>
            <w:r>
              <w:rPr/>
              <w:t>2,100,000.00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中山市人民医院2023年管理干部培训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w:t>
            </w:r>
            <w:r>
              <w:rPr>
                <w:sz w:val="21"/>
              </w:rPr>
              <w:t>为了进一步推动高水平医院建设发展的实施方案，建设高端医学人才团队，提高医院管理团队管理素质，</w:t>
            </w:r>
            <w:r>
              <w:rPr>
                <w:sz w:val="21"/>
              </w:rPr>
              <w:t>现根据项目要求拟聘请有资质、有经验、有对口专业师资团队资源的服务公司承接本次培训活动，负责全面策划和实施等工作。</w:t>
            </w:r>
            <w:r>
              <w:br/>
            </w:r>
            <w:r>
              <w:rPr>
                <w:sz w:val="21"/>
              </w:rPr>
              <w:t>二、</w:t>
            </w:r>
            <w:r>
              <w:rPr>
                <w:sz w:val="21"/>
              </w:rPr>
              <w:t>策划要求：</w:t>
            </w:r>
          </w:p>
          <w:p>
            <w:pPr>
              <w:jc w:val="both"/>
            </w:pPr>
            <w:r>
              <w:rPr>
                <w:sz w:val="21"/>
              </w:rPr>
              <w:t>1、培训学习：满足采购单位需求，定位精准，内容丰富、价格合理；</w:t>
            </w:r>
          </w:p>
          <w:p>
            <w:pPr>
              <w:jc w:val="both"/>
            </w:pPr>
            <w:r>
              <w:rPr>
                <w:sz w:val="21"/>
              </w:rPr>
              <w:t>2、饮食安排：安全、卫生、价格合理；</w:t>
            </w:r>
          </w:p>
          <w:p>
            <w:pPr>
              <w:jc w:val="both"/>
            </w:pPr>
            <w:r>
              <w:rPr>
                <w:sz w:val="21"/>
              </w:rPr>
              <w:t>3、住行安排：安全、舒适、卫生、价格合理。</w:t>
            </w:r>
          </w:p>
          <w:p>
            <w:pPr>
              <w:jc w:val="both"/>
            </w:pPr>
            <w:r>
              <w:rPr>
                <w:sz w:val="21"/>
              </w:rPr>
              <w:t>4、食宿要求参考《事业单位工作人员培训规定》执行。</w:t>
            </w:r>
          </w:p>
          <w:p>
            <w:pPr>
              <w:jc w:val="both"/>
            </w:pPr>
            <w:r>
              <w:rPr>
                <w:sz w:val="21"/>
              </w:rPr>
              <w:t>三、</w:t>
            </w:r>
            <w:r>
              <w:rPr>
                <w:sz w:val="21"/>
              </w:rPr>
              <w:t>培训安排要求：</w:t>
            </w:r>
          </w:p>
          <w:p>
            <w:pPr>
              <w:jc w:val="both"/>
            </w:pPr>
            <w:r>
              <w:rPr>
                <w:sz w:val="21"/>
              </w:rPr>
              <w:t>1</w:t>
            </w:r>
            <w:r>
              <w:rPr>
                <w:sz w:val="21"/>
              </w:rPr>
              <w:t>、培训地点</w:t>
            </w:r>
            <w:r>
              <w:rPr>
                <w:sz w:val="21"/>
              </w:rPr>
              <w:t>：浙江</w:t>
            </w:r>
            <w:r>
              <w:rPr>
                <w:sz w:val="21"/>
              </w:rPr>
              <w:t>。</w:t>
            </w:r>
          </w:p>
          <w:p>
            <w:pPr>
              <w:jc w:val="both"/>
            </w:pPr>
            <w:r>
              <w:rPr>
                <w:sz w:val="21"/>
              </w:rPr>
              <w:t>2</w:t>
            </w:r>
            <w:r>
              <w:rPr>
                <w:sz w:val="21"/>
              </w:rPr>
              <w:t>、学习方式：以理论授课</w:t>
            </w:r>
            <w:r>
              <w:rPr>
                <w:sz w:val="21"/>
              </w:rPr>
              <w:t>+</w:t>
            </w:r>
            <w:r>
              <w:rPr>
                <w:sz w:val="21"/>
              </w:rPr>
              <w:t>交流学习的形式</w:t>
            </w:r>
            <w:r>
              <w:rPr>
                <w:sz w:val="21"/>
              </w:rPr>
              <w:t>分</w:t>
            </w:r>
            <w:r>
              <w:rPr>
                <w:sz w:val="21"/>
              </w:rPr>
              <w:t>二</w:t>
            </w:r>
            <w:r>
              <w:rPr>
                <w:sz w:val="21"/>
              </w:rPr>
              <w:t>期进行</w:t>
            </w:r>
            <w:r>
              <w:rPr>
                <w:sz w:val="21"/>
              </w:rPr>
              <w:t>。</w:t>
            </w:r>
          </w:p>
          <w:p>
            <w:pPr>
              <w:jc w:val="both"/>
            </w:pPr>
            <w:r>
              <w:rPr>
                <w:sz w:val="21"/>
              </w:rPr>
              <w:t>3</w:t>
            </w:r>
            <w:r>
              <w:rPr>
                <w:sz w:val="21"/>
              </w:rPr>
              <w:t>、参与人数：总人数约</w:t>
            </w:r>
            <w:r>
              <w:rPr>
                <w:sz w:val="21"/>
              </w:rPr>
              <w:t>200</w:t>
            </w:r>
            <w:r>
              <w:rPr>
                <w:sz w:val="21"/>
              </w:rPr>
              <w:t>人。</w:t>
            </w:r>
          </w:p>
          <w:p>
            <w:pPr>
              <w:jc w:val="both"/>
            </w:pPr>
            <w:r>
              <w:rPr>
                <w:sz w:val="21"/>
              </w:rPr>
              <w:t>3</w:t>
            </w:r>
            <w:r>
              <w:rPr>
                <w:sz w:val="21"/>
              </w:rPr>
              <w:t>、</w:t>
            </w:r>
            <w:r>
              <w:rPr>
                <w:sz w:val="21"/>
              </w:rPr>
              <w:t>培训时间安排</w:t>
            </w:r>
            <w:r>
              <w:rPr>
                <w:sz w:val="21"/>
              </w:rPr>
              <w:t>：</w:t>
            </w:r>
          </w:p>
          <w:p>
            <w:pPr>
              <w:jc w:val="both"/>
            </w:pPr>
            <w:r>
              <w:rPr>
                <w:sz w:val="21"/>
              </w:rPr>
              <w:t>第一期</w:t>
            </w:r>
            <w:r>
              <w:rPr>
                <w:sz w:val="21"/>
              </w:rPr>
              <w:t>9</w:t>
            </w:r>
            <w:r>
              <w:rPr>
                <w:sz w:val="21"/>
              </w:rPr>
              <w:t>月</w:t>
            </w:r>
            <w:r>
              <w:rPr>
                <w:sz w:val="21"/>
              </w:rPr>
              <w:t>14</w:t>
            </w:r>
            <w:r>
              <w:rPr>
                <w:sz w:val="21"/>
              </w:rPr>
              <w:t>日</w:t>
            </w:r>
            <w:r>
              <w:rPr>
                <w:sz w:val="21"/>
              </w:rPr>
              <w:t>-9</w:t>
            </w:r>
            <w:r>
              <w:rPr>
                <w:sz w:val="21"/>
              </w:rPr>
              <w:t>月</w:t>
            </w:r>
            <w:r>
              <w:rPr>
                <w:sz w:val="21"/>
              </w:rPr>
              <w:t>17</w:t>
            </w:r>
            <w:r>
              <w:rPr>
                <w:sz w:val="21"/>
              </w:rPr>
              <w:t>日</w:t>
            </w:r>
          </w:p>
          <w:p>
            <w:pPr>
              <w:jc w:val="both"/>
            </w:pPr>
            <w:r>
              <w:rPr>
                <w:sz w:val="21"/>
              </w:rPr>
              <w:t>第二期</w:t>
            </w:r>
            <w:r>
              <w:rPr>
                <w:sz w:val="21"/>
              </w:rPr>
              <w:t>9</w:t>
            </w:r>
            <w:r>
              <w:rPr>
                <w:sz w:val="21"/>
              </w:rPr>
              <w:t>月</w:t>
            </w:r>
            <w:r>
              <w:rPr>
                <w:sz w:val="21"/>
              </w:rPr>
              <w:t>21</w:t>
            </w:r>
            <w:r>
              <w:rPr>
                <w:sz w:val="21"/>
              </w:rPr>
              <w:t>日</w:t>
            </w:r>
            <w:r>
              <w:rPr>
                <w:sz w:val="21"/>
              </w:rPr>
              <w:t>-9</w:t>
            </w:r>
            <w:r>
              <w:rPr>
                <w:sz w:val="21"/>
              </w:rPr>
              <w:t>月</w:t>
            </w:r>
            <w:r>
              <w:rPr>
                <w:sz w:val="21"/>
              </w:rPr>
              <w:t>24</w:t>
            </w:r>
            <w:r>
              <w:rPr>
                <w:sz w:val="21"/>
              </w:rPr>
              <w:t>日</w:t>
            </w:r>
          </w:p>
          <w:p>
            <w:pPr>
              <w:jc w:val="both"/>
            </w:pPr>
            <w:r>
              <w:rPr>
                <w:sz w:val="21"/>
              </w:rPr>
              <w:t>每期</w:t>
            </w:r>
            <w:r>
              <w:rPr>
                <w:sz w:val="21"/>
              </w:rPr>
              <w:t>4</w:t>
            </w:r>
            <w:r>
              <w:rPr>
                <w:sz w:val="21"/>
              </w:rPr>
              <w:t>天，培训形式</w:t>
            </w:r>
            <w:r>
              <w:rPr>
                <w:sz w:val="21"/>
              </w:rPr>
              <w:t>要求</w:t>
            </w:r>
            <w:r>
              <w:rPr>
                <w:sz w:val="21"/>
              </w:rPr>
              <w:t>多样化，其中包含课堂学</w:t>
            </w:r>
            <w:r>
              <w:rPr>
                <w:sz w:val="21"/>
              </w:rPr>
              <w:t>习</w:t>
            </w:r>
            <w:r>
              <w:rPr>
                <w:sz w:val="21"/>
              </w:rPr>
              <w:t>3</w:t>
            </w:r>
            <w:r>
              <w:rPr>
                <w:sz w:val="21"/>
              </w:rPr>
              <w:t>天、标杆参访</w:t>
            </w:r>
            <w:r>
              <w:rPr>
                <w:sz w:val="21"/>
              </w:rPr>
              <w:t>1</w:t>
            </w:r>
            <w:r>
              <w:rPr>
                <w:sz w:val="21"/>
              </w:rPr>
              <w:t>天，每日总结学习。</w:t>
            </w:r>
            <w:r>
              <w:rPr>
                <w:sz w:val="21"/>
              </w:rPr>
              <w:t>（每天</w:t>
            </w:r>
            <w:r>
              <w:rPr>
                <w:sz w:val="21"/>
              </w:rPr>
              <w:t>8</w:t>
            </w:r>
            <w:r>
              <w:rPr>
                <w:sz w:val="21"/>
              </w:rPr>
              <w:t>学时，每学时</w:t>
            </w:r>
            <w:r>
              <w:rPr>
                <w:sz w:val="21"/>
              </w:rPr>
              <w:t>45</w:t>
            </w:r>
            <w:r>
              <w:rPr>
                <w:sz w:val="21"/>
              </w:rPr>
              <w:t>分钟）</w:t>
            </w:r>
          </w:p>
          <w:p>
            <w:pPr>
              <w:jc w:val="both"/>
            </w:pPr>
            <w:r>
              <w:rPr>
                <w:sz w:val="21"/>
              </w:rPr>
              <w:t>4</w:t>
            </w:r>
            <w:r>
              <w:rPr>
                <w:sz w:val="21"/>
              </w:rPr>
              <w:t>、培训内容要求：</w:t>
            </w:r>
          </w:p>
          <w:tbl>
            <w:tblPr>
              <w:tblBorders>
                <w:top w:val="none" w:color="000000" w:sz="4"/>
                <w:left w:val="none" w:color="000000" w:sz="4"/>
                <w:bottom w:val="none" w:color="000000" w:sz="4"/>
                <w:right w:val="none" w:color="000000" w:sz="4"/>
                <w:insideH w:val="none"/>
                <w:insideV w:val="none"/>
              </w:tblBorders>
            </w:tblPr>
            <w:tblGrid>
              <w:gridCol w:w="872"/>
              <w:gridCol w:w="2234"/>
              <w:gridCol w:w="849"/>
              <w:gridCol w:w="1606"/>
            </w:tblGrid>
            <w:tr>
              <w:tc>
                <w:tcPr>
                  <w:tcW w:type="dxa" w:w="872"/>
                  <w:tcBorders>
                    <w:top w:val="single" w:color="000000" w:sz="4"/>
                    <w:left w:val="single" w:color="000000" w:sz="4"/>
                    <w:bottom w:val="single" w:color="000000" w:sz="4"/>
                    <w:right w:val="single" w:color="000000" w:sz="4"/>
                  </w:tcBorders>
                  <w:vAlign w:val="top"/>
                </w:tcPr>
                <w:p>
                  <w:pPr>
                    <w:jc w:val="center"/>
                  </w:pPr>
                  <w:r>
                    <w:rPr>
                      <w:b/>
                      <w:color w:val="000000"/>
                      <w:sz w:val="21"/>
                    </w:rPr>
                    <w:t>项目名称</w:t>
                  </w:r>
                </w:p>
              </w:tc>
              <w:tc>
                <w:tcPr>
                  <w:tcW w:type="dxa" w:w="2234"/>
                  <w:tcBorders>
                    <w:top w:val="single" w:color="000000" w:sz="4"/>
                    <w:left w:val="single" w:color="000000" w:sz="4"/>
                    <w:bottom w:val="single" w:color="000000" w:sz="4"/>
                    <w:right w:val="single" w:color="000000" w:sz="4"/>
                  </w:tcBorders>
                  <w:vAlign w:val="top"/>
                </w:tcPr>
                <w:p>
                  <w:pPr>
                    <w:jc w:val="center"/>
                  </w:pPr>
                  <w:r>
                    <w:rPr>
                      <w:b/>
                      <w:color w:val="000000"/>
                      <w:sz w:val="21"/>
                    </w:rPr>
                    <w:t>项目培训内容</w:t>
                  </w:r>
                  <w:r>
                    <w:rPr>
                      <w:b/>
                      <w:sz w:val="21"/>
                    </w:rPr>
                    <w:t xml:space="preserve"> </w:t>
                  </w:r>
                </w:p>
              </w:tc>
              <w:tc>
                <w:tcPr>
                  <w:tcW w:type="dxa" w:w="849"/>
                  <w:tcBorders>
                    <w:top w:val="single" w:color="000000" w:sz="4"/>
                    <w:left w:val="single" w:color="000000" w:sz="4"/>
                    <w:bottom w:val="single" w:color="000000" w:sz="4"/>
                    <w:right w:val="single" w:color="000000" w:sz="4"/>
                  </w:tcBorders>
                  <w:vAlign w:val="top"/>
                </w:tcPr>
                <w:p>
                  <w:pPr>
                    <w:jc w:val="center"/>
                  </w:pPr>
                  <w:r>
                    <w:rPr>
                      <w:b/>
                      <w:color w:val="000000"/>
                      <w:sz w:val="21"/>
                    </w:rPr>
                    <w:t>人数</w:t>
                  </w:r>
                </w:p>
              </w:tc>
              <w:tc>
                <w:tcPr>
                  <w:tcW w:type="dxa" w:w="1606"/>
                  <w:tcBorders>
                    <w:top w:val="single" w:color="000000" w:sz="4"/>
                    <w:left w:val="single" w:color="000000" w:sz="4"/>
                    <w:bottom w:val="single" w:color="000000" w:sz="4"/>
                    <w:right w:val="single" w:color="000000" w:sz="4"/>
                  </w:tcBorders>
                  <w:vAlign w:val="top"/>
                </w:tcPr>
                <w:p>
                  <w:pPr>
                    <w:jc w:val="center"/>
                  </w:pPr>
                  <w:r>
                    <w:rPr>
                      <w:b/>
                      <w:color w:val="000000"/>
                      <w:sz w:val="21"/>
                    </w:rPr>
                    <w:t>采购预算（元）</w:t>
                  </w:r>
                </w:p>
              </w:tc>
            </w:tr>
            <w:tr>
              <w:tc>
                <w:tcPr>
                  <w:tcW w:type="dxa" w:w="872"/>
                  <w:vMerge w:val="restart"/>
                  <w:tcBorders>
                    <w:top w:val="none" w:color="000000" w:sz="4"/>
                    <w:left w:val="single" w:color="000000" w:sz="4"/>
                    <w:bottom w:val="single" w:color="000000" w:sz="4"/>
                    <w:right w:val="single" w:color="000000" w:sz="4"/>
                  </w:tcBorders>
                  <w:vAlign w:val="top"/>
                </w:tcPr>
                <w:p>
                  <w:pPr>
                    <w:jc w:val="left"/>
                  </w:pPr>
                  <w:r>
                    <w:rPr>
                      <w:color w:val="000000"/>
                      <w:sz w:val="21"/>
                    </w:rPr>
                    <w:t>中山市人民医院</w:t>
                  </w:r>
                  <w:r>
                    <w:rPr>
                      <w:color w:val="000000"/>
                      <w:sz w:val="21"/>
                    </w:rPr>
                    <w:t>202</w:t>
                  </w:r>
                  <w:r>
                    <w:rPr>
                      <w:color w:val="000000"/>
                      <w:sz w:val="21"/>
                    </w:rPr>
                    <w:t>3</w:t>
                  </w:r>
                  <w:r>
                    <w:rPr>
                      <w:color w:val="000000"/>
                      <w:sz w:val="21"/>
                    </w:rPr>
                    <w:t>年管理干部培训</w:t>
                  </w:r>
                  <w:r>
                    <w:rPr>
                      <w:color w:val="000000"/>
                      <w:sz w:val="21"/>
                    </w:rPr>
                    <w:t>采购</w:t>
                  </w:r>
                  <w:r>
                    <w:rPr>
                      <w:color w:val="000000"/>
                      <w:sz w:val="21"/>
                    </w:rPr>
                    <w:t>项目</w:t>
                  </w:r>
                </w:p>
              </w:tc>
              <w:tc>
                <w:tcPr>
                  <w:tcW w:type="dxa" w:w="2234"/>
                  <w:tcBorders>
                    <w:top w:val="none" w:color="000000" w:sz="4"/>
                    <w:left w:val="single" w:color="000000" w:sz="4"/>
                    <w:bottom w:val="single" w:color="000000" w:sz="4"/>
                    <w:right w:val="single" w:color="000000" w:sz="4"/>
                  </w:tcBorders>
                  <w:vAlign w:val="top"/>
                </w:tcPr>
                <w:p>
                  <w:pPr>
                    <w:jc w:val="left"/>
                  </w:pPr>
                  <w:r>
                    <w:rPr>
                      <w:color w:val="000000"/>
                      <w:sz w:val="21"/>
                    </w:rPr>
                    <w:t>1.</w:t>
                  </w:r>
                  <w:r>
                    <w:rPr>
                      <w:color w:val="000000"/>
                      <w:sz w:val="21"/>
                    </w:rPr>
                    <w:t>宏观形势：医疗卫生与医疗保障改革发展趋势、</w:t>
                  </w:r>
                  <w:r>
                    <w:rPr>
                      <w:color w:val="000000"/>
                      <w:sz w:val="21"/>
                    </w:rPr>
                    <w:t>习</w:t>
                  </w:r>
                  <w:r>
                    <w:rPr>
                      <w:color w:val="000000"/>
                      <w:sz w:val="21"/>
                    </w:rPr>
                    <w:t>主席</w:t>
                  </w:r>
                  <w:r>
                    <w:rPr>
                      <w:color w:val="000000"/>
                      <w:sz w:val="21"/>
                    </w:rPr>
                    <w:t>关于党的建设精神</w:t>
                  </w:r>
                  <w:r>
                    <w:rPr>
                      <w:color w:val="000000"/>
                      <w:sz w:val="21"/>
                    </w:rPr>
                    <w:t>学习</w:t>
                  </w:r>
                  <w:r>
                    <w:rPr>
                      <w:color w:val="000000"/>
                      <w:sz w:val="21"/>
                    </w:rPr>
                    <w:t>；</w:t>
                  </w:r>
                </w:p>
              </w:tc>
              <w:tc>
                <w:tcPr>
                  <w:tcW w:type="dxa" w:w="849"/>
                  <w:vMerge w:val="restart"/>
                  <w:tcBorders>
                    <w:top w:val="none" w:color="000000" w:sz="4"/>
                    <w:left w:val="single" w:color="000000" w:sz="4"/>
                    <w:bottom w:val="single" w:color="000000" w:sz="4"/>
                    <w:right w:val="single" w:color="000000" w:sz="4"/>
                  </w:tcBorders>
                  <w:vAlign w:val="top"/>
                </w:tcPr>
                <w:p>
                  <w:pPr>
                    <w:jc w:val="left"/>
                  </w:pPr>
                  <w:r>
                    <w:rPr>
                      <w:color w:val="000000"/>
                      <w:sz w:val="21"/>
                    </w:rPr>
                    <w:t>2</w:t>
                  </w:r>
                  <w:r>
                    <w:rPr>
                      <w:color w:val="000000"/>
                      <w:sz w:val="21"/>
                    </w:rPr>
                    <w:t>00</w:t>
                  </w:r>
                  <w:r>
                    <w:rPr>
                      <w:color w:val="000000"/>
                      <w:sz w:val="21"/>
                    </w:rPr>
                    <w:t>人</w:t>
                  </w:r>
                </w:p>
              </w:tc>
              <w:tc>
                <w:tcPr>
                  <w:tcW w:type="dxa" w:w="1606"/>
                  <w:vMerge w:val="restart"/>
                  <w:tcBorders>
                    <w:top w:val="none" w:color="000000" w:sz="4"/>
                    <w:left w:val="single" w:color="000000" w:sz="4"/>
                    <w:bottom w:val="single" w:color="000000" w:sz="4"/>
                    <w:right w:val="single" w:color="000000" w:sz="4"/>
                  </w:tcBorders>
                  <w:vAlign w:val="top"/>
                </w:tcPr>
                <w:p>
                  <w:pPr>
                    <w:jc w:val="left"/>
                  </w:pPr>
                  <w:r>
                    <w:rPr>
                      <w:color w:val="000000"/>
                      <w:sz w:val="21"/>
                    </w:rPr>
                    <w:t>¥</w:t>
                  </w:r>
                  <w:r>
                    <w:rPr>
                      <w:color w:val="000000"/>
                      <w:sz w:val="21"/>
                    </w:rPr>
                    <w:t>2</w:t>
                  </w:r>
                  <w:r>
                    <w:rPr>
                      <w:color w:val="000000"/>
                      <w:sz w:val="21"/>
                    </w:rPr>
                    <w:t>,</w:t>
                  </w:r>
                  <w:r>
                    <w:rPr>
                      <w:color w:val="000000"/>
                      <w:sz w:val="21"/>
                    </w:rPr>
                    <w:t>1</w:t>
                  </w:r>
                  <w:r>
                    <w:rPr>
                      <w:color w:val="000000"/>
                      <w:sz w:val="21"/>
                    </w:rPr>
                    <w:t>00,000.00</w:t>
                  </w:r>
                </w:p>
              </w:tc>
            </w:tr>
            <w:tr>
              <w:tc>
                <w:tcPr>
                  <w:tcW w:type="dxa" w:w="872"/>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vAlign w:val="top"/>
                </w:tcPr>
                <w:p>
                  <w:pPr>
                    <w:jc w:val="left"/>
                  </w:pPr>
                  <w:r>
                    <w:rPr>
                      <w:color w:val="000000"/>
                      <w:sz w:val="21"/>
                    </w:rPr>
                    <w:t>2.</w:t>
                  </w:r>
                  <w:r>
                    <w:rPr>
                      <w:color w:val="000000"/>
                      <w:sz w:val="21"/>
                    </w:rPr>
                    <w:t>顶层视野：战略管理、组织行为学、管理中的经济学、互联网思维与商业模式创新；</w:t>
                  </w:r>
                </w:p>
              </w:tc>
            </w:tr>
            <w:tr>
              <w:tc>
                <w:tcPr>
                  <w:tcW w:type="dxa" w:w="872"/>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vAlign w:val="top"/>
                </w:tcPr>
                <w:p>
                  <w:pPr>
                    <w:jc w:val="left"/>
                  </w:pPr>
                  <w:r>
                    <w:rPr>
                      <w:color w:val="000000"/>
                      <w:sz w:val="21"/>
                    </w:rPr>
                    <w:t>3.</w:t>
                  </w:r>
                  <w:r>
                    <w:rPr>
                      <w:color w:val="000000"/>
                      <w:sz w:val="21"/>
                    </w:rPr>
                    <w:t>医院运营：预算管理与成本控制、医院的危机管理与新媒体应对、大数据运营管理；</w:t>
                  </w:r>
                </w:p>
              </w:tc>
            </w:tr>
            <w:tr>
              <w:tc>
                <w:tcPr>
                  <w:tcW w:type="dxa" w:w="872"/>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vAlign w:val="top"/>
                </w:tcPr>
                <w:p>
                  <w:pPr>
                    <w:jc w:val="left"/>
                  </w:pPr>
                  <w:r>
                    <w:rPr>
                      <w:color w:val="000000"/>
                      <w:sz w:val="21"/>
                    </w:rPr>
                    <w:t>4.</w:t>
                  </w:r>
                  <w:r>
                    <w:rPr>
                      <w:color w:val="000000"/>
                      <w:sz w:val="21"/>
                    </w:rPr>
                    <w:t>团队管理：人才的选育留用、高绩效团队建设与执行力提升、跨部门沟通与协调艺术、情绪与压力管理；</w:t>
                  </w:r>
                </w:p>
              </w:tc>
            </w:tr>
            <w:tr>
              <w:tc>
                <w:tcPr>
                  <w:tcW w:type="dxa" w:w="872"/>
                  <w:vMerge/>
                  <w:tcBorders>
                    <w:top w:val="none" w:color="000000" w:sz="4"/>
                    <w:left w:val="single" w:color="000000" w:sz="4"/>
                    <w:bottom w:val="single" w:color="000000" w:sz="4"/>
                    <w:right w:val="single" w:color="000000" w:sz="4"/>
                  </w:tcBorders>
                </w:tcPr>
                <w:p/>
              </w:tc>
              <w:tc>
                <w:tcPr>
                  <w:tcW w:type="dxa" w:w="2234"/>
                  <w:tcBorders>
                    <w:top w:val="none" w:color="000000" w:sz="4"/>
                    <w:left w:val="single" w:color="000000" w:sz="4"/>
                    <w:bottom w:val="single" w:color="000000" w:sz="4"/>
                    <w:right w:val="single" w:color="000000" w:sz="4"/>
                  </w:tcBorders>
                  <w:vAlign w:val="top"/>
                </w:tcPr>
                <w:p>
                  <w:pPr>
                    <w:jc w:val="left"/>
                  </w:pPr>
                  <w:r>
                    <w:rPr>
                      <w:color w:val="000000"/>
                      <w:sz w:val="21"/>
                    </w:rPr>
                    <w:t>5.</w:t>
                  </w:r>
                  <w:r>
                    <w:rPr>
                      <w:color w:val="000000"/>
                      <w:sz w:val="21"/>
                    </w:rPr>
                    <w:t>论坛交流：医院人文关怀与发展之道</w:t>
                  </w:r>
                  <w:r>
                    <w:rPr>
                      <w:color w:val="000000"/>
                      <w:sz w:val="21"/>
                    </w:rPr>
                    <w:t>/</w:t>
                  </w:r>
                  <w:r>
                    <w:rPr>
                      <w:color w:val="000000"/>
                      <w:sz w:val="21"/>
                    </w:rPr>
                    <w:t>医患沟通与医患关系改善</w:t>
                  </w:r>
                  <w:r>
                    <w:rPr>
                      <w:color w:val="000000"/>
                      <w:sz w:val="21"/>
                    </w:rPr>
                    <w:t>/</w:t>
                  </w:r>
                  <w:r>
                    <w:rPr>
                      <w:color w:val="000000"/>
                      <w:sz w:val="21"/>
                    </w:rPr>
                    <w:t>医院绩效管理</w:t>
                  </w:r>
                  <w:r>
                    <w:rPr>
                      <w:color w:val="000000"/>
                      <w:sz w:val="21"/>
                    </w:rPr>
                    <w:t>。</w:t>
                  </w:r>
                </w:p>
              </w:tc>
            </w:tr>
          </w:tbl>
          <w:p>
            <w:pPr>
              <w:jc w:val="both"/>
            </w:pPr>
            <w:r>
              <w:rPr>
                <w:sz w:val="21"/>
              </w:rPr>
              <w:t>三、采购内容</w:t>
            </w:r>
          </w:p>
          <w:p>
            <w:pPr>
              <w:jc w:val="both"/>
            </w:pPr>
            <w:r>
              <w:rPr>
                <w:sz w:val="21"/>
              </w:rPr>
              <w:t>1.</w:t>
            </w:r>
            <w:r>
              <w:rPr>
                <w:sz w:val="21"/>
              </w:rPr>
              <w:t>本次采购的项目及范围为：成交人负责培训工作，包括但不限于培训所涉及的师资、交通、食宿、培训资料教材、场地、</w:t>
            </w:r>
            <w:r>
              <w:rPr>
                <w:sz w:val="21"/>
              </w:rPr>
              <w:t>保险、</w:t>
            </w:r>
            <w:r>
              <w:rPr>
                <w:sz w:val="21"/>
              </w:rPr>
              <w:t>培训组织与实施等培训中产生的一切事宜。</w:t>
            </w:r>
          </w:p>
          <w:p>
            <w:pPr>
              <w:jc w:val="both"/>
            </w:pPr>
            <w:r>
              <w:rPr>
                <w:sz w:val="21"/>
              </w:rPr>
              <w:t>2.</w:t>
            </w:r>
            <w:r>
              <w:rPr>
                <w:sz w:val="21"/>
              </w:rPr>
              <w:t>培训服务</w:t>
            </w:r>
            <w:r>
              <w:rPr>
                <w:sz w:val="21"/>
              </w:rPr>
              <w:t>期：自签订合同起至</w:t>
            </w:r>
            <w:r>
              <w:rPr>
                <w:sz w:val="21"/>
              </w:rPr>
              <w:t>202</w:t>
            </w:r>
            <w:r>
              <w:rPr>
                <w:sz w:val="21"/>
              </w:rPr>
              <w:t>3</w:t>
            </w:r>
            <w:r>
              <w:rPr>
                <w:sz w:val="21"/>
              </w:rPr>
              <w:t xml:space="preserve"> </w:t>
            </w:r>
            <w:r>
              <w:rPr>
                <w:sz w:val="21"/>
              </w:rPr>
              <w:t>年</w:t>
            </w:r>
            <w:r>
              <w:rPr>
                <w:sz w:val="21"/>
              </w:rPr>
              <w:t>10</w:t>
            </w:r>
            <w:r>
              <w:rPr>
                <w:sz w:val="21"/>
              </w:rPr>
              <w:t>月</w:t>
            </w:r>
            <w:r>
              <w:rPr>
                <w:sz w:val="21"/>
              </w:rPr>
              <w:t>31</w:t>
            </w:r>
            <w:r>
              <w:rPr>
                <w:sz w:val="21"/>
              </w:rPr>
              <w:t>日前完成。</w:t>
            </w:r>
          </w:p>
          <w:p>
            <w:pPr>
              <w:jc w:val="both"/>
            </w:pPr>
            <w:r>
              <w:rPr>
                <w:sz w:val="21"/>
              </w:rPr>
              <w:t>3.</w:t>
            </w:r>
            <w:r>
              <w:rPr>
                <w:sz w:val="21"/>
              </w:rPr>
              <w:t>本项目由成交人承包及负责招标文件对成交人要求的一切事宜及责任。</w:t>
            </w:r>
          </w:p>
          <w:p>
            <w:pPr>
              <w:jc w:val="both"/>
            </w:pPr>
            <w:r>
              <w:rPr>
                <w:sz w:val="21"/>
              </w:rPr>
              <w:t>4.</w:t>
            </w:r>
            <w:r>
              <w:rPr>
                <w:sz w:val="21"/>
              </w:rPr>
              <w:t>成交人须根据采购人要求的服务指标进行工作安排。</w:t>
            </w:r>
          </w:p>
          <w:p>
            <w:pPr>
              <w:jc w:val="both"/>
            </w:pPr>
            <w:r>
              <w:rPr>
                <w:sz w:val="21"/>
              </w:rPr>
              <w:t>5.</w:t>
            </w:r>
            <w:r>
              <w:rPr>
                <w:sz w:val="21"/>
              </w:rPr>
              <w:t>成交人未经采购人批准，不得再以任何方式转包或分包，如有违反，采购人有权单方解除双方签订的合同。</w:t>
            </w:r>
          </w:p>
          <w:p>
            <w:pPr>
              <w:jc w:val="both"/>
            </w:pPr>
            <w:r>
              <w:rPr>
                <w:sz w:val="21"/>
              </w:rPr>
              <w:t>6.</w:t>
            </w:r>
            <w:r>
              <w:rPr>
                <w:sz w:val="21"/>
              </w:rPr>
              <w:t>供应商基本要求：</w:t>
            </w:r>
          </w:p>
          <w:p>
            <w:pPr>
              <w:jc w:val="both"/>
            </w:pPr>
            <w:r>
              <w:rPr>
                <w:sz w:val="21"/>
              </w:rPr>
              <w:t>（</w:t>
            </w:r>
            <w:r>
              <w:rPr>
                <w:sz w:val="21"/>
              </w:rPr>
              <w:t>1</w:t>
            </w:r>
            <w:r>
              <w:rPr>
                <w:sz w:val="21"/>
              </w:rPr>
              <w:t>）</w:t>
            </w:r>
            <w:r>
              <w:rPr>
                <w:sz w:val="21"/>
              </w:rPr>
              <w:t>培训中，成交人须安排学员进行参观学习活动，所参观医院标准应达到国家绩效考核前一百名，科室数量不低于</w:t>
            </w:r>
            <w:r>
              <w:rPr>
                <w:sz w:val="21"/>
              </w:rPr>
              <w:t>5</w:t>
            </w:r>
            <w:r>
              <w:rPr>
                <w:sz w:val="21"/>
              </w:rPr>
              <w:t>个；</w:t>
            </w:r>
          </w:p>
          <w:p>
            <w:pPr>
              <w:jc w:val="both"/>
            </w:pPr>
            <w:r>
              <w:rPr>
                <w:sz w:val="21"/>
              </w:rPr>
              <w:t>（</w:t>
            </w:r>
            <w:r>
              <w:rPr>
                <w:sz w:val="21"/>
              </w:rPr>
              <w:t>2</w:t>
            </w:r>
            <w:r>
              <w:rPr>
                <w:sz w:val="21"/>
              </w:rPr>
              <w:t>）具有会议或培训经验，并具备从事培训组织工作的专业团队，具有健全的内部</w:t>
            </w:r>
            <w:r>
              <w:rPr>
                <w:sz w:val="21"/>
              </w:rPr>
              <w:t>管理</w:t>
            </w:r>
            <w:r>
              <w:rPr>
                <w:sz w:val="21"/>
              </w:rPr>
              <w:t>、财务和资产管理制度，具有良好的社会和商业信誉；</w:t>
            </w:r>
          </w:p>
          <w:p>
            <w:pPr>
              <w:jc w:val="both"/>
            </w:pPr>
            <w:r>
              <w:rPr>
                <w:sz w:val="21"/>
              </w:rPr>
              <w:t>（</w:t>
            </w:r>
            <w:r>
              <w:rPr>
                <w:sz w:val="21"/>
              </w:rPr>
              <w:t>3</w:t>
            </w:r>
            <w:r>
              <w:rPr>
                <w:sz w:val="21"/>
              </w:rPr>
              <w:t>）</w:t>
            </w:r>
            <w:r>
              <w:rPr>
                <w:sz w:val="21"/>
              </w:rPr>
              <w:t>具备高校合作</w:t>
            </w:r>
            <w:r>
              <w:rPr>
                <w:sz w:val="21"/>
              </w:rPr>
              <w:t>培训</w:t>
            </w:r>
            <w:r>
              <w:rPr>
                <w:sz w:val="21"/>
              </w:rPr>
              <w:t>经历；</w:t>
            </w:r>
          </w:p>
          <w:p>
            <w:pPr>
              <w:jc w:val="both"/>
            </w:pPr>
            <w:r>
              <w:rPr>
                <w:sz w:val="21"/>
              </w:rPr>
              <w:t>（</w:t>
            </w:r>
            <w:r>
              <w:rPr>
                <w:sz w:val="21"/>
              </w:rPr>
              <w:t>4</w:t>
            </w:r>
            <w:r>
              <w:rPr>
                <w:sz w:val="21"/>
              </w:rPr>
              <w:t>）</w:t>
            </w:r>
            <w:r>
              <w:rPr>
                <w:sz w:val="21"/>
              </w:rPr>
              <w:t>具备</w:t>
            </w:r>
            <w:r>
              <w:rPr>
                <w:sz w:val="21"/>
              </w:rPr>
              <w:t>“</w:t>
            </w:r>
            <w:r>
              <w:rPr>
                <w:sz w:val="21"/>
              </w:rPr>
              <w:t>双一流</w:t>
            </w:r>
            <w:r>
              <w:rPr>
                <w:sz w:val="21"/>
              </w:rPr>
              <w:t>”</w:t>
            </w:r>
            <w:r>
              <w:rPr>
                <w:sz w:val="21"/>
              </w:rPr>
              <w:t>院校讲师团队合作资源；</w:t>
            </w:r>
          </w:p>
          <w:p>
            <w:pPr>
              <w:jc w:val="both"/>
            </w:pPr>
            <w:r>
              <w:rPr>
                <w:sz w:val="21"/>
              </w:rPr>
              <w:t>（</w:t>
            </w:r>
            <w:r>
              <w:rPr>
                <w:sz w:val="21"/>
              </w:rPr>
              <w:t>5</w:t>
            </w:r>
            <w:r>
              <w:rPr>
                <w:sz w:val="21"/>
              </w:rPr>
              <w:t>）培训费严格</w:t>
            </w:r>
            <w:r>
              <w:rPr>
                <w:sz w:val="21"/>
              </w:rPr>
              <w:t>按照</w:t>
            </w:r>
            <w:r>
              <w:rPr>
                <w:sz w:val="21"/>
              </w:rPr>
              <w:t>《中山市市直党政机关和事业单位培训费管理办法》</w:t>
            </w:r>
            <w:r>
              <w:rPr>
                <w:sz w:val="21"/>
              </w:rPr>
              <w:t>执行</w:t>
            </w:r>
            <w:r>
              <w:rPr>
                <w:color w:val="0000FF"/>
                <w:sz w:val="21"/>
              </w:rPr>
              <w:t>。</w:t>
            </w:r>
            <w:r>
              <w:rPr>
                <w:sz w:val="21"/>
              </w:rPr>
              <w:t>除师资费外及往返交通费，采用综合定额，最高标准</w:t>
            </w:r>
            <w:r>
              <w:rPr>
                <w:sz w:val="21"/>
              </w:rPr>
              <w:t>550</w:t>
            </w:r>
            <w:r>
              <w:rPr>
                <w:sz w:val="21"/>
              </w:rPr>
              <w:t>元</w:t>
            </w:r>
            <w:r>
              <w:rPr>
                <w:sz w:val="21"/>
              </w:rPr>
              <w:t>/</w:t>
            </w:r>
            <w:r>
              <w:rPr>
                <w:sz w:val="21"/>
              </w:rPr>
              <w:t>人</w:t>
            </w:r>
            <w:r>
              <w:rPr>
                <w:sz w:val="21"/>
              </w:rPr>
              <w:t>/</w:t>
            </w:r>
            <w:r>
              <w:rPr>
                <w:sz w:val="21"/>
              </w:rPr>
              <w:t>天。各项标准要求：</w:t>
            </w:r>
          </w:p>
          <w:p>
            <w:pPr>
              <w:jc w:val="both"/>
            </w:pPr>
            <w:r>
              <w:rPr>
                <w:sz w:val="21"/>
              </w:rPr>
              <w:t>①</w:t>
            </w:r>
            <w:r>
              <w:rPr>
                <w:sz w:val="21"/>
              </w:rPr>
              <w:t>住宿标准：提供二星级以上酒店标准，标准双人间。</w:t>
            </w:r>
          </w:p>
          <w:p>
            <w:pPr>
              <w:jc w:val="both"/>
            </w:pPr>
            <w:r>
              <w:rPr>
                <w:sz w:val="21"/>
              </w:rPr>
              <w:t>②</w:t>
            </w:r>
            <w:r>
              <w:rPr>
                <w:sz w:val="21"/>
              </w:rPr>
              <w:t>伙食标准：至少含两荤一素一汤一水果。上课期间提供茶水茶包、咖啡条、饼干</w:t>
            </w:r>
            <w:r>
              <w:rPr>
                <w:sz w:val="21"/>
              </w:rPr>
              <w:t>/</w:t>
            </w:r>
            <w:r>
              <w:rPr>
                <w:sz w:val="21"/>
              </w:rPr>
              <w:t>糕点等简单茶点。</w:t>
            </w:r>
          </w:p>
          <w:p>
            <w:pPr>
              <w:jc w:val="both"/>
            </w:pPr>
            <w:r>
              <w:rPr>
                <w:sz w:val="21"/>
              </w:rPr>
              <w:t>③</w:t>
            </w:r>
            <w:r>
              <w:rPr>
                <w:sz w:val="21"/>
              </w:rPr>
              <w:t>场地标准：可容纳实际参训人员的课室</w:t>
            </w:r>
            <w:r>
              <w:rPr>
                <w:sz w:val="21"/>
              </w:rPr>
              <w:t>,</w:t>
            </w:r>
            <w:r>
              <w:rPr>
                <w:sz w:val="21"/>
              </w:rPr>
              <w:t>场地需配有电脑、投影仪与幕布、无线麦克风、音响、</w:t>
            </w:r>
            <w:r>
              <w:rPr>
                <w:sz w:val="21"/>
              </w:rPr>
              <w:t>PPT</w:t>
            </w:r>
            <w:r>
              <w:rPr>
                <w:sz w:val="21"/>
              </w:rPr>
              <w:t>翻页器、书写白板等正常开课设备。</w:t>
            </w:r>
          </w:p>
          <w:p>
            <w:pPr>
              <w:jc w:val="both"/>
            </w:pPr>
            <w:r>
              <w:rPr>
                <w:sz w:val="21"/>
              </w:rPr>
              <w:t>④</w:t>
            </w:r>
            <w:r>
              <w:rPr>
                <w:sz w:val="21"/>
              </w:rPr>
              <w:t>资料标准：包括但不限于学习资料（资料袋</w:t>
            </w:r>
            <w:r>
              <w:rPr>
                <w:sz w:val="21"/>
              </w:rPr>
              <w:t>/</w:t>
            </w:r>
            <w:r>
              <w:rPr>
                <w:sz w:val="21"/>
              </w:rPr>
              <w:t>笔记本</w:t>
            </w:r>
            <w:r>
              <w:rPr>
                <w:sz w:val="21"/>
              </w:rPr>
              <w:t>/</w:t>
            </w:r>
            <w:r>
              <w:rPr>
                <w:sz w:val="21"/>
              </w:rPr>
              <w:t>笔</w:t>
            </w:r>
            <w:r>
              <w:rPr>
                <w:sz w:val="21"/>
              </w:rPr>
              <w:t>/</w:t>
            </w:r>
            <w:r>
              <w:rPr>
                <w:sz w:val="21"/>
              </w:rPr>
              <w:t>讲义）、胸牌、座位牌、欢迎牌等。</w:t>
            </w:r>
          </w:p>
          <w:p>
            <w:pPr>
              <w:jc w:val="both"/>
            </w:pPr>
            <w:r>
              <w:rPr>
                <w:sz w:val="21"/>
              </w:rPr>
              <w:t>⑤</w:t>
            </w:r>
            <w:r>
              <w:rPr>
                <w:sz w:val="21"/>
              </w:rPr>
              <w:t>交通标准：往返交通、师资接送、往返参访地点的交通安排（车辆可坐约</w:t>
            </w:r>
            <w:r>
              <w:rPr>
                <w:sz w:val="21"/>
              </w:rPr>
              <w:t>50</w:t>
            </w:r>
            <w:r>
              <w:rPr>
                <w:sz w:val="21"/>
              </w:rPr>
              <w:t>人</w:t>
            </w:r>
            <w:r>
              <w:rPr>
                <w:sz w:val="21"/>
              </w:rPr>
              <w:t>/</w:t>
            </w:r>
            <w:r>
              <w:rPr>
                <w:sz w:val="21"/>
              </w:rPr>
              <w:t>车）。</w:t>
            </w:r>
          </w:p>
          <w:p>
            <w:pPr>
              <w:jc w:val="both"/>
            </w:pPr>
            <w:r>
              <w:rPr>
                <w:sz w:val="21"/>
              </w:rPr>
              <w:t>⑥</w:t>
            </w:r>
            <w:r>
              <w:rPr>
                <w:sz w:val="21"/>
              </w:rPr>
              <w:t>其他标准：供应商应为项目安排具有健全的培训管理体系及从事教学服务工作的专业团队，提供包括但不限于前期面向每位学员的培训需求调研、规范课堂管理、学员考核管理、培训经费管理、后勤服务管理以及规范的培训效果评估、跟踪反馈等管理制度，并安排</w:t>
            </w:r>
            <w:r>
              <w:rPr>
                <w:sz w:val="21"/>
              </w:rPr>
              <w:t>1-2</w:t>
            </w:r>
            <w:r>
              <w:rPr>
                <w:sz w:val="21"/>
              </w:rPr>
              <w:t>名全职班主任全程跟进。</w:t>
            </w:r>
          </w:p>
          <w:p>
            <w:pPr>
              <w:jc w:val="both"/>
            </w:pPr>
            <w:r>
              <w:rPr>
                <w:sz w:val="21"/>
              </w:rPr>
              <w:t>（</w:t>
            </w:r>
            <w:r>
              <w:rPr>
                <w:sz w:val="21"/>
              </w:rPr>
              <w:t>6</w:t>
            </w:r>
            <w:r>
              <w:rPr>
                <w:sz w:val="21"/>
              </w:rPr>
              <w:t>）师资费在综合定额标准外单独核算。</w:t>
            </w:r>
          </w:p>
          <w:p>
            <w:pPr>
              <w:jc w:val="both"/>
            </w:pPr>
            <w:r>
              <w:rPr>
                <w:sz w:val="21"/>
              </w:rPr>
              <w:t>（</w:t>
            </w:r>
            <w:r>
              <w:rPr>
                <w:sz w:val="21"/>
              </w:rPr>
              <w:t>7</w:t>
            </w:r>
            <w:r>
              <w:rPr>
                <w:sz w:val="21"/>
              </w:rPr>
              <w:t>）培训结束后，成交人需提供如下资料</w:t>
            </w:r>
            <w:r>
              <w:rPr>
                <w:sz w:val="21"/>
              </w:rPr>
              <w:t>,</w:t>
            </w:r>
            <w:r>
              <w:rPr>
                <w:sz w:val="21"/>
              </w:rPr>
              <w:t>以便采购人进行财务核算</w:t>
            </w:r>
            <w:r>
              <w:rPr>
                <w:sz w:val="21"/>
              </w:rPr>
              <w:t>:</w:t>
            </w:r>
          </w:p>
          <w:p>
            <w:pPr>
              <w:jc w:val="both"/>
            </w:pPr>
            <w:r>
              <w:rPr>
                <w:sz w:val="21"/>
              </w:rPr>
              <w:t>①</w:t>
            </w:r>
            <w:r>
              <w:rPr>
                <w:sz w:val="21"/>
              </w:rPr>
              <w:t>培训日程安排表，实际参训学员签到表；供应商合法有效发票及支出明细表；</w:t>
            </w:r>
          </w:p>
          <w:p>
            <w:pPr>
              <w:jc w:val="both"/>
            </w:pPr>
            <w:r>
              <w:rPr>
                <w:sz w:val="21"/>
              </w:rPr>
              <w:t>②</w:t>
            </w:r>
            <w:r>
              <w:rPr>
                <w:sz w:val="21"/>
              </w:rPr>
              <w:t>讲课费需提供授课老师劳务费签收表、身份证复印件、职称证明、课时证明资料；</w:t>
            </w:r>
          </w:p>
          <w:p>
            <w:pPr>
              <w:jc w:val="both"/>
            </w:pPr>
            <w:r>
              <w:rPr>
                <w:sz w:val="21"/>
              </w:rPr>
              <w:t>③</w:t>
            </w:r>
            <w:r>
              <w:rPr>
                <w:sz w:val="21"/>
              </w:rPr>
              <w:t>住宿费需提供住宿人员名单，住宿日期、住宿天数，合法票据等资料；伙食费需提供用餐人员名单、用餐日期、合法票据等资料；交通费需提供合法的乘车凭证、票据等资料；发生的其他费用，含场地租金、设备租金等费用需提供合法有效的票据及相关明细清单等资料。</w:t>
            </w:r>
          </w:p>
          <w:p>
            <w:pPr>
              <w:jc w:val="both"/>
            </w:pPr>
          </w:p>
          <w:p>
            <w:pPr>
              <w:jc w:val="both"/>
            </w:pPr>
            <w:r>
              <w:rPr>
                <w:sz w:val="21"/>
              </w:rPr>
              <w:t>四、服务内容</w:t>
            </w:r>
          </w:p>
          <w:p>
            <w:pPr>
              <w:jc w:val="both"/>
            </w:pPr>
            <w:r>
              <w:rPr>
                <w:sz w:val="21"/>
              </w:rPr>
              <w:t>1 .</w:t>
            </w:r>
            <w:r>
              <w:rPr>
                <w:sz w:val="21"/>
              </w:rPr>
              <w:t>经采购人审核同意后，根据双方确定的培训方案，负责落实培训场地、午餐安排、午休安排、参访交通、师资等事宜。</w:t>
            </w:r>
          </w:p>
          <w:p>
            <w:pPr>
              <w:jc w:val="both"/>
            </w:pPr>
            <w:r>
              <w:rPr>
                <w:sz w:val="21"/>
              </w:rPr>
              <w:t>2.</w:t>
            </w:r>
            <w:r>
              <w:rPr>
                <w:sz w:val="21"/>
              </w:rPr>
              <w:t>负责开班前的学员培训通知、现场报到注册，学员手册、学习资料等的印制，以及其他开班前的有关准备工作；及时向采购人反馈调训单位学员参训情况，做好中间的沟通协调工作。</w:t>
            </w:r>
          </w:p>
          <w:p>
            <w:pPr>
              <w:jc w:val="both"/>
            </w:pPr>
            <w:r>
              <w:rPr>
                <w:sz w:val="21"/>
              </w:rPr>
              <w:t>3.</w:t>
            </w:r>
            <w:r>
              <w:rPr>
                <w:sz w:val="21"/>
              </w:rPr>
              <w:t>每期班至少安排一名专职班主任，负责全程班级管理服务工作，为该班提供签到考勤、教学活动组织安排、老师和学员的沟通联络、学员的用餐安排等教学管理和后勤保障工作。</w:t>
            </w:r>
          </w:p>
          <w:p>
            <w:pPr>
              <w:jc w:val="both"/>
            </w:pPr>
            <w:r>
              <w:rPr>
                <w:sz w:val="21"/>
              </w:rPr>
              <w:t>4.</w:t>
            </w:r>
            <w:r>
              <w:rPr>
                <w:sz w:val="21"/>
              </w:rPr>
              <w:t>加强班级学风建设，落实意识形态工作责任制。严格教师管理，严肃教师上讲台纪律要求，旗帜鲜明反对和抵制各种错误观点；加强学员管理，严格执行中组部《关于在干部教育培训中进一步加强学员管理的规定》，有健全的教学组织管理制度和学员管理制度。</w:t>
            </w:r>
          </w:p>
          <w:p>
            <w:pPr>
              <w:jc w:val="both"/>
            </w:pPr>
            <w:r>
              <w:rPr>
                <w:sz w:val="21"/>
              </w:rPr>
              <w:t>5.</w:t>
            </w:r>
            <w:r>
              <w:rPr>
                <w:sz w:val="21"/>
              </w:rPr>
              <w:t>负责做好培训期间的学员人身、财产等安全保障工作。</w:t>
            </w:r>
          </w:p>
          <w:p>
            <w:pPr>
              <w:jc w:val="both"/>
            </w:pPr>
            <w:r>
              <w:rPr>
                <w:sz w:val="21"/>
              </w:rPr>
              <w:t>6.</w:t>
            </w:r>
            <w:r>
              <w:rPr>
                <w:sz w:val="21"/>
              </w:rPr>
              <w:t>与该项培训有关的其他服务。</w:t>
            </w:r>
          </w:p>
          <w:p>
            <w:pPr>
              <w:jc w:val="both"/>
            </w:pPr>
            <w:r>
              <w:rPr>
                <w:sz w:val="21"/>
              </w:rPr>
              <w:t xml:space="preserve"> </w:t>
            </w:r>
            <w:r>
              <w:rPr>
                <w:sz w:val="21"/>
              </w:rPr>
              <w:t>五、采购人配合事宜</w:t>
            </w:r>
          </w:p>
          <w:p>
            <w:pPr>
              <w:jc w:val="both"/>
            </w:pPr>
            <w:r>
              <w:rPr>
                <w:sz w:val="21"/>
              </w:rPr>
              <w:t>供应商在响应文件中须要列明在项目实施过程中需要采购人提供的配合条件，所列配合条件采购人将尽量配合解决，但不代表采购人全部接受，采购人有权全部或部分拒绝供应商提出的配合条件。</w:t>
            </w:r>
          </w:p>
          <w:p>
            <w:pPr>
              <w:jc w:val="both"/>
            </w:pPr>
          </w:p>
          <w:p>
            <w:pPr>
              <w:jc w:val="both"/>
            </w:pPr>
            <w:r>
              <w:br/>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本次采购向成交人收取招标代理服务费。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857号）及《关于进一步放开建设项目专业服务价格的通知》（发改价格〔2015〕299号）招标代理服务费标准的80%收取。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人民医院中山市经济和信息化局中山市人民政府金融工作局关于印发的通知》的告知，1、根据《中国人民银行中山市中心支行中山市人民医院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中山市人民医院2023年管理干部培训采购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采购包1（中山市人民医院2023年管理干部培训采购项目）：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采购包1（中山市人民医院2023年管理干部培训采购项目）：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请在响应文件里提供承诺书或说明书。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专门面向中小企业采购。参与的供应商服务全部由符合政策要求的中小企业承接，请拟参与投标的供应商根据招标公告附件1《2017国民经济分类》自行确定单位主营业务行业归属（当单位从事一种经济活动时，则按照该经济活动确定单位的行业；当单位从事两种以上的经济活动时，则按照主要活动确定单位的行业。），所属行业必须与本项目采购文件中明确的所属行业（其他未列明行业）一致；根据附件2《中小企业划型标准规定》以单位上一年度经济数据自行判定是否属于其他未列明行业中小微企业，符合中小微类型的方可参与本项目的投标。</w:t>
            </w:r>
          </w:p>
        </w:tc>
      </w:tr>
    </w:tbl>
    <w:p/>
    <w:p>
      <w:pPr>
        <w:ind w:firstLine="480"/>
      </w:pPr>
      <w:r>
        <w:rPr/>
        <w:t>表二符合性审查表：</w:t>
      </w:r>
    </w:p>
    <w:p>
      <w:pPr>
        <w:ind w:firstLine="480"/>
      </w:pPr>
    </w:p>
    <w:p/>
    <w:p>
      <w:r>
        <w:rPr/>
        <w:t>采购包1（中山市人民医院2023年管理干部培训采购项目）：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响应文件的制作</w:t>
            </w:r>
          </w:p>
        </w:tc>
        <w:tc>
          <w:tcPr>
            <w:tcW w:type="dxa" w:w="4238"/>
          </w:tcPr>
          <w:p>
            <w:r>
              <w:rPr/>
              <w:t>提交了响应承诺函，响应文件按要求签署、盖章。</w:t>
            </w:r>
          </w:p>
        </w:tc>
      </w:tr>
      <w:tr>
        <w:tc>
          <w:tcPr>
            <w:tcW w:type="dxa" w:w="890"/>
          </w:tcPr>
          <w:p>
            <w:r>
              <w:rPr/>
              <w:t>2</w:t>
            </w:r>
          </w:p>
        </w:tc>
        <w:tc>
          <w:tcPr>
            <w:tcW w:type="dxa" w:w="3178"/>
          </w:tcPr>
          <w:p>
            <w:r>
              <w:rPr/>
              <w:t>响应文件的有效期</w:t>
            </w:r>
          </w:p>
        </w:tc>
        <w:tc>
          <w:tcPr>
            <w:tcW w:type="dxa" w:w="4238"/>
          </w:tcPr>
          <w:p>
            <w:r>
              <w:rPr/>
              <w:t>响应文件的有效期为从提交投标 (响应) 文件的截止之日起90日历天。</w:t>
            </w:r>
          </w:p>
        </w:tc>
      </w:tr>
      <w:tr>
        <w:tc>
          <w:tcPr>
            <w:tcW w:type="dxa" w:w="890"/>
          </w:tcPr>
          <w:p>
            <w:r>
              <w:rPr/>
              <w:t>3</w:t>
            </w:r>
          </w:p>
        </w:tc>
        <w:tc>
          <w:tcPr>
            <w:tcW w:type="dxa" w:w="3178"/>
          </w:tcPr>
          <w:p>
            <w:r>
              <w:rPr/>
              <w:t>资格证明书及授权委托书</w:t>
            </w:r>
          </w:p>
        </w:tc>
        <w:tc>
          <w:tcPr>
            <w:tcW w:type="dxa" w:w="4238"/>
          </w:tcPr>
          <w:p>
            <w:r>
              <w:rPr/>
              <w:t>法定代表人/负责人资格证明书及授权委托书，按对应格式文件签署、盖章。</w:t>
            </w:r>
          </w:p>
        </w:tc>
      </w:tr>
      <w:tr>
        <w:tc>
          <w:tcPr>
            <w:tcW w:type="dxa" w:w="890"/>
          </w:tcPr>
          <w:p>
            <w:r>
              <w:rPr/>
              <w:t>4</w:t>
            </w:r>
          </w:p>
        </w:tc>
        <w:tc>
          <w:tcPr>
            <w:tcW w:type="dxa" w:w="3178"/>
          </w:tcPr>
          <w:p>
            <w:r>
              <w:rPr/>
              <w:t>投标报价</w:t>
            </w:r>
          </w:p>
        </w:tc>
        <w:tc>
          <w:tcPr>
            <w:tcW w:type="dxa" w:w="4238"/>
          </w:tcPr>
          <w:p>
            <w:r>
              <w:rPr/>
              <w:t>投标 (报价) 总金额是固定价且是唯一的，未超过本项目采购预算。</w:t>
            </w:r>
          </w:p>
        </w:tc>
      </w:tr>
      <w:tr>
        <w:tc>
          <w:tcPr>
            <w:tcW w:type="dxa" w:w="890"/>
          </w:tcPr>
          <w:p>
            <w:r>
              <w:rPr/>
              <w:t>5</w:t>
            </w:r>
          </w:p>
        </w:tc>
        <w:tc>
          <w:tcPr>
            <w:tcW w:type="dxa" w:w="3178"/>
          </w:tcPr>
          <w:p>
            <w:r>
              <w:rPr/>
              <w:t>其他</w:t>
            </w:r>
          </w:p>
        </w:tc>
        <w:tc>
          <w:tcPr>
            <w:tcW w:type="dxa" w:w="4238"/>
          </w:tcPr>
          <w:p>
            <w:r>
              <w:rPr/>
              <w:t>无采购文件或法规明确规定可以废标的其他情形。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采购包1(中山市人民医院2023年管理干部培训采购项目):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对项目的理解与熟悉程度 (12.0分)</w:t>
            </w:r>
            <w:r>
              <w:rPr/>
              <w:t>，（等次分值选择：</w:t>
            </w:r>
            <w:r>
              <w:rPr/>
              <w:t>0.0;</w:t>
            </w:r>
            <w:r>
              <w:rPr/>
              <w:t>2.0;</w:t>
            </w:r>
            <w:r>
              <w:rPr/>
              <w:t>7.0;</w:t>
            </w:r>
            <w:r>
              <w:rPr/>
              <w:t>12.0;</w:t>
            </w:r>
            <w:r>
              <w:rPr/>
              <w:t>）</w:t>
            </w:r>
          </w:p>
        </w:tc>
        <w:tc>
          <w:tcPr>
            <w:tcW w:type="dxa" w:w="5076"/>
          </w:tcPr>
          <w:p>
            <w:pPr>
              <w:jc w:val="left"/>
            </w:pPr>
            <w:r>
              <w:rPr/>
              <w:t>根据供应商对项目的理解与熟悉程度（包括但不限于对卫健系统医院管理教育现状的分析，对本项目采购需求的理解、定位、目标、成果的具体分析）进行综合评审： 1、对项目的理解与采购需求的匹配度高，能充分了解项目需求的必要性、重要性，熟悉项目培训要求，能准确把握培训工作内容，得12分； 2、对项目的理解与采购需求的匹配程度较高，比较了解项目需求的必要性、重要性，熟悉项目培训要求，能较为准确把握培训工作内容，得7分；  3、对项目的理解与采购需求的匹配度不太高，对项目需求的必要性、重要性，熟悉项目培训要求理解程度一般，把握培训工作内容的能力一般，得2分；   4、无提供或其他不得分。</w:t>
            </w:r>
          </w:p>
        </w:tc>
      </w:tr>
      <w:tr>
        <w:tc>
          <w:tcPr>
            <w:tcW w:type="dxa" w:w="922"/>
            <w:gridSpan w:val="2"/>
            <w:vMerge/>
          </w:tcPr>
          <w:p/>
        </w:tc>
        <w:tc>
          <w:tcPr>
            <w:tcW w:type="dxa" w:w="2307"/>
          </w:tcPr>
          <w:p>
            <w:pPr>
              <w:jc w:val="left"/>
            </w:pPr>
            <w:r>
              <w:rPr/>
              <w:t>培训实施方案 (35.0分)</w:t>
            </w:r>
            <w:r>
              <w:rPr/>
              <w:t>，（等次分值选择：</w:t>
            </w:r>
            <w:r>
              <w:rPr/>
              <w:t>0.0;</w:t>
            </w:r>
            <w:r>
              <w:rPr/>
              <w:t>3.0;</w:t>
            </w:r>
            <w:r>
              <w:rPr/>
              <w:t>19.0;</w:t>
            </w:r>
            <w:r>
              <w:rPr/>
              <w:t>35.0;</w:t>
            </w:r>
            <w:r>
              <w:rPr/>
              <w:t>）</w:t>
            </w:r>
          </w:p>
        </w:tc>
        <w:tc>
          <w:tcPr>
            <w:tcW w:type="dxa" w:w="5076"/>
          </w:tcPr>
          <w:p>
            <w:pPr>
              <w:jc w:val="left"/>
            </w:pPr>
            <w:r>
              <w:rPr/>
              <w:t>供应商根据过往业绩经验提供符合本项目需求的培训实施方案，方案应根据项目规模、要求、目标详细制定，包括但不限于培训人员信息统计、行程交通食宿安排、培训课程设计、合作团队、讲师资源及会场布置及服务、现场教学安排、参观安排、接送交通服务等。可提供过往与本次规模相等的培训经验的案例说明： 1、培训实施方案完整清晰，与本项目规模、要求、目标匹配度高，可操作性强，合作单位和授课专家专业实力非常强、人员组织安排合理，食宿安排符合标准或优于采购需求要求；授课及现场教学、培训流程、培训持续跟踪服务有亮点、有特色；能提供过往同等规模医院培训案例且案例非常生动具体的，得35分；  2、培训实施方案比较完整，与本项目规模、要求、目标匹配程度较高，可操作性较强，合作单位和授课专家专业实力较强、人员组织安排合理，食宿安排符合标准；授课及现场教学、培训流程、培训持续跟踪服务比较好；能提供过往同等规模医院培训案例，案例内容比较好的，得19分；  3、培训实施方案不够完整，与本项目规模、要求、目标匹配程度不太高，可操作性一般，合作单位和授课专家专业实力比较弱强、人员组织安排合理性一般，食宿安排符合标准；授课及现场教学、培训流程、培训持续跟踪服务一般；未能提供过往同等规模医院培训案例，或提供的案例与本项目规模匹配度不高，案例内容一般，得3分；  4、无提供或其他不得分。</w:t>
            </w:r>
          </w:p>
        </w:tc>
      </w:tr>
      <w:tr>
        <w:tc>
          <w:tcPr>
            <w:tcW w:type="dxa" w:w="922"/>
            <w:gridSpan w:val="2"/>
            <w:vMerge/>
          </w:tcPr>
          <w:p/>
        </w:tc>
        <w:tc>
          <w:tcPr>
            <w:tcW w:type="dxa" w:w="2307"/>
          </w:tcPr>
          <w:p>
            <w:pPr>
              <w:jc w:val="left"/>
            </w:pPr>
            <w:r>
              <w:rPr/>
              <w:t>服务总体方案  (8.0分)</w:t>
            </w:r>
            <w:r>
              <w:rPr/>
              <w:t>，（等次分值选择：</w:t>
            </w:r>
            <w:r>
              <w:rPr/>
              <w:t>0.0;</w:t>
            </w:r>
            <w:r>
              <w:rPr/>
              <w:t>2.0;</w:t>
            </w:r>
            <w:r>
              <w:rPr/>
              <w:t>5.0;</w:t>
            </w:r>
            <w:r>
              <w:rPr/>
              <w:t>8.0;</w:t>
            </w:r>
            <w:r>
              <w:rPr/>
              <w:t>）</w:t>
            </w:r>
          </w:p>
        </w:tc>
        <w:tc>
          <w:tcPr>
            <w:tcW w:type="dxa" w:w="5076"/>
          </w:tcPr>
          <w:p>
            <w:pPr>
              <w:jc w:val="left"/>
            </w:pPr>
            <w:r>
              <w:rPr/>
              <w:t>根据供应商提供的服务方案（包括但不限于培训服务流程、管理服务架构、考核制度方案等）进行综合评审：  1、服务方案非常符合项目实际情况，非常科学可行且考虑周到，完全满足或优于采购需求的，得8分；  2、服务方案较符合项目实际情况，具有一定的科学性可行性，考虑周到，满足采购需求的，得5分；  3、服务方案基本符合项目实际情况，科学性可行性较低，基本满足采购需求的，得2分；  4、无提供或其他不得分。</w:t>
            </w:r>
          </w:p>
        </w:tc>
      </w:tr>
      <w:tr>
        <w:tc>
          <w:tcPr>
            <w:tcW w:type="dxa" w:w="922"/>
            <w:gridSpan w:val="2"/>
            <w:vMerge/>
          </w:tcPr>
          <w:p/>
        </w:tc>
        <w:tc>
          <w:tcPr>
            <w:tcW w:type="dxa" w:w="2307"/>
          </w:tcPr>
          <w:p>
            <w:pPr>
              <w:jc w:val="left"/>
            </w:pPr>
            <w:r>
              <w:rPr/>
              <w:t>应急预案  (5.0分)</w:t>
            </w:r>
            <w:r>
              <w:rPr/>
              <w:t>，（等次分值选择：</w:t>
            </w:r>
            <w:r>
              <w:rPr/>
              <w:t>0.0;</w:t>
            </w:r>
            <w:r>
              <w:rPr/>
              <w:t>1.0;</w:t>
            </w:r>
            <w:r>
              <w:rPr/>
              <w:t>3.0;</w:t>
            </w:r>
            <w:r>
              <w:rPr/>
              <w:t>5.0;</w:t>
            </w:r>
            <w:r>
              <w:rPr/>
              <w:t>）</w:t>
            </w:r>
          </w:p>
        </w:tc>
        <w:tc>
          <w:tcPr>
            <w:tcW w:type="dxa" w:w="5076"/>
          </w:tcPr>
          <w:p>
            <w:pPr>
              <w:jc w:val="left"/>
            </w:pPr>
            <w:r>
              <w:rPr/>
              <w:t>根据供应商提供的应急预案（包括但不限于食品安全、交通安全、参训学员突发疾病、授课老师临时请假、天气变化等不可控因素导致可能影响培训的情形）进行综合评审：   1、有突发情况及培训管理各方面的应急预案，方案详细、可行，科学，针对性强，得5分；   2、有突发情况及培训管理各方面的应急预案，方案较详细，较可行，较科学，针对性较强，得3分；   3、突发情况及培训管理各方面的应急预案有缺陷，方案简单、不具备可行性，得1分；   4、无提供或其他不得分。</w:t>
            </w:r>
          </w:p>
        </w:tc>
      </w:tr>
      <w:tr>
        <w:tc>
          <w:tcPr>
            <w:tcW w:type="dxa" w:w="922"/>
            <w:gridSpan w:val="2"/>
            <w:vMerge w:val="restart"/>
          </w:tcPr>
          <w:p>
            <w:pPr>
              <w:jc w:val="center"/>
            </w:pPr>
            <w:r>
              <w:rPr/>
              <w:t>商务部分</w:t>
            </w:r>
          </w:p>
        </w:tc>
        <w:tc>
          <w:tcPr>
            <w:tcW w:type="dxa" w:w="2307"/>
          </w:tcPr>
          <w:p>
            <w:pPr>
              <w:jc w:val="left"/>
            </w:pPr>
            <w:r>
              <w:rPr/>
              <w:t>同类项目经验  (4.0分)</w:t>
            </w:r>
          </w:p>
        </w:tc>
        <w:tc>
          <w:tcPr>
            <w:tcW w:type="dxa" w:w="5076"/>
          </w:tcPr>
          <w:p>
            <w:pPr>
              <w:jc w:val="left"/>
            </w:pPr>
            <w:r>
              <w:rPr/>
              <w:t>供应商提供2020年至今具有与本项目同规模的同类项目经验，每提供1个得1分，最高得4分。 注：（1）投标文件中提供业绩的合同复印件或合同关键页复印件；（2）同类服务项目业绩以合同内容及合同签订时间为准；（3）包括但不限于采购内容、金额、签约日期、双方盖章的合同关键页复印件；（4）未按要求提供的同类服务项目业绩不得分。</w:t>
            </w:r>
          </w:p>
        </w:tc>
      </w:tr>
      <w:tr>
        <w:tc>
          <w:tcPr>
            <w:tcW w:type="dxa" w:w="922"/>
            <w:gridSpan w:val="2"/>
            <w:vMerge/>
          </w:tcPr>
          <w:p/>
        </w:tc>
        <w:tc>
          <w:tcPr>
            <w:tcW w:type="dxa" w:w="2307"/>
          </w:tcPr>
          <w:p>
            <w:pPr>
              <w:jc w:val="left"/>
            </w:pPr>
            <w:r>
              <w:rPr/>
              <w:t>客户评价 (4.0分)</w:t>
            </w:r>
          </w:p>
        </w:tc>
        <w:tc>
          <w:tcPr>
            <w:tcW w:type="dxa" w:w="5076"/>
          </w:tcPr>
          <w:p>
            <w:pPr>
              <w:jc w:val="left"/>
            </w:pPr>
            <w:r>
              <w:rPr/>
              <w:t>供应商提供上述2020年至今承接同类项目的用户单位出具的满意度评价为满意或类似好评： 每提供一项得1分，本项最高得4分。  注：1、同一客户或同一项目提供多项用户满意度评价的，按一项计算; 2、须与报价供应商上述提供的2020年至今承接同类项目的用户单位一致，且具有加盖用户单位的公章; 3、用户满意度评价须提供用户单位的相关证明，评价情况至少须为满意或类似好评的方可计分。</w:t>
            </w:r>
          </w:p>
        </w:tc>
      </w:tr>
      <w:tr>
        <w:tc>
          <w:tcPr>
            <w:tcW w:type="dxa" w:w="922"/>
            <w:gridSpan w:val="2"/>
            <w:vMerge/>
          </w:tcPr>
          <w:p/>
        </w:tc>
        <w:tc>
          <w:tcPr>
            <w:tcW w:type="dxa" w:w="2307"/>
          </w:tcPr>
          <w:p>
            <w:pPr>
              <w:jc w:val="left"/>
            </w:pPr>
            <w:r>
              <w:rPr/>
              <w:t>管理体系证书  (2.0分)</w:t>
            </w:r>
          </w:p>
        </w:tc>
        <w:tc>
          <w:tcPr>
            <w:tcW w:type="dxa" w:w="5076"/>
          </w:tcPr>
          <w:p>
            <w:pPr>
              <w:jc w:val="left"/>
            </w:pPr>
            <w:r>
              <w:rPr/>
              <w:t>供应商提供有效期内的质量管理体系认证证书，得2分。   注：提供有效期内的证书复印件并加盖投标人的公章，不按要求提供不得分。</w:t>
            </w:r>
          </w:p>
        </w:tc>
      </w:tr>
      <w:tr>
        <w:tc>
          <w:tcPr>
            <w:tcW w:type="dxa" w:w="922"/>
            <w:gridSpan w:val="2"/>
            <w:vMerge/>
          </w:tcPr>
          <w:p/>
        </w:tc>
        <w:tc>
          <w:tcPr>
            <w:tcW w:type="dxa" w:w="2307"/>
          </w:tcPr>
          <w:p>
            <w:pPr>
              <w:jc w:val="left"/>
            </w:pPr>
            <w:r>
              <w:rPr/>
              <w:t>供应商合作资源实力 (20.0分)</w:t>
            </w:r>
          </w:p>
        </w:tc>
        <w:tc>
          <w:tcPr>
            <w:tcW w:type="dxa" w:w="5076"/>
          </w:tcPr>
          <w:p>
            <w:pPr>
              <w:jc w:val="left"/>
            </w:pPr>
            <w:r>
              <w:rPr/>
              <w:t>根据供应商合作资源实力进行评审： 1、供应商具备与高校或医疗相关机构等合作培训资源，能为本项目提供专业、精准服务的，每提供一家，得2分，本小项最高得10分。 2、供应商提供的讲师团队资源： 2.1 提供的讲师享受国务院特殊津贴，得2分，本项最高2分； 2.2 提供的讲师具有正高职称的，得1分，具有副高职称的，得0.5分，本项最高得2分。 3、提供的讲师具有医院管理类讲座培训经验的，每提供一个符合条件的讲师得2分，本小项最高得6分。                                                                                                                                                                                                                                                                                                                                                                                                                                                                                                                                                                                                                                                                                                                                                                                                     注： （1）提供以下相关证明材料（提供任意一项）：签订的合作协议；合作培训合同；培训现场照片；课程编排资料；具备的医院管理培训资源说明（格式自拟）；其他可证明其合作培训资源的资料。 （2）提供“国务院特殊津贴专家”公示名单截图等相关证明材料或职称证书复印件或承诺中标后能按投标文件响应提供相应人员（格式自拟）并加盖投标人公章。 （3）须提供相应讲师所参与的讲座或培训证明材料（如参会证明或发言证书等）并加盖投标人公章。 （4）未按要求提供证明材料的，不得分。 （5）供应商提供的证明材料应能清楚地体现评审所要求的内容，如磋商小组无法从所提供的证明材料中判断是否符合要求的，视为不符合。 （6）采购人与中标人签订合同之前，采购人有权对中标供应商投标文件中提供的佐证材料进行查验，采购人如发现中标人提供虚假资料的，将取消其中标资格并报送政府采购监管部门进行依法处理。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t xml:space="preserve"> </w:t>
      </w:r>
    </w:p>
    <w:p>
      <w:pPr>
        <w:jc w:val="center"/>
      </w:pPr>
      <w:r>
        <w:rPr/>
        <w:t xml:space="preserve"> </w:t>
      </w:r>
    </w:p>
    <w:p>
      <w:pPr>
        <w:jc w:val="center"/>
      </w:pPr>
      <w:r>
        <w:rPr>
          <w:b/>
        </w:rPr>
        <w:t xml:space="preserve"> </w:t>
      </w:r>
    </w:p>
    <w:p>
      <w:pPr>
        <w:jc w:val="center"/>
      </w:pPr>
      <w:r>
        <w:rPr>
          <w:b/>
          <w:sz w:val="39"/>
        </w:rPr>
        <w:t>广东省政府采购</w:t>
      </w:r>
    </w:p>
    <w:p>
      <w:pPr>
        <w:jc w:val="both"/>
      </w:pPr>
      <w:r>
        <w:rPr>
          <w:sz w:val="21"/>
        </w:rPr>
        <w:t xml:space="preserve"> </w:t>
      </w:r>
    </w:p>
    <w:p>
      <w:pPr>
        <w:jc w:val="center"/>
      </w:pPr>
      <w:r>
        <w:rPr>
          <w:b/>
          <w:sz w:val="39"/>
        </w:rPr>
        <w:t>合　同　书</w:t>
      </w:r>
    </w:p>
    <w:p>
      <w:pPr>
        <w:jc w:val="center"/>
      </w:pPr>
      <w:r>
        <w:rPr>
          <w:sz w:val="21"/>
        </w:rPr>
        <w:t xml:space="preserve"> </w:t>
      </w:r>
    </w:p>
    <w:p>
      <w:pPr>
        <w:jc w:val="center"/>
      </w:pPr>
      <w:r>
        <w:rPr>
          <w:b/>
          <w:color w:val="000000"/>
          <w:sz w:val="21"/>
        </w:rPr>
        <w:t>(</w:t>
      </w:r>
      <w:r>
        <w:rPr>
          <w:b/>
          <w:color w:val="000000"/>
          <w:sz w:val="21"/>
        </w:rPr>
        <w:t>本合同范本仅供参考，成交人与采购人可根据双方的具体要求进行修订，双方所签订的合同不得对招标文件确定的事项和成交人投标文件作实质性修改。）</w:t>
      </w:r>
    </w:p>
    <w:p>
      <w:pPr>
        <w:jc w:val="both"/>
      </w:pPr>
    </w:p>
    <w:p>
      <w:pPr>
        <w:jc w:val="both"/>
      </w:pPr>
    </w:p>
    <w:p>
      <w:pPr>
        <w:jc w:val="center"/>
      </w:pPr>
      <w:r>
        <w:rPr>
          <w:sz w:val="21"/>
        </w:rPr>
        <w:t xml:space="preserve"> </w:t>
      </w:r>
    </w:p>
    <w:p>
      <w:pPr>
        <w:ind w:firstLine="280"/>
        <w:jc w:val="both"/>
      </w:pPr>
      <w:r>
        <w:rPr/>
        <w:t xml:space="preserve"> </w:t>
      </w:r>
    </w:p>
    <w:p>
      <w:pPr>
        <w:ind w:firstLine="280"/>
        <w:jc w:val="both"/>
      </w:pPr>
      <w:r>
        <w:rPr/>
        <w:t xml:space="preserve"> </w:t>
      </w:r>
    </w:p>
    <w:p>
      <w:pPr>
        <w:ind w:firstLine="280"/>
        <w:jc w:val="both"/>
      </w:pPr>
      <w:r>
        <w:rPr>
          <w:color w:val="222222"/>
          <w:sz w:val="28"/>
        </w:rPr>
        <w:t xml:space="preserve">              采购计划编号：</w:t>
      </w:r>
      <w:r>
        <w:rPr>
          <w:sz w:val="21"/>
          <w:u w:val="single"/>
        </w:rPr>
        <w:t xml:space="preserve">                          </w:t>
      </w:r>
    </w:p>
    <w:p>
      <w:pPr>
        <w:jc w:val="center"/>
      </w:pPr>
      <w:r>
        <w:rPr>
          <w:sz w:val="21"/>
        </w:rPr>
        <w:t xml:space="preserve"> </w:t>
      </w:r>
    </w:p>
    <w:p>
      <w:pPr>
        <w:ind w:firstLine="280"/>
        <w:jc w:val="both"/>
      </w:pPr>
      <w:r>
        <w:rPr>
          <w:color w:val="222222"/>
          <w:sz w:val="28"/>
        </w:rPr>
        <w:t xml:space="preserve">              项目编号：</w:t>
      </w:r>
      <w:r>
        <w:rPr>
          <w:sz w:val="21"/>
          <w:u w:val="single"/>
        </w:rPr>
        <w:t xml:space="preserve">                              </w:t>
      </w:r>
    </w:p>
    <w:p>
      <w:pPr>
        <w:jc w:val="center"/>
      </w:pPr>
      <w:r>
        <w:rPr>
          <w:sz w:val="21"/>
        </w:rPr>
        <w:t xml:space="preserve"> </w:t>
      </w:r>
    </w:p>
    <w:p>
      <w:pPr>
        <w:ind w:firstLine="280"/>
        <w:jc w:val="both"/>
      </w:pPr>
      <w:r>
        <w:rPr>
          <w:color w:val="222222"/>
          <w:sz w:val="28"/>
        </w:rPr>
        <w:t xml:space="preserve">              项目名称：</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p>
    <w:p>
      <w:pPr>
        <w:jc w:val="both"/>
      </w:pPr>
      <w:r>
        <w:rPr>
          <w:sz w:val="21"/>
        </w:rPr>
        <w:t xml:space="preserve"> </w:t>
      </w:r>
      <w:r>
        <w:rPr>
          <w:b/>
          <w:sz w:val="22"/>
        </w:rPr>
        <w:t>甲方：</w:t>
      </w:r>
      <w:r>
        <w:rPr>
          <w:sz w:val="22"/>
          <w:u w:val="single"/>
        </w:rPr>
        <w:t>中山市人民医院</w:t>
      </w:r>
      <w:r>
        <w:rPr>
          <w:sz w:val="21"/>
          <w:u w:val="single"/>
        </w:rPr>
        <w:t xml:space="preserve"> </w:t>
      </w:r>
    </w:p>
    <w:p>
      <w:pPr>
        <w:jc w:val="both"/>
      </w:pPr>
      <w:r>
        <w:rPr>
          <w:color w:val="222222"/>
          <w:sz w:val="22"/>
        </w:rPr>
        <w:t>电话：</w:t>
      </w:r>
      <w:r>
        <w:rPr>
          <w:sz w:val="21"/>
          <w:u w:val="single"/>
        </w:rPr>
        <w:t xml:space="preserve">  </w:t>
      </w:r>
      <w:r>
        <w:rPr>
          <w:color w:val="222222"/>
          <w:sz w:val="22"/>
        </w:rPr>
        <w:t>传真：</w:t>
      </w:r>
      <w:r>
        <w:rPr>
          <w:sz w:val="21"/>
          <w:u w:val="single"/>
        </w:rPr>
        <w:t xml:space="preserve"> </w:t>
      </w:r>
      <w:r>
        <w:rPr>
          <w:color w:val="222222"/>
          <w:sz w:val="22"/>
        </w:rPr>
        <w:t>地址：</w:t>
      </w:r>
      <w:r>
        <w:rPr>
          <w:sz w:val="21"/>
          <w:u w:val="single"/>
        </w:rPr>
        <w:t xml:space="preserve">  </w:t>
      </w:r>
      <w:r>
        <w:rPr>
          <w:sz w:val="22"/>
          <w:u w:val="single"/>
        </w:rPr>
        <w:t>孙文东路</w:t>
      </w:r>
      <w:r>
        <w:rPr>
          <w:sz w:val="22"/>
          <w:u w:val="single"/>
        </w:rPr>
        <w:t>2</w:t>
      </w:r>
      <w:r>
        <w:rPr>
          <w:sz w:val="22"/>
          <w:u w:val="single"/>
        </w:rPr>
        <w:t>号</w:t>
      </w:r>
      <w:r>
        <w:rPr>
          <w:sz w:val="21"/>
          <w:u w:val="single"/>
        </w:rPr>
        <w:t xml:space="preserve">   </w:t>
      </w:r>
    </w:p>
    <w:p>
      <w:pPr>
        <w:jc w:val="both"/>
      </w:pPr>
      <w:r>
        <w:rPr>
          <w:b/>
          <w:sz w:val="22"/>
        </w:rPr>
        <w:t>乙方：</w:t>
      </w:r>
      <w:r>
        <w:rPr>
          <w:sz w:val="21"/>
          <w:u w:val="single"/>
        </w:rPr>
        <w:t xml:space="preserve"> </w:t>
      </w:r>
    </w:p>
    <w:p>
      <w:pPr>
        <w:jc w:val="both"/>
      </w:pPr>
      <w:r>
        <w:rPr>
          <w:color w:val="222222"/>
          <w:sz w:val="22"/>
        </w:rPr>
        <w:t>电话：</w:t>
      </w:r>
      <w:r>
        <w:rPr>
          <w:sz w:val="21"/>
          <w:u w:val="single"/>
        </w:rPr>
        <w:t xml:space="preserve">  </w:t>
      </w:r>
      <w:r>
        <w:rPr>
          <w:color w:val="222222"/>
          <w:sz w:val="22"/>
        </w:rPr>
        <w:t>传真：</w:t>
      </w:r>
      <w:r>
        <w:rPr>
          <w:sz w:val="21"/>
          <w:u w:val="single"/>
        </w:rPr>
        <w:t xml:space="preserve">  </w:t>
      </w:r>
      <w:r>
        <w:rPr>
          <w:color w:val="222222"/>
          <w:sz w:val="22"/>
        </w:rPr>
        <w:t>地址：</w:t>
      </w:r>
      <w:r>
        <w:rPr>
          <w:sz w:val="21"/>
          <w:u w:val="single"/>
        </w:rPr>
        <w:t xml:space="preserve">  </w:t>
      </w:r>
    </w:p>
    <w:p>
      <w:pPr>
        <w:jc w:val="both"/>
      </w:pPr>
      <w:r>
        <w:rPr>
          <w:sz w:val="21"/>
        </w:rPr>
        <w:t xml:space="preserve"> </w:t>
      </w:r>
    </w:p>
    <w:p>
      <w:pPr>
        <w:jc w:val="both"/>
      </w:pPr>
      <w:r>
        <w:rPr>
          <w:color w:val="222222"/>
          <w:sz w:val="22"/>
        </w:rPr>
        <w:t xml:space="preserve">  </w:t>
      </w:r>
      <w:r>
        <w:rPr>
          <w:color w:val="222222"/>
          <w:sz w:val="22"/>
        </w:rPr>
        <w:t>根据</w:t>
      </w:r>
      <w:r>
        <w:rPr>
          <w:sz w:val="21"/>
          <w:u w:val="single"/>
        </w:rPr>
        <w:t xml:space="preserve"> </w:t>
      </w:r>
      <w:r>
        <w:rPr>
          <w:sz w:val="22"/>
          <w:u w:val="single"/>
        </w:rPr>
        <w:t>中山市人民医院</w:t>
      </w:r>
      <w:r>
        <w:rPr>
          <w:sz w:val="22"/>
          <w:u w:val="single"/>
        </w:rPr>
        <w:t>2023</w:t>
      </w:r>
      <w:r>
        <w:rPr>
          <w:sz w:val="22"/>
          <w:u w:val="single"/>
        </w:rPr>
        <w:t>年管理干部培训采购项目</w:t>
      </w:r>
      <w:r>
        <w:rPr>
          <w:sz w:val="21"/>
          <w:u w:val="single"/>
        </w:rPr>
        <w:t xml:space="preserve"> </w:t>
      </w:r>
      <w:r>
        <w:rPr>
          <w:color w:val="222222"/>
          <w:sz w:val="22"/>
        </w:rPr>
        <w:t>的采购结果，按照《中华人民共和国政府采购法》，《中华人民共和国民法典</w:t>
      </w:r>
      <w:r>
        <w:rPr>
          <w:color w:val="222222"/>
          <w:sz w:val="22"/>
        </w:rPr>
        <w:t>(</w:t>
      </w:r>
      <w:r>
        <w:rPr>
          <w:color w:val="222222"/>
          <w:sz w:val="22"/>
        </w:rPr>
        <w:t>合同编</w:t>
      </w:r>
      <w:r>
        <w:rPr>
          <w:color w:val="222222"/>
          <w:sz w:val="22"/>
        </w:rPr>
        <w:t>)</w:t>
      </w:r>
      <w:r>
        <w:rPr>
          <w:color w:val="222222"/>
          <w:sz w:val="22"/>
        </w:rPr>
        <w:t>》的规定，经双方协商，本着平等互利和诚实信用的原则，一致同意遵守本合同如下。</w:t>
      </w:r>
    </w:p>
    <w:p>
      <w:pPr>
        <w:jc w:val="both"/>
      </w:pPr>
      <w:r>
        <w:rPr>
          <w:b/>
          <w:sz w:val="22"/>
        </w:rPr>
        <w:t>一、合同金额</w:t>
      </w:r>
    </w:p>
    <w:p>
      <w:pPr>
        <w:jc w:val="both"/>
      </w:pPr>
      <w:r>
        <w:rPr>
          <w:color w:val="222222"/>
          <w:sz w:val="22"/>
        </w:rPr>
        <w:t>　　合同金额为（大写）：</w:t>
      </w:r>
      <w:r>
        <w:rPr>
          <w:color w:val="222222"/>
          <w:sz w:val="22"/>
        </w:rPr>
        <w:t>_____________</w:t>
      </w:r>
      <w:r>
        <w:rPr>
          <w:color w:val="222222"/>
          <w:sz w:val="22"/>
        </w:rPr>
        <w:t>元（￥</w:t>
      </w:r>
      <w:r>
        <w:rPr>
          <w:color w:val="222222"/>
          <w:sz w:val="22"/>
        </w:rPr>
        <w:t>_________</w:t>
      </w:r>
      <w:r>
        <w:rPr>
          <w:color w:val="222222"/>
          <w:sz w:val="22"/>
        </w:rPr>
        <w:t>元）人民币。</w:t>
      </w:r>
    </w:p>
    <w:p>
      <w:pPr>
        <w:jc w:val="both"/>
      </w:pPr>
      <w:r>
        <w:rPr>
          <w:b/>
          <w:sz w:val="22"/>
        </w:rPr>
        <w:t>二、服务范围</w:t>
      </w:r>
    </w:p>
    <w:p>
      <w:pPr>
        <w:jc w:val="both"/>
      </w:pPr>
      <w:r>
        <w:rPr>
          <w:color w:val="222222"/>
          <w:sz w:val="22"/>
        </w:rPr>
        <w:t>　　甲方聘请乙方提供以下服务：</w:t>
      </w:r>
    </w:p>
    <w:p>
      <w:pPr>
        <w:jc w:val="both"/>
      </w:pPr>
      <w:r>
        <w:rPr>
          <w:color w:val="222222"/>
          <w:sz w:val="22"/>
        </w:rPr>
        <w:t>1</w:t>
      </w:r>
      <w:r>
        <w:rPr>
          <w:color w:val="222222"/>
          <w:sz w:val="22"/>
        </w:rPr>
        <w:t>．。</w:t>
      </w:r>
    </w:p>
    <w:p>
      <w:pPr>
        <w:jc w:val="both"/>
      </w:pPr>
      <w:r>
        <w:rPr>
          <w:color w:val="222222"/>
          <w:sz w:val="22"/>
        </w:rPr>
        <w:t>2</w:t>
      </w:r>
      <w:r>
        <w:rPr>
          <w:color w:val="222222"/>
          <w:sz w:val="22"/>
        </w:rPr>
        <w:t>．</w:t>
      </w:r>
    </w:p>
    <w:p>
      <w:pPr>
        <w:jc w:val="both"/>
      </w:pPr>
      <w:r>
        <w:rPr>
          <w:color w:val="222222"/>
          <w:sz w:val="22"/>
        </w:rPr>
        <w:t>……</w:t>
      </w:r>
    </w:p>
    <w:p>
      <w:pPr>
        <w:jc w:val="both"/>
      </w:pPr>
      <w:r>
        <w:rPr>
          <w:b/>
          <w:sz w:val="22"/>
        </w:rPr>
        <w:t>三、甲方乙方的权利和义务</w:t>
      </w:r>
    </w:p>
    <w:p>
      <w:pPr>
        <w:jc w:val="both"/>
      </w:pPr>
      <w:r>
        <w:rPr>
          <w:color w:val="222222"/>
          <w:sz w:val="22"/>
        </w:rPr>
        <w:t>1.</w:t>
      </w:r>
      <w:r>
        <w:rPr>
          <w:color w:val="222222"/>
          <w:sz w:val="22"/>
        </w:rPr>
        <w:t>甲方的权利和义务</w:t>
      </w:r>
    </w:p>
    <w:p>
      <w:pPr>
        <w:jc w:val="both"/>
      </w:pPr>
      <w:r>
        <w:rPr>
          <w:color w:val="222222"/>
          <w:sz w:val="22"/>
        </w:rPr>
        <w:t>2.</w:t>
      </w:r>
      <w:r>
        <w:rPr>
          <w:color w:val="222222"/>
          <w:sz w:val="22"/>
        </w:rPr>
        <w:t>乙方的权利和义务</w:t>
      </w:r>
    </w:p>
    <w:p>
      <w:pPr>
        <w:jc w:val="both"/>
      </w:pPr>
      <w:r>
        <w:rPr>
          <w:b/>
          <w:sz w:val="22"/>
        </w:rPr>
        <w:t>四、服务期间（项目完成期限）</w:t>
      </w:r>
    </w:p>
    <w:p>
      <w:pPr>
        <w:jc w:val="both"/>
      </w:pPr>
      <w:r>
        <w:rPr>
          <w:color w:val="222222"/>
          <w:sz w:val="22"/>
        </w:rPr>
        <w:t>1.</w:t>
      </w:r>
      <w:r>
        <w:rPr>
          <w:color w:val="222222"/>
          <w:sz w:val="22"/>
        </w:rPr>
        <w:t>委托服务期间自</w:t>
      </w:r>
      <w:r>
        <w:rPr>
          <w:color w:val="222222"/>
          <w:sz w:val="22"/>
        </w:rPr>
        <w:t>______</w:t>
      </w:r>
      <w:r>
        <w:rPr>
          <w:color w:val="222222"/>
          <w:sz w:val="22"/>
        </w:rPr>
        <w:t>年</w:t>
      </w:r>
      <w:r>
        <w:rPr>
          <w:color w:val="222222"/>
          <w:sz w:val="22"/>
        </w:rPr>
        <w:t>______</w:t>
      </w:r>
      <w:r>
        <w:rPr>
          <w:color w:val="222222"/>
          <w:sz w:val="22"/>
        </w:rPr>
        <w:t>月至</w:t>
      </w:r>
      <w:r>
        <w:rPr>
          <w:color w:val="222222"/>
          <w:sz w:val="22"/>
        </w:rPr>
        <w:t>______</w:t>
      </w:r>
      <w:r>
        <w:rPr>
          <w:color w:val="222222"/>
          <w:sz w:val="22"/>
        </w:rPr>
        <w:t>年</w:t>
      </w:r>
      <w:r>
        <w:rPr>
          <w:color w:val="222222"/>
          <w:sz w:val="22"/>
        </w:rPr>
        <w:t>______</w:t>
      </w:r>
      <w:r>
        <w:rPr>
          <w:color w:val="222222"/>
          <w:sz w:val="22"/>
        </w:rPr>
        <w:t>月止。</w:t>
      </w:r>
    </w:p>
    <w:p>
      <w:pPr>
        <w:jc w:val="both"/>
      </w:pPr>
      <w:r>
        <w:rPr>
          <w:b/>
          <w:sz w:val="22"/>
        </w:rPr>
        <w:t>五、付款方式</w:t>
      </w:r>
    </w:p>
    <w:p>
      <w:pPr>
        <w:jc w:val="both"/>
      </w:pPr>
      <w:r>
        <w:rPr>
          <w:b/>
          <w:sz w:val="22"/>
        </w:rPr>
        <w:t>六、知识产权归属</w:t>
      </w:r>
    </w:p>
    <w:p>
      <w:pPr>
        <w:jc w:val="both"/>
      </w:pPr>
      <w:r>
        <w:rPr>
          <w:b/>
          <w:sz w:val="22"/>
        </w:rPr>
        <w:t>七、保密</w:t>
      </w:r>
    </w:p>
    <w:p>
      <w:pPr>
        <w:jc w:val="both"/>
      </w:pPr>
      <w:r>
        <w:rPr>
          <w:b/>
          <w:sz w:val="22"/>
        </w:rPr>
        <w:t>八、违约责任与赔偿损失</w:t>
      </w:r>
    </w:p>
    <w:p>
      <w:pPr>
        <w:jc w:val="both"/>
      </w:pPr>
      <w:r>
        <w:rPr>
          <w:color w:val="222222"/>
          <w:sz w:val="22"/>
        </w:rPr>
        <w:t>1.</w:t>
      </w:r>
      <w:r>
        <w:rPr>
          <w:color w:val="222222"/>
          <w:sz w:val="22"/>
        </w:rPr>
        <w:t>乙方提供的服务不符合本合同规定的，甲方有权拒收，并且乙方须向甲方方支付本合同总价</w:t>
      </w:r>
      <w:r>
        <w:rPr>
          <w:color w:val="222222"/>
          <w:sz w:val="22"/>
        </w:rPr>
        <w:t>5%</w:t>
      </w:r>
      <w:r>
        <w:rPr>
          <w:color w:val="222222"/>
          <w:sz w:val="22"/>
        </w:rPr>
        <w:t>的违约金。</w:t>
      </w:r>
    </w:p>
    <w:p>
      <w:pPr>
        <w:jc w:val="both"/>
      </w:pPr>
      <w:r>
        <w:rPr>
          <w:color w:val="222222"/>
          <w:sz w:val="22"/>
        </w:rPr>
        <w:t>2.</w:t>
      </w:r>
      <w:r>
        <w:rPr>
          <w:color w:val="222222"/>
          <w:sz w:val="22"/>
        </w:rPr>
        <w:t>乙方未能按本合同规定的交货时间提供服务，从逾期之日起每日按本合同总价</w:t>
      </w:r>
      <w:r>
        <w:rPr>
          <w:color w:val="222222"/>
          <w:sz w:val="22"/>
        </w:rPr>
        <w:t>3‰</w:t>
      </w:r>
      <w:r>
        <w:rPr>
          <w:color w:val="222222"/>
          <w:sz w:val="22"/>
        </w:rPr>
        <w:t>的数额向甲方支付违约金；逾期半个月以上的，甲方有权终止合同，由此造成的甲方经济损失由乙方承担。</w:t>
      </w:r>
    </w:p>
    <w:p>
      <w:pPr>
        <w:jc w:val="both"/>
      </w:pPr>
      <w:r>
        <w:rPr>
          <w:color w:val="222222"/>
          <w:sz w:val="22"/>
        </w:rPr>
        <w:t>3.</w:t>
      </w:r>
      <w:r>
        <w:rPr>
          <w:color w:val="222222"/>
          <w:sz w:val="22"/>
        </w:rPr>
        <w:t>甲方无正当理由拒收接受服务，到期拒付服务款项的，甲方向乙方偿付本合同总的</w:t>
      </w:r>
      <w:r>
        <w:rPr>
          <w:color w:val="222222"/>
          <w:sz w:val="22"/>
        </w:rPr>
        <w:t>5%</w:t>
      </w:r>
      <w:r>
        <w:rPr>
          <w:color w:val="222222"/>
          <w:sz w:val="22"/>
        </w:rPr>
        <w:t>的违约金。甲方人逾期付款，则每日按本合同总价的</w:t>
      </w:r>
      <w:r>
        <w:rPr>
          <w:color w:val="222222"/>
          <w:sz w:val="22"/>
        </w:rPr>
        <w:t>3‰</w:t>
      </w:r>
      <w:r>
        <w:rPr>
          <w:color w:val="222222"/>
          <w:sz w:val="22"/>
        </w:rPr>
        <w:t>向乙方偿付违约金。</w:t>
      </w:r>
    </w:p>
    <w:p>
      <w:pPr>
        <w:jc w:val="both"/>
      </w:pPr>
      <w:r>
        <w:rPr>
          <w:color w:val="222222"/>
          <w:sz w:val="22"/>
        </w:rPr>
        <w:t>4.</w:t>
      </w:r>
      <w:r>
        <w:rPr>
          <w:color w:val="222222"/>
          <w:sz w:val="22"/>
        </w:rPr>
        <w:t>对于因甲方原因导致变更、中止或者终止政府采购合同的，甲方应当依照以下合同约定对供应商受到的损失予以赔偿或者补偿：</w:t>
      </w:r>
    </w:p>
    <w:p>
      <w:pPr>
        <w:jc w:val="both"/>
      </w:pPr>
      <w:r>
        <w:rPr>
          <w:sz w:val="21"/>
          <w:u w:val="single"/>
        </w:rPr>
        <w:t xml:space="preserve">              </w:t>
      </w:r>
    </w:p>
    <w:p>
      <w:pPr>
        <w:jc w:val="both"/>
      </w:pPr>
      <w:r>
        <w:rPr>
          <w:color w:val="222222"/>
          <w:sz w:val="22"/>
        </w:rPr>
        <w:t>5.</w:t>
      </w:r>
      <w:r>
        <w:rPr>
          <w:color w:val="222222"/>
          <w:sz w:val="22"/>
        </w:rPr>
        <w:t>其它违约责任按《中华人民共和国民法典</w:t>
      </w:r>
      <w:r>
        <w:rPr>
          <w:color w:val="222222"/>
          <w:sz w:val="22"/>
        </w:rPr>
        <w:t>(</w:t>
      </w:r>
      <w:r>
        <w:rPr>
          <w:color w:val="222222"/>
          <w:sz w:val="22"/>
        </w:rPr>
        <w:t>合同编</w:t>
      </w:r>
      <w:r>
        <w:rPr>
          <w:color w:val="222222"/>
          <w:sz w:val="22"/>
        </w:rPr>
        <w:t>)</w:t>
      </w:r>
      <w:r>
        <w:rPr>
          <w:color w:val="222222"/>
          <w:sz w:val="22"/>
        </w:rPr>
        <w:t>》处理。</w:t>
      </w:r>
    </w:p>
    <w:p>
      <w:pPr>
        <w:jc w:val="both"/>
      </w:pPr>
      <w:r>
        <w:rPr>
          <w:b/>
          <w:sz w:val="22"/>
        </w:rPr>
        <w:t>九、争议的解决</w:t>
      </w:r>
    </w:p>
    <w:p>
      <w:pPr>
        <w:ind w:firstLine="400"/>
        <w:jc w:val="both"/>
      </w:pPr>
      <w:r>
        <w:rPr>
          <w:color w:val="222222"/>
          <w:sz w:val="22"/>
        </w:rPr>
        <w:t>合同执行过程中发生的任何争议，如双方不能通过友好协商解决，按相关法律法规处理。</w:t>
      </w:r>
      <w:r>
        <w:rPr>
          <w:color w:val="222222"/>
          <w:sz w:val="22"/>
        </w:rPr>
        <w:t xml:space="preserve">   </w:t>
      </w:r>
    </w:p>
    <w:p>
      <w:pPr>
        <w:jc w:val="both"/>
      </w:pPr>
      <w:r>
        <w:rPr>
          <w:b/>
          <w:sz w:val="22"/>
        </w:rPr>
        <w:t>十、不可抗力</w:t>
      </w:r>
    </w:p>
    <w:p>
      <w:pPr>
        <w:jc w:val="both"/>
      </w:pPr>
      <w:r>
        <w:rPr>
          <w:color w:val="222222"/>
          <w:sz w:val="22"/>
        </w:rPr>
        <w:t>　　任何一方由于不可抗力原因不能履行合同时，应在不可抗力事件结束后</w:t>
      </w:r>
      <w:r>
        <w:rPr>
          <w:color w:val="222222"/>
          <w:sz w:val="22"/>
        </w:rPr>
        <w:t>1</w:t>
      </w:r>
      <w:r>
        <w:rPr>
          <w:color w:val="222222"/>
          <w:sz w:val="22"/>
        </w:rPr>
        <w:t>日内向对方通报，以减轻可能给对方造成的损失，在取得有关机构的不可抗力证明或双方谅解确认后，允许延期履行或修订合同，并根据情况可部分或全部免于承担违约责任。</w:t>
      </w:r>
    </w:p>
    <w:p>
      <w:pPr>
        <w:jc w:val="both"/>
      </w:pPr>
      <w:r>
        <w:rPr>
          <w:b/>
          <w:sz w:val="22"/>
        </w:rPr>
        <w:t>十一、税费</w:t>
      </w:r>
    </w:p>
    <w:p>
      <w:pPr>
        <w:jc w:val="both"/>
      </w:pPr>
      <w:r>
        <w:rPr>
          <w:color w:val="222222"/>
          <w:sz w:val="22"/>
        </w:rPr>
        <w:t>　　在中国境内、外发生的与本合同执行有关的一切税费均由乙方负担。</w:t>
      </w:r>
    </w:p>
    <w:p>
      <w:pPr>
        <w:jc w:val="both"/>
      </w:pPr>
      <w:r>
        <w:rPr>
          <w:b/>
          <w:sz w:val="22"/>
        </w:rPr>
        <w:t>十二、其它</w:t>
      </w:r>
    </w:p>
    <w:p>
      <w:pPr>
        <w:jc w:val="both"/>
      </w:pPr>
      <w:r>
        <w:rPr>
          <w:color w:val="222222"/>
          <w:sz w:val="22"/>
        </w:rPr>
        <w:t>1.</w:t>
      </w:r>
      <w:r>
        <w:rPr>
          <w:color w:val="222222"/>
          <w:sz w:val="22"/>
        </w:rPr>
        <w:t>本合同所有附件、招标文件、投标文件、中标通知书均为合同的有效组成部分，与本合同具有同等法律效力。</w:t>
      </w:r>
    </w:p>
    <w:p>
      <w:pPr>
        <w:jc w:val="both"/>
      </w:pPr>
      <w:r>
        <w:rPr>
          <w:color w:val="222222"/>
          <w:sz w:val="22"/>
        </w:rPr>
        <w:t>2.</w:t>
      </w:r>
      <w:r>
        <w:rPr>
          <w:color w:val="222222"/>
          <w:sz w:val="22"/>
        </w:rPr>
        <w:t>在执行本合同的过程中，所有经双方签署确认的文件（包括会议纪要、补充协议、往来信函）即成为本合同的有效组成部分。</w:t>
      </w:r>
    </w:p>
    <w:p>
      <w:pPr>
        <w:jc w:val="both"/>
      </w:pPr>
      <w:r>
        <w:rPr>
          <w:color w:val="222222"/>
          <w:sz w:val="22"/>
        </w:rPr>
        <w:t>3.</w:t>
      </w:r>
      <w:r>
        <w:rPr>
          <w:color w:val="222222"/>
          <w:sz w:val="22"/>
        </w:rPr>
        <w:t>如一方地址、电话、传真号码有变更，应在变更当日内书面通知对方，否则，应承担相应责任。</w:t>
      </w:r>
    </w:p>
    <w:p>
      <w:pPr>
        <w:jc w:val="both"/>
      </w:pPr>
      <w:r>
        <w:rPr>
          <w:color w:val="222222"/>
          <w:sz w:val="22"/>
        </w:rPr>
        <w:t>4.</w:t>
      </w:r>
      <w:r>
        <w:rPr>
          <w:color w:val="222222"/>
          <w:sz w:val="22"/>
        </w:rPr>
        <w:t>除甲方事先书面同意外，乙方不得部分或全部转让其应履行的合同项下的义务。</w:t>
      </w:r>
    </w:p>
    <w:p>
      <w:pPr>
        <w:jc w:val="both"/>
      </w:pPr>
      <w:r>
        <w:rPr>
          <w:b/>
          <w:sz w:val="22"/>
        </w:rPr>
        <w:t>十三、合同生效</w:t>
      </w:r>
    </w:p>
    <w:p>
      <w:pPr>
        <w:jc w:val="both"/>
      </w:pPr>
      <w:r>
        <w:rPr>
          <w:color w:val="222222"/>
          <w:sz w:val="22"/>
        </w:rPr>
        <w:t>1.</w:t>
      </w:r>
      <w:r>
        <w:rPr>
          <w:color w:val="222222"/>
          <w:sz w:val="22"/>
        </w:rPr>
        <w:t>本合同在甲乙双方法人代表或其授权代表签字盖章后生效。</w:t>
      </w:r>
    </w:p>
    <w:p>
      <w:pPr>
        <w:jc w:val="both"/>
      </w:pPr>
      <w:r>
        <w:rPr>
          <w:color w:val="222222"/>
          <w:sz w:val="22"/>
        </w:rPr>
        <w:t>2.</w:t>
      </w:r>
      <w:r>
        <w:rPr>
          <w:color w:val="222222"/>
          <w:sz w:val="22"/>
        </w:rPr>
        <w:t>合同一式</w:t>
      </w:r>
      <w:r>
        <w:rPr>
          <w:sz w:val="21"/>
          <w:u w:val="single"/>
        </w:rPr>
        <w:t xml:space="preserve">   </w:t>
      </w:r>
      <w:r>
        <w:rPr>
          <w:color w:val="222222"/>
          <w:sz w:val="22"/>
        </w:rPr>
        <w:t xml:space="preserve"> </w:t>
      </w:r>
      <w:r>
        <w:rPr>
          <w:color w:val="222222"/>
          <w:sz w:val="22"/>
        </w:rPr>
        <w:t>份。具有同等法律效力，甲方执</w:t>
      </w:r>
      <w:r>
        <w:rPr>
          <w:sz w:val="21"/>
          <w:u w:val="single"/>
        </w:rPr>
        <w:t xml:space="preserve">    </w:t>
      </w:r>
      <w:r>
        <w:rPr>
          <w:color w:val="222222"/>
          <w:sz w:val="22"/>
        </w:rPr>
        <w:t>份，乙方执</w:t>
      </w:r>
      <w:r>
        <w:rPr>
          <w:sz w:val="21"/>
          <w:u w:val="single"/>
        </w:rPr>
        <w:t xml:space="preserve">    </w:t>
      </w:r>
      <w:r>
        <w:rPr>
          <w:color w:val="222222"/>
          <w:sz w:val="22"/>
        </w:rPr>
        <w:t>份，招标代理机构执</w:t>
      </w:r>
      <w:r>
        <w:rPr>
          <w:color w:val="222222"/>
          <w:sz w:val="22"/>
          <w:u w:val="single"/>
        </w:rPr>
        <w:t xml:space="preserve"> </w:t>
      </w:r>
      <w:r>
        <w:rPr>
          <w:color w:val="222222"/>
          <w:sz w:val="22"/>
          <w:u w:val="single"/>
        </w:rPr>
        <w:t>壹</w:t>
      </w:r>
      <w:r>
        <w:rPr>
          <w:color w:val="222222"/>
          <w:sz w:val="22"/>
        </w:rPr>
        <w:t>份，合同自签字之日起即日生效。</w:t>
      </w:r>
    </w:p>
    <w:p>
      <w:pPr>
        <w:jc w:val="both"/>
      </w:pPr>
      <w:r>
        <w:rPr>
          <w:sz w:val="21"/>
        </w:rPr>
        <w:t xml:space="preserve"> </w:t>
      </w:r>
    </w:p>
    <w:p>
      <w:pPr>
        <w:jc w:val="both"/>
      </w:pPr>
      <w:r>
        <w:rPr>
          <w:b/>
          <w:sz w:val="22"/>
        </w:rPr>
        <w:t>甲方（盖章）：</w:t>
      </w:r>
      <w:r>
        <w:rPr>
          <w:b/>
          <w:sz w:val="22"/>
        </w:rPr>
        <w:t xml:space="preserve">                                     </w:t>
      </w:r>
      <w:r>
        <w:rPr>
          <w:b/>
          <w:sz w:val="22"/>
        </w:rPr>
        <w:t>乙方（盖章）：</w:t>
      </w:r>
    </w:p>
    <w:p>
      <w:pPr>
        <w:jc w:val="both"/>
      </w:pPr>
      <w:r>
        <w:rPr>
          <w:b/>
          <w:sz w:val="22"/>
        </w:rPr>
        <w:t>代表：</w:t>
      </w:r>
      <w:r>
        <w:rPr>
          <w:b/>
          <w:sz w:val="22"/>
        </w:rPr>
        <w:t xml:space="preserve">                                                    </w:t>
      </w:r>
      <w:r>
        <w:rPr>
          <w:b/>
          <w:sz w:val="22"/>
        </w:rPr>
        <w:t>代表：</w:t>
      </w:r>
    </w:p>
    <w:p>
      <w:pPr>
        <w:jc w:val="both"/>
      </w:pPr>
      <w:r>
        <w:rPr>
          <w:color w:val="222222"/>
          <w:sz w:val="22"/>
        </w:rPr>
        <w:t>签订地点：</w:t>
      </w:r>
    </w:p>
    <w:p>
      <w:pPr>
        <w:jc w:val="both"/>
      </w:pPr>
      <w:r>
        <w:rPr>
          <w:color w:val="222222"/>
          <w:sz w:val="22"/>
        </w:rPr>
        <w:t>签订日期：　　　年　　月　　日</w:t>
      </w:r>
      <w:r>
        <w:rPr>
          <w:color w:val="222222"/>
          <w:sz w:val="22"/>
        </w:rPr>
        <w:t xml:space="preserve">           </w:t>
      </w:r>
      <w:r>
        <w:rPr>
          <w:color w:val="222222"/>
          <w:sz w:val="22"/>
        </w:rPr>
        <w:t>签订日期：　　　年　　月　　日</w:t>
      </w:r>
    </w:p>
    <w:p>
      <w:pPr>
        <w:jc w:val="both"/>
      </w:pPr>
      <w:r>
        <w:rPr>
          <w:color w:val="222222"/>
          <w:sz w:val="22"/>
        </w:rPr>
        <w:t>开户名称：</w:t>
      </w:r>
    </w:p>
    <w:p>
      <w:pPr>
        <w:jc w:val="both"/>
      </w:pPr>
      <w:r>
        <w:rPr>
          <w:color w:val="222222"/>
          <w:sz w:val="22"/>
        </w:rPr>
        <w:t>银行帐号：</w:t>
      </w:r>
    </w:p>
    <w:p>
      <w:pPr>
        <w:jc w:val="both"/>
      </w:pPr>
      <w:r>
        <w:rPr>
          <w:color w:val="222222"/>
          <w:sz w:val="22"/>
        </w:rPr>
        <w:t>开户行：</w:t>
      </w:r>
    </w:p>
    <w:p>
      <w:pPr>
        <w:jc w:val="both"/>
      </w:pP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442000-2023-03484</w:t>
      </w:r>
    </w:p>
    <w:p>
      <w:pPr>
        <w:jc w:val="center"/>
      </w:pPr>
      <w:r>
        <w:rPr>
          <w:b/>
          <w:sz w:val="24"/>
        </w:rPr>
        <w:t>采购项目编号：</w:t>
      </w:r>
      <w:r>
        <w:rPr>
          <w:b/>
          <w:sz w:val="24"/>
        </w:rPr>
        <w:t>442000-2023-03484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w:t>
      </w:r>
      <w:r>
        <w:rPr>
          <w:u w:val="single"/>
        </w:rPr>
        <w:t>中山市人民医院2023年管理干部培训采购项目</w:t>
      </w:r>
      <w:r>
        <w:rPr>
          <w:u w:val="single"/>
        </w:rPr>
        <w:t>”</w:t>
      </w:r>
      <w:r>
        <w:rPr/>
        <w:t>项目的竞争性磋商[采购项目编号为：</w:t>
      </w:r>
      <w:r>
        <w:rPr>
          <w:u w:val="single"/>
        </w:rPr>
        <w:t>442000-2023-03484</w:t>
      </w:r>
      <w:r>
        <w:rPr/>
        <w:t>]，我方愿参与响应。</w:t>
      </w:r>
    </w:p>
    <w:p>
      <w:pPr>
        <w:ind w:firstLine="480"/>
      </w:pPr>
      <w:r>
        <w:rPr/>
        <w:t>我方确认收到贵方提供的</w:t>
      </w:r>
      <w:r>
        <w:rPr>
          <w:u w:val="single"/>
        </w:rPr>
        <w:t>“</w:t>
      </w:r>
      <w:r>
        <w:rPr>
          <w:u w:val="single"/>
        </w:rPr>
        <w:t>中山市人民医院2023年管理干部培训采购项目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中山市人民医院2023年管理干部培训采购项目</w:t>
      </w:r>
      <w:r>
        <w:rPr/>
        <w:t>”项目采购[采购项目编号为</w:t>
      </w:r>
      <w:r>
        <w:rPr/>
        <w:t>442000-2023-03484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中山市人民医院2023年管理干部培训采购项目</w:t>
      </w:r>
      <w:r>
        <w:rPr/>
        <w:t>（采购项目编号：</w:t>
      </w:r>
      <w:r>
        <w:rPr/>
        <w:t>442000-2023-03484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中山市人民医院2023年管理干部培训采购项目</w:t>
      </w:r>
      <w:r>
        <w:rPr/>
        <w:t>”项目（采购项目编号：</w:t>
      </w:r>
      <w:r>
        <w:rPr/>
        <w:t>442000-2023-03484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