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442000-2022-07269</w:t>
      </w:r>
    </w:p>
    <w:p>
      <w:pPr>
        <w:jc w:val="center"/>
      </w:pPr>
      <w:r>
        <w:rPr>
          <w:b/>
          <w:sz w:val="24"/>
        </w:rPr>
        <w:t>采购项目编号：</w:t>
      </w:r>
      <w:r>
        <w:rPr>
          <w:b/>
          <w:sz w:val="24"/>
        </w:rPr>
        <w:t>442000-2022-07269</w:t>
      </w:r>
    </w:p>
    <w:p>
      <w:pPr>
        <w:jc w:val="center"/>
      </w:pPr>
      <w:r>
        <w:rPr>
          <w:b/>
          <w:sz w:val="24"/>
        </w:rPr>
        <w:t>项目名称：</w:t>
      </w:r>
      <w:r>
        <w:rPr>
          <w:b/>
          <w:sz w:val="24"/>
        </w:rPr>
        <w:t>中山市人民医院四台影像设备（CT、DSA、MR）保修服务及CT球管采购项目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中山市人民医院四台影像设备（CT、DSA、MR）保修服务及CT球管采购项目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中山市人民医院四台影像设备（CT、DSA、MR）保修服务及CT球管采购项目</w:t>
      </w:r>
    </w:p>
    <w:p>
      <w:pPr>
        <w:ind w:firstLine="480"/>
      </w:pPr>
      <w:r>
        <w:rPr/>
        <w:t>采购计划编号：</w:t>
      </w:r>
      <w:r>
        <w:rPr/>
        <w:t>442000-2022-07269</w:t>
      </w:r>
    </w:p>
    <w:p>
      <w:pPr>
        <w:ind w:firstLine="480"/>
      </w:pPr>
      <w:r>
        <w:rPr/>
        <w:t>采购项目编号：</w:t>
      </w:r>
      <w:r>
        <w:rPr/>
        <w:t>442000-2022-07269</w:t>
      </w:r>
    </w:p>
    <w:p>
      <w:pPr>
        <w:ind w:firstLine="480"/>
      </w:pPr>
      <w:r>
        <w:rPr/>
        <w:t>采购方式：</w:t>
      </w:r>
      <w:r>
        <w:rPr/>
        <w:t>公开招标</w:t>
      </w:r>
    </w:p>
    <w:p>
      <w:pPr>
        <w:ind w:firstLine="480"/>
      </w:pPr>
      <w:r>
        <w:rPr/>
        <w:t>预算金额：</w:t>
      </w:r>
      <w:r>
        <w:rPr/>
        <w:t>14,386,000.00</w:t>
      </w:r>
      <w:r>
        <w:rPr/>
        <w:t>元</w:t>
      </w:r>
    </w:p>
    <w:p>
      <w:r>
        <w:rPr>
          <w:b/>
          <w:sz w:val="24"/>
        </w:rPr>
        <w:t>2.项目内容及需求情况（采购项目技术规格、参数及要求）</w:t>
      </w:r>
    </w:p>
    <w:p>
      <w:pPr>
        <w:ind w:firstLine="480"/>
      </w:pPr>
    </w:p>
    <w:p/>
    <w:p>
      <w:r>
        <w:rPr/>
        <w:t>采购包1(四台影像设备（CT、DSA、MR）保修服务):</w:t>
      </w:r>
    </w:p>
    <w:p>
      <w:r>
        <w:rPr/>
        <w:t>采购包预算金额：13,217,000.00元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四台影像设备（CT、DSA、MR）保修服务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合同履行期限：自合同签订之日起3年。</w:t>
      </w:r>
    </w:p>
    <w:p/>
    <w:p>
      <w:r>
        <w:rPr/>
        <w:t>采购包2(CT球管采购):</w:t>
      </w:r>
    </w:p>
    <w:p>
      <w:r>
        <w:rPr/>
        <w:t>采购包预算金额：1,169,000.00元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医疗设备零部件</w:t>
            </w:r>
          </w:p>
        </w:tc>
        <w:tc>
          <w:tcPr>
            <w:tcW w:type="dxa" w:w="2136"/>
          </w:tcPr>
          <w:p>
            <w:r>
              <w:rPr/>
              <w:t>CT球管</w:t>
            </w:r>
          </w:p>
        </w:tc>
        <w:tc>
          <w:tcPr>
            <w:tcW w:type="dxa" w:w="1187"/>
          </w:tcPr>
          <w:p>
            <w:r>
              <w:rPr/>
              <w:t>1.0000(个)</w:t>
            </w:r>
          </w:p>
        </w:tc>
        <w:tc>
          <w:tcPr>
            <w:tcW w:type="dxa" w:w="1187"/>
          </w:tcPr>
          <w:p>
            <w:r>
              <w:rPr/>
              <w:t>详见第二章</w:t>
            </w:r>
          </w:p>
        </w:tc>
        <w:tc>
          <w:tcPr>
            <w:tcW w:type="dxa" w:w="1187"/>
          </w:tcPr>
          <w:p>
            <w:r>
              <w:rPr/>
              <w:t>是</w:t>
            </w:r>
          </w:p>
        </w:tc>
      </w:tr>
    </w:tbl>
    <w:p/>
    <w:p>
      <w:r>
        <w:rPr/>
        <w:t>本采购包不接受联合体投标</w:t>
      </w:r>
    </w:p>
    <w:p/>
    <w:p>
      <w:r>
        <w:rPr/>
        <w:t>合同履行期限：合同签订后4天内完成交货安装。</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p/>
    <w:p>
      <w:r>
        <w:rPr/>
        <w:t>4）履行合同所必需的设备和专业技术能力：按投标（响应）文件格式九内容完整填写设备及专业技术能力情况，如未按要求填写或不满足此项要求的，视为无效投标。</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采购包1（四台影像设备（CT、DSA、MR）保修服务）：</w:t>
      </w:r>
      <w:r>
        <w:rPr/>
        <w:t>本采购包组不专门面向中小企业采购。</w:t>
      </w:r>
    </w:p>
    <w:p>
      <w:pPr>
        <w:jc w:val="left"/>
      </w:pPr>
    </w:p>
    <w:p>
      <w:r>
        <w:rPr/>
        <w:t>采购包2（CT球管采购）：</w:t>
      </w:r>
      <w:r>
        <w:rPr/>
        <w:t>本采购包组不专门面向中小企业采购。</w:t>
      </w:r>
    </w:p>
    <w:p/>
    <w:p>
      <w:r>
        <w:rPr>
          <w:b/>
          <w:sz w:val="24"/>
        </w:rPr>
        <w:t>3.本项目特定的资格要求：</w:t>
      </w:r>
    </w:p>
    <w:p>
      <w:pPr>
        <w:ind w:firstLine="480"/>
      </w:pPr>
    </w:p>
    <w:p/>
    <w:p>
      <w:r>
        <w:rPr/>
        <w:t>采购包1（四台影像设备（CT、DSA、MR）保修服务）：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采购包2（CT球管采购）：</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广东省中山市孙文东路2号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1"/>
        </w:rPr>
        <w:t>1.</w:t>
      </w:r>
      <w:r>
        <w:rPr>
          <w:sz w:val="21"/>
        </w:rPr>
        <w:t>项目名称：</w:t>
      </w:r>
      <w:r>
        <w:rPr>
          <w:sz w:val="21"/>
        </w:rPr>
        <w:t>中山市人民医院四台影像设备（</w:t>
      </w:r>
      <w:r>
        <w:rPr>
          <w:sz w:val="21"/>
        </w:rPr>
        <w:t>CT</w:t>
      </w:r>
      <w:r>
        <w:rPr>
          <w:sz w:val="21"/>
        </w:rPr>
        <w:t>、</w:t>
      </w:r>
      <w:r>
        <w:rPr>
          <w:sz w:val="21"/>
        </w:rPr>
        <w:t>DSA</w:t>
      </w:r>
      <w:r>
        <w:rPr>
          <w:sz w:val="21"/>
        </w:rPr>
        <w:t>、</w:t>
      </w:r>
      <w:r>
        <w:rPr>
          <w:sz w:val="21"/>
        </w:rPr>
        <w:t>MR</w:t>
      </w:r>
      <w:r>
        <w:rPr>
          <w:sz w:val="21"/>
        </w:rPr>
        <w:t>）保修服务及</w:t>
      </w:r>
      <w:r>
        <w:rPr>
          <w:sz w:val="21"/>
        </w:rPr>
        <w:t>CT</w:t>
      </w:r>
      <w:r>
        <w:rPr>
          <w:sz w:val="21"/>
        </w:rPr>
        <w:t>球管采购项目</w:t>
      </w:r>
    </w:p>
    <w:p>
      <w:pPr>
        <w:jc w:val="both"/>
      </w:pPr>
      <w:r>
        <w:rPr>
          <w:sz w:val="21"/>
        </w:rPr>
        <w:t>2.</w:t>
      </w:r>
      <w:r>
        <w:rPr>
          <w:sz w:val="21"/>
        </w:rPr>
        <w:t>采购方式：公开招标</w:t>
      </w:r>
    </w:p>
    <w:p>
      <w:pPr>
        <w:jc w:val="both"/>
      </w:pPr>
      <w:r>
        <w:rPr>
          <w:sz w:val="21"/>
        </w:rPr>
        <w:t>3.采购计划编号：</w:t>
      </w:r>
      <w:r>
        <w:rPr>
          <w:sz w:val="21"/>
        </w:rPr>
        <w:t>442000-2022-07269</w:t>
      </w:r>
    </w:p>
    <w:p>
      <w:pPr>
        <w:jc w:val="both"/>
      </w:pPr>
      <w:r>
        <w:rPr>
          <w:sz w:val="21"/>
        </w:rPr>
        <w:t>4.采购项目编号：</w:t>
      </w:r>
      <w:r>
        <w:rPr>
          <w:sz w:val="21"/>
        </w:rPr>
        <w:t>442000-2022-07269</w:t>
      </w:r>
    </w:p>
    <w:p>
      <w:pPr>
        <w:jc w:val="both"/>
      </w:pPr>
      <w:r>
        <w:rPr>
          <w:sz w:val="21"/>
        </w:rPr>
        <w:t>5.</w:t>
      </w:r>
      <w:r>
        <w:rPr>
          <w:sz w:val="21"/>
        </w:rPr>
        <w:t>主要项目内容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274"/>
        <w:gridCol w:w="497"/>
        <w:gridCol w:w="1094"/>
        <w:gridCol w:w="2237"/>
        <w:gridCol w:w="1226"/>
        <w:gridCol w:w="1135"/>
        <w:gridCol w:w="423"/>
      </w:tblGrid>
      <w:tr>
        <w:tc>
          <w:tcPr>
            <w:tcW w:type="dxa" w:w="1274"/>
            <w:tcBorders>
              <w:top w:val="single" w:color="000000" w:sz="8"/>
              <w:left w:val="single" w:color="000000" w:sz="8"/>
              <w:bottom w:val="single" w:color="000000" w:sz="8"/>
              <w:right w:val="single" w:color="000000" w:sz="8"/>
            </w:tcBorders>
            <w:vAlign w:val="top"/>
          </w:tcPr>
          <w:p>
            <w:pPr>
              <w:jc w:val="center"/>
            </w:pPr>
            <w:r>
              <w:rPr>
                <w:b/>
                <w:sz w:val="21"/>
              </w:rPr>
              <w:t>分包</w:t>
            </w:r>
          </w:p>
        </w:tc>
        <w:tc>
          <w:tcPr>
            <w:tcW w:type="dxa" w:w="497"/>
            <w:tcBorders>
              <w:top w:val="single" w:color="000000" w:sz="8"/>
              <w:left w:val="single" w:color="000000" w:sz="8"/>
              <w:bottom w:val="single" w:color="000000" w:sz="8"/>
              <w:right w:val="single" w:color="000000" w:sz="8"/>
            </w:tcBorders>
            <w:vAlign w:val="top"/>
          </w:tcPr>
          <w:p>
            <w:pPr>
              <w:jc w:val="center"/>
            </w:pPr>
            <w:r>
              <w:rPr>
                <w:b/>
                <w:sz w:val="21"/>
              </w:rPr>
              <w:t>序号</w:t>
            </w:r>
          </w:p>
        </w:tc>
        <w:tc>
          <w:tcPr>
            <w:tcW w:type="dxa" w:w="1094"/>
            <w:tcBorders>
              <w:top w:val="single" w:color="000000" w:sz="8"/>
              <w:left w:val="single" w:color="000000" w:sz="8"/>
              <w:bottom w:val="single" w:color="000000" w:sz="8"/>
              <w:right w:val="single" w:color="000000" w:sz="8"/>
            </w:tcBorders>
            <w:vAlign w:val="top"/>
          </w:tcPr>
          <w:p>
            <w:pPr>
              <w:jc w:val="center"/>
            </w:pPr>
            <w:r>
              <w:rPr>
                <w:b/>
                <w:sz w:val="21"/>
              </w:rPr>
              <w:t>设备名称</w:t>
            </w:r>
          </w:p>
        </w:tc>
        <w:tc>
          <w:tcPr>
            <w:tcW w:type="dxa" w:w="2237"/>
            <w:tcBorders>
              <w:top w:val="single" w:color="000000" w:sz="8"/>
              <w:left w:val="single" w:color="000000" w:sz="8"/>
              <w:bottom w:val="single" w:color="000000" w:sz="8"/>
              <w:right w:val="single" w:color="000000" w:sz="8"/>
            </w:tcBorders>
            <w:vAlign w:val="top"/>
          </w:tcPr>
          <w:p>
            <w:pPr>
              <w:jc w:val="center"/>
            </w:pPr>
            <w:r>
              <w:rPr>
                <w:b/>
                <w:sz w:val="21"/>
              </w:rPr>
              <w:t>设备型号</w:t>
            </w:r>
          </w:p>
        </w:tc>
        <w:tc>
          <w:tcPr>
            <w:tcW w:type="dxa" w:w="1226"/>
            <w:tcBorders>
              <w:top w:val="single" w:color="000000" w:sz="8"/>
              <w:left w:val="single" w:color="000000" w:sz="8"/>
              <w:bottom w:val="single" w:color="000000" w:sz="8"/>
              <w:right w:val="single" w:color="000000" w:sz="8"/>
            </w:tcBorders>
            <w:vAlign w:val="top"/>
          </w:tcPr>
          <w:p>
            <w:pPr>
              <w:jc w:val="center"/>
            </w:pPr>
            <w:r>
              <w:rPr>
                <w:b/>
                <w:sz w:val="21"/>
              </w:rPr>
              <w:t>数量（单位）</w:t>
            </w:r>
          </w:p>
        </w:tc>
        <w:tc>
          <w:tcPr>
            <w:tcW w:type="dxa" w:w="1135"/>
            <w:tcBorders>
              <w:top w:val="single" w:color="000000" w:sz="8"/>
              <w:left w:val="single" w:color="000000" w:sz="8"/>
              <w:bottom w:val="single" w:color="000000" w:sz="8"/>
              <w:right w:val="single" w:color="000000" w:sz="8"/>
            </w:tcBorders>
            <w:vAlign w:val="top"/>
          </w:tcPr>
          <w:p>
            <w:pPr>
              <w:jc w:val="center"/>
            </w:pPr>
            <w:r>
              <w:rPr>
                <w:b/>
                <w:sz w:val="21"/>
              </w:rPr>
              <w:t>预算金额</w:t>
            </w:r>
          </w:p>
        </w:tc>
        <w:tc>
          <w:tcPr>
            <w:tcW w:type="dxa" w:w="423"/>
            <w:tcBorders>
              <w:top w:val="single" w:color="000000" w:sz="8"/>
              <w:left w:val="single" w:color="000000" w:sz="8"/>
              <w:bottom w:val="single" w:color="000000" w:sz="8"/>
              <w:right w:val="single" w:color="000000" w:sz="8"/>
            </w:tcBorders>
            <w:vAlign w:val="top"/>
          </w:tcPr>
          <w:p>
            <w:pPr>
              <w:jc w:val="center"/>
            </w:pPr>
            <w:r>
              <w:rPr>
                <w:b/>
                <w:sz w:val="21"/>
              </w:rPr>
              <w:t>服务期</w:t>
            </w:r>
          </w:p>
        </w:tc>
      </w:tr>
      <w:tr>
        <w:tc>
          <w:tcPr>
            <w:tcW w:type="dxa" w:w="1274"/>
            <w:vMerge w:val="restart"/>
            <w:tcBorders>
              <w:top w:val="none" w:color="000000" w:sz="4"/>
              <w:left w:val="single" w:color="000000" w:sz="8"/>
              <w:bottom w:val="single" w:color="000000" w:sz="8"/>
              <w:right w:val="single" w:color="000000" w:sz="8"/>
            </w:tcBorders>
            <w:vAlign w:val="top"/>
          </w:tcPr>
          <w:p>
            <w:pPr>
              <w:jc w:val="center"/>
            </w:pPr>
            <w:r>
              <w:rPr>
                <w:sz w:val="21"/>
              </w:rPr>
              <w:t>采购包</w:t>
            </w:r>
            <w:r>
              <w:rPr>
                <w:sz w:val="21"/>
              </w:rPr>
              <w:t>1</w:t>
            </w:r>
          </w:p>
        </w:tc>
        <w:tc>
          <w:tcPr>
            <w:tcW w:type="dxa" w:w="497"/>
            <w:tcBorders>
              <w:top w:val="none" w:color="000000" w:sz="4"/>
              <w:left w:val="single" w:color="000000" w:sz="8"/>
              <w:bottom w:val="single" w:color="000000" w:sz="8"/>
              <w:right w:val="single" w:color="000000" w:sz="8"/>
            </w:tcBorders>
            <w:vAlign w:val="top"/>
          </w:tcPr>
          <w:p>
            <w:pPr>
              <w:jc w:val="center"/>
            </w:pPr>
            <w:r>
              <w:rPr>
                <w:sz w:val="21"/>
              </w:rPr>
              <w:t>1</w:t>
            </w:r>
          </w:p>
        </w:tc>
        <w:tc>
          <w:tcPr>
            <w:tcW w:type="dxa" w:w="1094"/>
            <w:tcBorders>
              <w:top w:val="none" w:color="000000" w:sz="4"/>
              <w:left w:val="single" w:color="000000" w:sz="8"/>
              <w:bottom w:val="single" w:color="000000" w:sz="8"/>
              <w:right w:val="single" w:color="000000" w:sz="8"/>
            </w:tcBorders>
            <w:vAlign w:val="top"/>
          </w:tcPr>
          <w:p>
            <w:pPr>
              <w:jc w:val="center"/>
            </w:pPr>
            <w:r>
              <w:rPr>
                <w:sz w:val="21"/>
              </w:rPr>
              <w:t>DSA</w:t>
            </w:r>
          </w:p>
        </w:tc>
        <w:tc>
          <w:tcPr>
            <w:tcW w:type="dxa" w:w="2237"/>
            <w:tcBorders>
              <w:top w:val="none" w:color="000000" w:sz="4"/>
              <w:left w:val="single" w:color="000000" w:sz="8"/>
              <w:bottom w:val="single" w:color="000000" w:sz="8"/>
              <w:right w:val="single" w:color="000000" w:sz="8"/>
            </w:tcBorders>
            <w:vAlign w:val="top"/>
          </w:tcPr>
          <w:p>
            <w:pPr>
              <w:jc w:val="center"/>
            </w:pPr>
            <w:r>
              <w:rPr>
                <w:sz w:val="21"/>
              </w:rPr>
              <w:t>UNIQ FD10</w:t>
            </w:r>
          </w:p>
        </w:tc>
        <w:tc>
          <w:tcPr>
            <w:tcW w:type="dxa" w:w="1226"/>
            <w:tcBorders>
              <w:top w:val="none" w:color="000000" w:sz="4"/>
              <w:left w:val="single" w:color="000000" w:sz="8"/>
              <w:bottom w:val="single" w:color="000000" w:sz="8"/>
              <w:right w:val="single" w:color="000000" w:sz="8"/>
            </w:tcBorders>
            <w:vAlign w:val="top"/>
          </w:tcPr>
          <w:p>
            <w:pPr>
              <w:jc w:val="center"/>
            </w:pPr>
            <w:r>
              <w:rPr>
                <w:sz w:val="21"/>
              </w:rPr>
              <w:t>1台</w:t>
            </w:r>
          </w:p>
        </w:tc>
        <w:tc>
          <w:tcPr>
            <w:tcW w:type="dxa" w:w="1135"/>
            <w:vMerge w:val="restart"/>
            <w:tcBorders>
              <w:top w:val="none" w:color="000000" w:sz="4"/>
              <w:left w:val="single" w:color="000000" w:sz="8"/>
              <w:bottom w:val="single" w:color="000000" w:sz="8"/>
              <w:right w:val="single" w:color="000000" w:sz="8"/>
            </w:tcBorders>
            <w:vAlign w:val="top"/>
          </w:tcPr>
          <w:p>
            <w:pPr>
              <w:jc w:val="center"/>
            </w:pPr>
            <w:r>
              <w:rPr>
                <w:color w:val="000000"/>
                <w:sz w:val="21"/>
              </w:rPr>
              <w:t>1321.7万</w:t>
            </w:r>
          </w:p>
        </w:tc>
        <w:tc>
          <w:tcPr>
            <w:tcW w:type="dxa" w:w="423"/>
            <w:vMerge w:val="restart"/>
            <w:tcBorders>
              <w:top w:val="none" w:color="000000" w:sz="4"/>
              <w:left w:val="single" w:color="000000" w:sz="8"/>
              <w:bottom w:val="single" w:color="000000" w:sz="8"/>
              <w:right w:val="single" w:color="000000" w:sz="8"/>
            </w:tcBorders>
            <w:vAlign w:val="top"/>
          </w:tcPr>
          <w:p>
            <w:pPr>
              <w:jc w:val="center"/>
            </w:pPr>
            <w:r>
              <w:rPr>
                <w:sz w:val="21"/>
              </w:rPr>
              <w:t>3年</w:t>
            </w:r>
          </w:p>
        </w:tc>
      </w:tr>
      <w:tr>
        <w:tc>
          <w:tcPr>
            <w:tcW w:type="dxa" w:w="1274"/>
            <w:vMerge/>
            <w:tcBorders>
              <w:top w:val="none" w:color="000000" w:sz="4"/>
              <w:left w:val="single" w:color="000000" w:sz="8"/>
              <w:bottom w:val="single" w:color="000000" w:sz="8"/>
              <w:right w:val="single" w:color="000000" w:sz="8"/>
            </w:tcBorders>
          </w:tcPr>
          <w:p/>
        </w:tc>
        <w:tc>
          <w:tcPr>
            <w:tcW w:type="dxa" w:w="497"/>
            <w:tcBorders>
              <w:top w:val="none" w:color="000000" w:sz="4"/>
              <w:left w:val="single" w:color="000000" w:sz="8"/>
              <w:bottom w:val="single" w:color="000000" w:sz="8"/>
              <w:right w:val="single" w:color="000000" w:sz="8"/>
            </w:tcBorders>
            <w:vAlign w:val="top"/>
          </w:tcPr>
          <w:p>
            <w:pPr>
              <w:jc w:val="center"/>
            </w:pPr>
            <w:r>
              <w:rPr>
                <w:sz w:val="21"/>
              </w:rPr>
              <w:t>2</w:t>
            </w:r>
          </w:p>
        </w:tc>
        <w:tc>
          <w:tcPr>
            <w:tcW w:type="dxa" w:w="1094"/>
            <w:tcBorders>
              <w:top w:val="none" w:color="000000" w:sz="4"/>
              <w:left w:val="single" w:color="000000" w:sz="8"/>
              <w:bottom w:val="single" w:color="000000" w:sz="8"/>
              <w:right w:val="single" w:color="000000" w:sz="8"/>
            </w:tcBorders>
            <w:vAlign w:val="top"/>
          </w:tcPr>
          <w:p>
            <w:pPr>
              <w:jc w:val="center"/>
            </w:pPr>
            <w:r>
              <w:rPr>
                <w:sz w:val="21"/>
              </w:rPr>
              <w:t>CT</w:t>
            </w:r>
          </w:p>
        </w:tc>
        <w:tc>
          <w:tcPr>
            <w:tcW w:type="dxa" w:w="2237"/>
            <w:tcBorders>
              <w:top w:val="none" w:color="000000" w:sz="4"/>
              <w:left w:val="single" w:color="000000" w:sz="8"/>
              <w:bottom w:val="single" w:color="000000" w:sz="8"/>
              <w:right w:val="single" w:color="000000" w:sz="8"/>
            </w:tcBorders>
            <w:vAlign w:val="top"/>
          </w:tcPr>
          <w:p>
            <w:pPr>
              <w:jc w:val="center"/>
            </w:pPr>
            <w:r>
              <w:rPr>
                <w:color w:val="000000"/>
                <w:sz w:val="21"/>
              </w:rPr>
              <w:t>Brilliance iCT</w:t>
            </w:r>
            <w:r>
              <w:rPr>
                <w:color w:val="000000"/>
                <w:sz w:val="21"/>
              </w:rPr>
              <w:t>、</w:t>
            </w:r>
            <w:r>
              <w:rPr>
                <w:color w:val="000000"/>
                <w:sz w:val="21"/>
              </w:rPr>
              <w:t>升级</w:t>
            </w:r>
          </w:p>
        </w:tc>
        <w:tc>
          <w:tcPr>
            <w:tcW w:type="dxa" w:w="1226"/>
            <w:tcBorders>
              <w:top w:val="none" w:color="000000" w:sz="4"/>
              <w:left w:val="single" w:color="000000" w:sz="8"/>
              <w:bottom w:val="single" w:color="000000" w:sz="8"/>
              <w:right w:val="single" w:color="000000" w:sz="8"/>
            </w:tcBorders>
            <w:vAlign w:val="top"/>
          </w:tcPr>
          <w:p>
            <w:pPr>
              <w:jc w:val="center"/>
            </w:pPr>
            <w:r>
              <w:rPr>
                <w:color w:val="000000"/>
                <w:sz w:val="21"/>
              </w:rPr>
              <w:t>1台</w:t>
            </w:r>
          </w:p>
        </w:tc>
      </w:tr>
      <w:tr>
        <w:tc>
          <w:tcPr>
            <w:tcW w:type="dxa" w:w="1274"/>
            <w:vMerge/>
            <w:tcBorders>
              <w:top w:val="none" w:color="000000" w:sz="4"/>
              <w:left w:val="single" w:color="000000" w:sz="8"/>
              <w:bottom w:val="single" w:color="000000" w:sz="8"/>
              <w:right w:val="single" w:color="000000" w:sz="8"/>
            </w:tcBorders>
          </w:tcPr>
          <w:p/>
        </w:tc>
        <w:tc>
          <w:tcPr>
            <w:tcW w:type="dxa" w:w="497"/>
            <w:tcBorders>
              <w:top w:val="none" w:color="000000" w:sz="4"/>
              <w:left w:val="single" w:color="000000" w:sz="8"/>
              <w:bottom w:val="single" w:color="000000" w:sz="8"/>
              <w:right w:val="single" w:color="000000" w:sz="8"/>
            </w:tcBorders>
            <w:vAlign w:val="top"/>
          </w:tcPr>
          <w:p>
            <w:pPr>
              <w:jc w:val="center"/>
            </w:pPr>
            <w:r>
              <w:rPr>
                <w:sz w:val="21"/>
              </w:rPr>
              <w:t>3</w:t>
            </w:r>
          </w:p>
        </w:tc>
        <w:tc>
          <w:tcPr>
            <w:tcW w:type="dxa" w:w="1094"/>
            <w:tcBorders>
              <w:top w:val="none" w:color="000000" w:sz="4"/>
              <w:left w:val="single" w:color="000000" w:sz="8"/>
              <w:bottom w:val="single" w:color="000000" w:sz="8"/>
              <w:right w:val="single" w:color="000000" w:sz="8"/>
            </w:tcBorders>
            <w:vAlign w:val="top"/>
          </w:tcPr>
          <w:p>
            <w:pPr>
              <w:jc w:val="center"/>
            </w:pPr>
            <w:r>
              <w:rPr>
                <w:sz w:val="21"/>
              </w:rPr>
              <w:t>MR</w:t>
            </w:r>
          </w:p>
        </w:tc>
        <w:tc>
          <w:tcPr>
            <w:tcW w:type="dxa" w:w="2237"/>
            <w:tcBorders>
              <w:top w:val="none" w:color="000000" w:sz="4"/>
              <w:left w:val="single" w:color="000000" w:sz="8"/>
              <w:bottom w:val="single" w:color="000000" w:sz="8"/>
              <w:right w:val="single" w:color="000000" w:sz="8"/>
            </w:tcBorders>
            <w:vAlign w:val="top"/>
          </w:tcPr>
          <w:p>
            <w:pPr>
              <w:jc w:val="center"/>
            </w:pPr>
            <w:r>
              <w:rPr>
                <w:color w:val="000000"/>
                <w:sz w:val="21"/>
              </w:rPr>
              <w:t>Achieva 3.0T</w:t>
            </w:r>
            <w:r>
              <w:rPr>
                <w:color w:val="000000"/>
                <w:sz w:val="21"/>
              </w:rPr>
              <w:t>、</w:t>
            </w:r>
            <w:r>
              <w:rPr>
                <w:color w:val="000000"/>
                <w:sz w:val="21"/>
              </w:rPr>
              <w:t>升级</w:t>
            </w:r>
          </w:p>
        </w:tc>
        <w:tc>
          <w:tcPr>
            <w:tcW w:type="dxa" w:w="1226"/>
            <w:tcBorders>
              <w:top w:val="none" w:color="000000" w:sz="4"/>
              <w:left w:val="single" w:color="000000" w:sz="8"/>
              <w:bottom w:val="single" w:color="000000" w:sz="8"/>
              <w:right w:val="single" w:color="000000" w:sz="8"/>
            </w:tcBorders>
            <w:vAlign w:val="top"/>
          </w:tcPr>
          <w:p>
            <w:pPr>
              <w:jc w:val="center"/>
            </w:pPr>
            <w:r>
              <w:rPr>
                <w:color w:val="000000"/>
                <w:sz w:val="21"/>
              </w:rPr>
              <w:t>1台</w:t>
            </w:r>
          </w:p>
        </w:tc>
      </w:tr>
      <w:tr>
        <w:tc>
          <w:tcPr>
            <w:tcW w:type="dxa" w:w="1274"/>
            <w:vMerge/>
            <w:tcBorders>
              <w:top w:val="none" w:color="000000" w:sz="4"/>
              <w:left w:val="single" w:color="000000" w:sz="8"/>
              <w:bottom w:val="single" w:color="000000" w:sz="8"/>
              <w:right w:val="single" w:color="000000" w:sz="8"/>
            </w:tcBorders>
          </w:tcPr>
          <w:p/>
        </w:tc>
        <w:tc>
          <w:tcPr>
            <w:tcW w:type="dxa" w:w="497"/>
            <w:tcBorders>
              <w:top w:val="none" w:color="000000" w:sz="4"/>
              <w:left w:val="single" w:color="000000" w:sz="8"/>
              <w:bottom w:val="single" w:color="000000" w:sz="8"/>
              <w:right w:val="single" w:color="000000" w:sz="8"/>
            </w:tcBorders>
            <w:vAlign w:val="top"/>
          </w:tcPr>
          <w:p>
            <w:pPr>
              <w:jc w:val="center"/>
            </w:pPr>
            <w:r>
              <w:rPr>
                <w:sz w:val="21"/>
              </w:rPr>
              <w:t>4</w:t>
            </w:r>
          </w:p>
        </w:tc>
        <w:tc>
          <w:tcPr>
            <w:tcW w:type="dxa" w:w="1094"/>
            <w:tcBorders>
              <w:top w:val="none" w:color="000000" w:sz="4"/>
              <w:left w:val="single" w:color="000000" w:sz="8"/>
              <w:bottom w:val="single" w:color="000000" w:sz="8"/>
              <w:right w:val="single" w:color="000000" w:sz="8"/>
            </w:tcBorders>
            <w:vAlign w:val="top"/>
          </w:tcPr>
          <w:p>
            <w:pPr>
              <w:jc w:val="center"/>
            </w:pPr>
            <w:r>
              <w:rPr>
                <w:sz w:val="21"/>
              </w:rPr>
              <w:t>MR</w:t>
            </w:r>
          </w:p>
        </w:tc>
        <w:tc>
          <w:tcPr>
            <w:tcW w:type="dxa" w:w="2237"/>
            <w:tcBorders>
              <w:top w:val="none" w:color="000000" w:sz="4"/>
              <w:left w:val="single" w:color="000000" w:sz="8"/>
              <w:bottom w:val="single" w:color="000000" w:sz="8"/>
              <w:right w:val="single" w:color="000000" w:sz="8"/>
            </w:tcBorders>
            <w:vAlign w:val="top"/>
          </w:tcPr>
          <w:p>
            <w:pPr>
              <w:jc w:val="center"/>
            </w:pPr>
            <w:r>
              <w:rPr>
                <w:color w:val="000000"/>
                <w:sz w:val="21"/>
              </w:rPr>
              <w:t>Prodiva</w:t>
            </w:r>
            <w:r>
              <w:rPr>
                <w:color w:val="000000"/>
                <w:sz w:val="21"/>
              </w:rPr>
              <w:t xml:space="preserve"> 1.5</w:t>
            </w:r>
            <w:r>
              <w:rPr>
                <w:color w:val="000000"/>
                <w:sz w:val="21"/>
              </w:rPr>
              <w:t>T</w:t>
            </w:r>
          </w:p>
        </w:tc>
        <w:tc>
          <w:tcPr>
            <w:tcW w:type="dxa" w:w="1226"/>
            <w:tcBorders>
              <w:top w:val="none" w:color="000000" w:sz="4"/>
              <w:left w:val="single" w:color="000000" w:sz="8"/>
              <w:bottom w:val="single" w:color="000000" w:sz="8"/>
              <w:right w:val="single" w:color="000000" w:sz="8"/>
            </w:tcBorders>
            <w:vAlign w:val="top"/>
          </w:tcPr>
          <w:p>
            <w:pPr>
              <w:jc w:val="center"/>
            </w:pPr>
            <w:r>
              <w:rPr>
                <w:color w:val="000000"/>
                <w:sz w:val="21"/>
              </w:rPr>
              <w:t>1台</w:t>
            </w:r>
          </w:p>
        </w:tc>
      </w:tr>
      <w:tr>
        <w:tc>
          <w:tcPr>
            <w:tcW w:type="dxa" w:w="1274"/>
            <w:tcBorders>
              <w:top w:val="none" w:color="000000" w:sz="4"/>
              <w:left w:val="single" w:color="000000" w:sz="8"/>
              <w:bottom w:val="single" w:color="000000" w:sz="8"/>
              <w:right w:val="single" w:color="000000" w:sz="8"/>
            </w:tcBorders>
            <w:vAlign w:val="top"/>
          </w:tcPr>
          <w:p>
            <w:pPr>
              <w:jc w:val="center"/>
            </w:pPr>
            <w:r>
              <w:rPr>
                <w:sz w:val="21"/>
              </w:rPr>
              <w:t>采购包</w:t>
            </w:r>
            <w:r>
              <w:rPr>
                <w:sz w:val="21"/>
              </w:rPr>
              <w:t>2</w:t>
            </w:r>
          </w:p>
        </w:tc>
        <w:tc>
          <w:tcPr>
            <w:tcW w:type="dxa" w:w="497"/>
            <w:tcBorders>
              <w:top w:val="none" w:color="000000" w:sz="4"/>
              <w:left w:val="single" w:color="000000" w:sz="8"/>
              <w:bottom w:val="single" w:color="000000" w:sz="8"/>
              <w:right w:val="single" w:color="000000" w:sz="8"/>
            </w:tcBorders>
            <w:vAlign w:val="top"/>
          </w:tcPr>
          <w:p>
            <w:pPr>
              <w:jc w:val="center"/>
            </w:pPr>
            <w:r>
              <w:rPr>
                <w:sz w:val="21"/>
              </w:rPr>
              <w:t>5</w:t>
            </w:r>
          </w:p>
        </w:tc>
        <w:tc>
          <w:tcPr>
            <w:tcW w:type="dxa" w:w="1094"/>
            <w:tcBorders>
              <w:top w:val="none" w:color="000000" w:sz="4"/>
              <w:left w:val="single" w:color="000000" w:sz="8"/>
              <w:bottom w:val="single" w:color="000000" w:sz="8"/>
              <w:right w:val="single" w:color="000000" w:sz="8"/>
            </w:tcBorders>
            <w:vAlign w:val="top"/>
          </w:tcPr>
          <w:p>
            <w:pPr>
              <w:jc w:val="center"/>
            </w:pPr>
            <w:r>
              <w:rPr>
                <w:color w:val="000000"/>
                <w:sz w:val="21"/>
              </w:rPr>
              <w:t>CT球管</w:t>
            </w:r>
          </w:p>
        </w:tc>
        <w:tc>
          <w:tcPr>
            <w:tcW w:type="dxa" w:w="2237"/>
            <w:tcBorders>
              <w:top w:val="none" w:color="000000" w:sz="4"/>
              <w:left w:val="single" w:color="000000" w:sz="8"/>
              <w:bottom w:val="single" w:color="000000" w:sz="8"/>
              <w:right w:val="single" w:color="000000" w:sz="8"/>
            </w:tcBorders>
            <w:vAlign w:val="top"/>
          </w:tcPr>
          <w:p>
            <w:r>
              <w:rPr>
                <w:sz w:val="21"/>
              </w:rPr>
              <w:t xml:space="preserve">           /</w:t>
            </w:r>
          </w:p>
        </w:tc>
        <w:tc>
          <w:tcPr>
            <w:tcW w:type="dxa" w:w="1226"/>
            <w:tcBorders>
              <w:top w:val="none" w:color="000000" w:sz="4"/>
              <w:left w:val="single" w:color="000000" w:sz="8"/>
              <w:bottom w:val="single" w:color="000000" w:sz="8"/>
              <w:right w:val="single" w:color="000000" w:sz="8"/>
            </w:tcBorders>
            <w:vAlign w:val="top"/>
          </w:tcPr>
          <w:p>
            <w:pPr>
              <w:jc w:val="center"/>
            </w:pPr>
            <w:r>
              <w:rPr>
                <w:color w:val="000000"/>
                <w:sz w:val="21"/>
              </w:rPr>
              <w:t>1个</w:t>
            </w:r>
          </w:p>
        </w:tc>
        <w:tc>
          <w:tcPr>
            <w:tcW w:type="dxa" w:w="1135"/>
            <w:tcBorders>
              <w:top w:val="none" w:color="000000" w:sz="4"/>
              <w:left w:val="single" w:color="000000" w:sz="8"/>
              <w:bottom w:val="single" w:color="000000" w:sz="8"/>
              <w:right w:val="single" w:color="000000" w:sz="8"/>
            </w:tcBorders>
            <w:vAlign w:val="top"/>
          </w:tcPr>
          <w:p>
            <w:pPr>
              <w:jc w:val="center"/>
            </w:pPr>
            <w:r>
              <w:rPr>
                <w:color w:val="000000"/>
                <w:sz w:val="21"/>
              </w:rPr>
              <w:t>116.9万</w:t>
            </w:r>
          </w:p>
        </w:tc>
        <w:tc>
          <w:tcPr>
            <w:tcW w:type="dxa" w:w="423"/>
            <w:tcBorders>
              <w:top w:val="none" w:color="000000" w:sz="4"/>
              <w:left w:val="single" w:color="000000" w:sz="8"/>
              <w:bottom w:val="single" w:color="000000" w:sz="8"/>
              <w:right w:val="single" w:color="000000" w:sz="8"/>
            </w:tcBorders>
            <w:vAlign w:val="top"/>
          </w:tcPr>
          <w:p>
            <w:pPr>
              <w:jc w:val="center"/>
            </w:pPr>
            <w:r>
              <w:rPr>
                <w:sz w:val="21"/>
              </w:rPr>
              <w:t>/</w:t>
            </w:r>
          </w:p>
        </w:tc>
      </w:tr>
    </w:tbl>
    <w:p>
      <w:pPr>
        <w:jc w:val="both"/>
      </w:pPr>
    </w:p>
    <w:p>
      <w:pPr>
        <w:jc w:val="both"/>
      </w:pPr>
      <w:r>
        <w:rPr>
          <w:sz w:val="21"/>
        </w:rPr>
        <w:t>6.</w:t>
      </w:r>
      <w:r>
        <w:rPr>
          <w:sz w:val="21"/>
        </w:rPr>
        <w:t>本项目</w:t>
      </w:r>
      <w:r>
        <w:rPr>
          <w:sz w:val="21"/>
        </w:rPr>
        <w:t>不</w:t>
      </w:r>
      <w:r>
        <w:rPr>
          <w:sz w:val="21"/>
        </w:rPr>
        <w:t>属于专门面向中小微企业的项目。</w:t>
      </w:r>
    </w:p>
    <w:p>
      <w:pPr>
        <w:jc w:val="both"/>
      </w:pPr>
      <w:r>
        <w:rPr>
          <w:b/>
          <w:sz w:val="21"/>
        </w:rPr>
        <w:t>7.</w:t>
      </w:r>
      <w:r>
        <w:rPr>
          <w:b/>
          <w:sz w:val="21"/>
        </w:rPr>
        <w:t>根据财政部关于《政府采购进口产品管理办法》（财库〔</w:t>
      </w:r>
      <w:r>
        <w:rPr>
          <w:b/>
          <w:sz w:val="21"/>
        </w:rPr>
        <w:t>2007</w:t>
      </w:r>
      <w:r>
        <w:rPr>
          <w:b/>
          <w:sz w:val="21"/>
        </w:rPr>
        <w:t>〕</w:t>
      </w:r>
      <w:r>
        <w:rPr>
          <w:b/>
          <w:sz w:val="21"/>
        </w:rPr>
        <w:t>119</w:t>
      </w:r>
      <w:r>
        <w:rPr>
          <w:b/>
          <w:sz w:val="21"/>
        </w:rPr>
        <w:t>号）的规定，通过专家论证并经政府采购监管部门同意，本项目采购包</w:t>
      </w:r>
      <w:r>
        <w:rPr>
          <w:b/>
          <w:sz w:val="21"/>
        </w:rPr>
        <w:t>2</w:t>
      </w:r>
      <w:r>
        <w:rPr>
          <w:b/>
          <w:sz w:val="21"/>
        </w:rPr>
        <w:t>拟采购设备：</w:t>
      </w:r>
      <w:r>
        <w:rPr>
          <w:b/>
          <w:sz w:val="21"/>
        </w:rPr>
        <w:t>CT</w:t>
      </w:r>
      <w:r>
        <w:rPr>
          <w:b/>
          <w:sz w:val="21"/>
        </w:rPr>
        <w:t>球管，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both"/>
      </w:pPr>
      <w:r>
        <w:rPr>
          <w:sz w:val="21"/>
        </w:rPr>
        <w:t>8.</w:t>
      </w:r>
      <w:r>
        <w:rPr>
          <w:sz w:val="21"/>
        </w:rPr>
        <w:t>招标文件中凡有</w:t>
      </w:r>
      <w:r>
        <w:rPr>
          <w:sz w:val="21"/>
        </w:rPr>
        <w:t>“★”</w:t>
      </w:r>
      <w:r>
        <w:rPr>
          <w:sz w:val="21"/>
        </w:rPr>
        <w:t>标识的内容条款为关键条款，投标人必须对此做出回答并完全满足这些要求不可以出现任何负偏离，对这些关键条款的任何负偏离将视为无效投标。加注</w:t>
      </w:r>
      <w:r>
        <w:rPr>
          <w:sz w:val="21"/>
        </w:rPr>
        <w:t>“▲”</w:t>
      </w:r>
      <w:r>
        <w:rPr>
          <w:sz w:val="21"/>
        </w:rPr>
        <w:t>标识的内容作为重点评标项目，投标人必须对该标识项目按照要求进行真实答应描述。</w:t>
      </w:r>
    </w:p>
    <w:p>
      <w:pPr>
        <w:jc w:val="both"/>
      </w:pPr>
      <w:r>
        <w:rPr>
          <w:sz w:val="21"/>
        </w:rPr>
        <w:t>9.</w:t>
      </w:r>
      <w:r>
        <w:rPr>
          <w:sz w:val="21"/>
        </w:rPr>
        <w:t>本项目由中标供应商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10.本招标文件中“第四章 评标”中“3.价格扣除相关要求”采购包2的价格扣除适用对象应为：“货物由小微企业制造”。所投产品制造商为中小企业时，应在投标文件中提交中小企业声明函（货物）。</w:t>
      </w:r>
      <w:r>
        <w:rPr>
          <w:b/>
          <w:sz w:val="21"/>
        </w:rPr>
        <w:t>投标（响应）产品均由小微企业生产且使用该小微企业商号货物由小微企业制造，即货物由小微企业生产且使用该小微企业商号或者注册商标时，给予价格扣除10%，即：评标价=投标报价×（1-10%）;监狱企业与残疾人福利性单位视同小型、微型企业，享受同等价格扣除，当企业属性重复时，不重复价格扣除。</w:t>
      </w:r>
      <w:r>
        <w:rPr>
          <w:b/>
          <w:sz w:val="21"/>
        </w:rPr>
        <w:t>因系统局限性，关于采购包2的价格扣除要求以本段为准。</w:t>
      </w:r>
    </w:p>
    <w:p/>
    <w:p>
      <w:pPr>
        <w:ind w:firstLine="480"/>
      </w:pPr>
    </w:p>
    <w:p/>
    <w:p>
      <w:r>
        <w:rPr/>
        <w:t>采购包1（四台影像设备（CT、DSA、MR）保修服务）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自合同签订之日起3年。</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1期：支付比例100%,★分6期平均支付（按每半年支付一次），每个付款周期次月凭中标供应商开具的有效发票支付。每次付款前，中标供应商需按医院管理要求进行服务质量考核且考核合格后方可付款办理。</w:t>
            </w:r>
          </w:p>
        </w:tc>
      </w:tr>
      <w:tr>
        <w:tc>
          <w:tcPr>
            <w:tcW w:type="dxa" w:w="4153"/>
          </w:tcPr>
          <w:p>
            <w:r>
              <w:rPr/>
              <w:t>验收要求</w:t>
            </w:r>
          </w:p>
        </w:tc>
        <w:tc>
          <w:tcPr>
            <w:tcW w:type="dxa" w:w="4153"/>
          </w:tcPr>
          <w:p/>
          <w:p/>
          <w:p/>
          <w:p>
            <w:r>
              <w:rPr/>
              <w:t>1期：采购人和中标供应商按照有关的验收规定和标准组织测试及验收工作。</w:t>
            </w:r>
          </w:p>
        </w:tc>
      </w:tr>
      <w:tr>
        <w:tc>
          <w:tcPr>
            <w:tcW w:type="dxa" w:w="4153"/>
          </w:tcPr>
          <w:p>
            <w:r>
              <w:rPr/>
              <w:t>履约保证金</w:t>
            </w:r>
          </w:p>
        </w:tc>
        <w:tc>
          <w:tcPr>
            <w:tcW w:type="dxa" w:w="4153"/>
          </w:tcPr>
          <w:p/>
          <w:p/>
          <w:p/>
          <w:p/>
          <w:p>
            <w:r>
              <w:rPr/>
              <w:t>收取比例：5%,说明：采购人在支付货款前需收到中标供应商合同总额5%的履约保证金或银行保函；履约服务期满后，经考核合格，履约保证金不计利息一次性返还。</w:t>
            </w:r>
          </w:p>
        </w:tc>
      </w:tr>
      <w:tr>
        <w:tc>
          <w:tcPr>
            <w:tcW w:type="dxa" w:w="4153"/>
          </w:tcPr>
          <w:p>
            <w:r>
              <w:rPr/>
              <w:t>其他</w:t>
            </w:r>
          </w:p>
        </w:tc>
        <w:tc>
          <w:tcPr>
            <w:tcW w:type="dxa" w:w="4153"/>
          </w:tcP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报价以人民币报价。投标报价应包括硬件、软件对接服务费、技术培训费、安装调试费等杂费，含全额发票及合同实施过程中的应预见或不可预见费用等完成合同规定责任和义务、达到合同目的的一切费用及企业利润。</w:t>
            </w:r>
          </w:p>
        </w:tc>
      </w:tr>
      <w:tr>
        <w:tc>
          <w:tcPr>
            <w:tcW w:type="dxa" w:w="2076"/>
          </w:tcPr>
          <w:p>
            <w:pPr>
              <w:jc w:val="center"/>
            </w:pPr>
          </w:p>
        </w:tc>
        <w:tc>
          <w:tcPr>
            <w:tcW w:type="dxa" w:w="2076"/>
          </w:tcPr>
          <w:p>
            <w:pPr>
              <w:jc w:val="center"/>
            </w:pPr>
            <w:r>
              <w:rPr/>
              <w:t>2</w:t>
            </w:r>
          </w:p>
        </w:tc>
        <w:tc>
          <w:tcPr>
            <w:tcW w:type="dxa" w:w="2076"/>
          </w:tcPr>
          <w:p>
            <w:pPr>
              <w:jc w:val="left"/>
            </w:pPr>
            <w:r>
              <w:rPr/>
              <w:t>热线服务</w:t>
            </w:r>
          </w:p>
        </w:tc>
        <w:tc>
          <w:tcPr>
            <w:tcW w:type="dxa" w:w="2076"/>
          </w:tcPr>
          <w:p>
            <w:pPr>
              <w:jc w:val="left"/>
            </w:pPr>
            <w:r>
              <w:rPr/>
              <w:t>提供免费热线电话，24小时*365天有工程师接听，为用户快速诊断和提供技术支持服务。接到维修要求后，如是设备停机或是影响设备使用的故障，不超过24小时到达现场；如是间接性故障或不影响设备使用的故障，在取得科室同意的情况下，可酌情延长到场时间。</w:t>
            </w:r>
          </w:p>
        </w:tc>
      </w:tr>
      <w:tr>
        <w:tc>
          <w:tcPr>
            <w:tcW w:type="dxa" w:w="2076"/>
          </w:tcPr>
          <w:p>
            <w:pPr>
              <w:jc w:val="center"/>
            </w:pPr>
            <w:r>
              <w:rPr/>
              <w:t>★</w:t>
            </w:r>
          </w:p>
        </w:tc>
        <w:tc>
          <w:tcPr>
            <w:tcW w:type="dxa" w:w="2076"/>
          </w:tcPr>
          <w:p>
            <w:pPr>
              <w:jc w:val="center"/>
            </w:pPr>
            <w:r>
              <w:rPr/>
              <w:t>3</w:t>
            </w:r>
          </w:p>
        </w:tc>
        <w:tc>
          <w:tcPr>
            <w:tcW w:type="dxa" w:w="2076"/>
          </w:tcPr>
          <w:p>
            <w:pPr>
              <w:jc w:val="left"/>
            </w:pPr>
            <w:r>
              <w:rPr/>
              <w:t>UNIQ FD10 DSA设备维保</w:t>
            </w:r>
          </w:p>
        </w:tc>
        <w:tc>
          <w:tcPr>
            <w:tcW w:type="dxa" w:w="2076"/>
          </w:tcPr>
          <w:p>
            <w:pPr>
              <w:jc w:val="left"/>
            </w:pPr>
            <w:r>
              <w:rPr/>
              <w:t>3.1.每年2次保养，不限次数维修； 3.2.保修范围包括：全包服务，包括球管、平板探测器、主机零配件、工作站等以及附属高压注射器壹台的保修； 3.3.包含已故障的高压注射器联动触控屏（费用约人民币28万元）。</w:t>
            </w:r>
          </w:p>
        </w:tc>
      </w:tr>
      <w:tr>
        <w:tc>
          <w:tcPr>
            <w:tcW w:type="dxa" w:w="2076"/>
          </w:tcPr>
          <w:p>
            <w:pPr>
              <w:jc w:val="center"/>
            </w:pPr>
            <w:r>
              <w:rPr/>
              <w:t>★</w:t>
            </w:r>
          </w:p>
        </w:tc>
        <w:tc>
          <w:tcPr>
            <w:tcW w:type="dxa" w:w="2076"/>
          </w:tcPr>
          <w:p>
            <w:pPr>
              <w:jc w:val="center"/>
            </w:pPr>
            <w:r>
              <w:rPr/>
              <w:t>4</w:t>
            </w:r>
          </w:p>
        </w:tc>
        <w:tc>
          <w:tcPr>
            <w:tcW w:type="dxa" w:w="2076"/>
          </w:tcPr>
          <w:p>
            <w:pPr>
              <w:jc w:val="left"/>
            </w:pPr>
            <w:r>
              <w:rPr/>
              <w:t>Brilliance iCT设备维保</w:t>
            </w:r>
          </w:p>
        </w:tc>
        <w:tc>
          <w:tcPr>
            <w:tcW w:type="dxa" w:w="2076"/>
          </w:tcPr>
          <w:p>
            <w:pPr>
              <w:jc w:val="left"/>
            </w:pPr>
            <w:r>
              <w:rPr/>
              <w:t>4.1.包含每年4次保养，不限次数维修； 4.2.保修范围：球管、探测器、主机零配件、工作站以及附属美德瑞达高压注射器壹台的保修，包含已故障的高压电源箱、继电器、球管旋转阳极驱动单元、空气压缩机头（费用约人民币121万元）； 4.3.包含3台工作站的保修：一台EBW工作站，一台单机版IntelliSpace IX/LX Workstations，一台Portal Workstations网络版一拖五。</w:t>
            </w:r>
          </w:p>
        </w:tc>
      </w:tr>
      <w:tr>
        <w:tc>
          <w:tcPr>
            <w:tcW w:type="dxa" w:w="2076"/>
          </w:tcPr>
          <w:p>
            <w:pPr>
              <w:jc w:val="center"/>
            </w:pPr>
            <w:r>
              <w:rPr/>
              <w:t>★</w:t>
            </w:r>
          </w:p>
        </w:tc>
        <w:tc>
          <w:tcPr>
            <w:tcW w:type="dxa" w:w="2076"/>
          </w:tcPr>
          <w:p>
            <w:pPr>
              <w:jc w:val="center"/>
            </w:pPr>
            <w:r>
              <w:rPr/>
              <w:t>5</w:t>
            </w:r>
          </w:p>
        </w:tc>
        <w:tc>
          <w:tcPr>
            <w:tcW w:type="dxa" w:w="2076"/>
          </w:tcPr>
          <w:p>
            <w:pPr>
              <w:jc w:val="left"/>
            </w:pPr>
            <w:r>
              <w:rPr/>
              <w:t>Achieva 3.0T MR设备维保</w:t>
            </w:r>
          </w:p>
        </w:tc>
        <w:tc>
          <w:tcPr>
            <w:tcW w:type="dxa" w:w="2076"/>
          </w:tcPr>
          <w:p>
            <w:pPr>
              <w:jc w:val="left"/>
            </w:pPr>
            <w:r>
              <w:rPr/>
              <w:t>5.1.包含每年3次保养，不限次数维修； 5.2.保修范围包括：整机的主机、线圈、冷却系统、水冷系统（含水冷机）、液氦、后处理工作站以及精密空调的保修；不包含高压注射器； 5.3.每年度一次第三方性能检测，并出具全部合格的性能检测报告，共3次。</w:t>
            </w:r>
          </w:p>
        </w:tc>
      </w:tr>
      <w:tr>
        <w:tc>
          <w:tcPr>
            <w:tcW w:type="dxa" w:w="2076"/>
          </w:tcPr>
          <w:p>
            <w:pPr>
              <w:jc w:val="center"/>
            </w:pPr>
            <w:r>
              <w:rPr/>
              <w:t>★</w:t>
            </w:r>
          </w:p>
        </w:tc>
        <w:tc>
          <w:tcPr>
            <w:tcW w:type="dxa" w:w="2076"/>
          </w:tcPr>
          <w:p>
            <w:pPr>
              <w:jc w:val="center"/>
            </w:pPr>
            <w:r>
              <w:rPr/>
              <w:t>6</w:t>
            </w:r>
          </w:p>
        </w:tc>
        <w:tc>
          <w:tcPr>
            <w:tcW w:type="dxa" w:w="2076"/>
          </w:tcPr>
          <w:p>
            <w:pPr>
              <w:jc w:val="left"/>
            </w:pPr>
            <w:r>
              <w:rPr/>
              <w:t>Prodiva 1.5T MR设备维保</w:t>
            </w:r>
          </w:p>
        </w:tc>
        <w:tc>
          <w:tcPr>
            <w:tcW w:type="dxa" w:w="2076"/>
          </w:tcPr>
          <w:p>
            <w:pPr>
              <w:jc w:val="left"/>
            </w:pPr>
            <w:r>
              <w:rPr/>
              <w:t>6.1.包含每年3次保养，不限次数维修； 6.2.保修范围包括：整机的主机、线圈、冷却系统、水冷系统（含水冷机）、液氦、后处理工作站以及精密空调的保修；不包含高压注射器； 6.3.包含Prodiva 1.5T MR乳腺线圈及垫子一套。可与NVS Spine coil结合使用，用于乳房成像； 6.4.每年度一次第三方性能检测，并出具全部合格的性能检测报告，共3次。</w:t>
            </w:r>
          </w:p>
        </w:tc>
      </w:tr>
      <w:tr>
        <w:tc>
          <w:tcPr>
            <w:tcW w:type="dxa" w:w="2076"/>
          </w:tcPr>
          <w:p>
            <w:pPr>
              <w:jc w:val="center"/>
            </w:pPr>
            <w:r>
              <w:rPr/>
              <w:t>★</w:t>
            </w:r>
          </w:p>
        </w:tc>
        <w:tc>
          <w:tcPr>
            <w:tcW w:type="dxa" w:w="2076"/>
          </w:tcPr>
          <w:p>
            <w:pPr>
              <w:jc w:val="center"/>
            </w:pPr>
            <w:r>
              <w:rPr/>
              <w:t>7</w:t>
            </w:r>
          </w:p>
        </w:tc>
        <w:tc>
          <w:tcPr>
            <w:tcW w:type="dxa" w:w="2076"/>
          </w:tcPr>
          <w:p>
            <w:pPr>
              <w:jc w:val="left"/>
            </w:pPr>
            <w:r>
              <w:rPr/>
              <w:t>其他</w:t>
            </w:r>
          </w:p>
        </w:tc>
        <w:tc>
          <w:tcPr>
            <w:tcW w:type="dxa" w:w="2076"/>
          </w:tcPr>
          <w:p>
            <w:pPr>
              <w:jc w:val="left"/>
            </w:pPr>
            <w:r>
              <w:rPr/>
              <w:t>7.1.包含Ingenuity Flex已故障的CT数据处理板（费用约人民币12万元）； 7.2.包含Brilliance CT Big Bore设备已故障的高压、24VDC 继电器、激光发射盒、准直器、软启动继电器、主接触器、滑环保险3个、激光发射盒接口板、高压保险6个、机架旋转皮带（费用约人民币91万元）； 7.3.投标单位需承诺在合同签订后一周内把已故障的配件全部用原厂全新配件更换。</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四台影像设备（CT、DSA、MR）保修服务</w:t>
            </w:r>
          </w:p>
        </w:tc>
        <w:tc>
          <w:tcPr>
            <w:tcW w:type="dxa" w:w="933"/>
          </w:tcPr>
          <w:p>
            <w:pPr>
              <w:jc w:val="left"/>
            </w:pPr>
            <w:r>
              <w:rPr/>
              <w:t>项</w:t>
            </w:r>
          </w:p>
        </w:tc>
        <w:tc>
          <w:tcPr>
            <w:tcW w:type="dxa" w:w="933"/>
          </w:tcPr>
          <w:p>
            <w:pPr>
              <w:jc w:val="right"/>
            </w:pPr>
            <w:r>
              <w:rPr/>
              <w:t>1.00</w:t>
            </w:r>
          </w:p>
        </w:tc>
        <w:tc>
          <w:tcPr>
            <w:tcW w:type="dxa" w:w="933"/>
          </w:tcPr>
          <w:p>
            <w:pPr>
              <w:jc w:val="right"/>
            </w:pPr>
            <w:r>
              <w:rPr/>
              <w:t>13,217,000.00</w:t>
            </w:r>
          </w:p>
        </w:tc>
        <w:tc>
          <w:tcPr>
            <w:tcW w:type="dxa" w:w="933"/>
          </w:tcPr>
          <w:p>
            <w:pPr>
              <w:jc w:val="right"/>
            </w:pPr>
            <w:r>
              <w:rPr/>
              <w:t>13,217,000.00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四台影像设备（CT、DSA、MR）保修服务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1.维保要求</w:t>
            </w:r>
          </w:p>
          <w:p>
            <w:pPr>
              <w:jc w:val="both"/>
            </w:pPr>
            <w:r>
              <w:rPr>
                <w:b/>
                <w:sz w:val="21"/>
              </w:rPr>
              <w:t>1.1.安全检查：按照生产厂家设备本身标准及当地规定执行。（投标文件提供详细方案）</w:t>
            </w:r>
          </w:p>
          <w:p>
            <w:pPr>
              <w:jc w:val="both"/>
            </w:pPr>
            <w:r>
              <w:rPr>
                <w:sz w:val="21"/>
              </w:rPr>
              <w:t>1.1.1.制定检查计划；</w:t>
            </w:r>
          </w:p>
          <w:p>
            <w:pPr>
              <w:jc w:val="both"/>
            </w:pPr>
            <w:r>
              <w:rPr>
                <w:sz w:val="21"/>
              </w:rPr>
              <w:t>1.1.2.机械安全检查；</w:t>
            </w:r>
          </w:p>
          <w:p>
            <w:pPr>
              <w:jc w:val="both"/>
            </w:pPr>
            <w:r>
              <w:rPr>
                <w:sz w:val="21"/>
              </w:rPr>
              <w:t>1.1.3.电气安全检查；</w:t>
            </w:r>
          </w:p>
          <w:p>
            <w:pPr>
              <w:jc w:val="both"/>
            </w:pPr>
            <w:r>
              <w:rPr>
                <w:sz w:val="21"/>
              </w:rPr>
              <w:t>1.1.4.记录检查结果。</w:t>
            </w:r>
          </w:p>
          <w:p>
            <w:pPr>
              <w:jc w:val="both"/>
            </w:pPr>
            <w:r>
              <w:rPr>
                <w:b/>
                <w:sz w:val="21"/>
              </w:rPr>
              <w:t>1.2.预防性保养：按照保养计划提供，以保证设备处于最佳运行状态。</w:t>
            </w:r>
            <w:r>
              <w:rPr>
                <w:b/>
                <w:sz w:val="21"/>
              </w:rPr>
              <w:t>（投标文件提供详细方案）</w:t>
            </w:r>
          </w:p>
          <w:p>
            <w:pPr>
              <w:jc w:val="both"/>
            </w:pPr>
            <w:r>
              <w:rPr>
                <w:sz w:val="21"/>
              </w:rPr>
              <w:t>1.2.1.</w:t>
            </w:r>
            <w:r>
              <w:rPr>
                <w:sz w:val="21"/>
              </w:rPr>
              <w:t>记录并安排保养时间；</w:t>
            </w:r>
          </w:p>
          <w:p>
            <w:pPr>
              <w:jc w:val="both"/>
            </w:pPr>
            <w:r>
              <w:rPr>
                <w:sz w:val="21"/>
              </w:rPr>
              <w:t>1.2.2.按照保养计划更换损耗部件；</w:t>
            </w:r>
          </w:p>
          <w:p>
            <w:pPr>
              <w:jc w:val="both"/>
            </w:pPr>
            <w:r>
              <w:rPr>
                <w:sz w:val="21"/>
              </w:rPr>
              <w:t>1.2.3.按照厂家标准进行调校；</w:t>
            </w:r>
          </w:p>
          <w:p>
            <w:pPr>
              <w:jc w:val="both"/>
            </w:pPr>
            <w:r>
              <w:rPr>
                <w:sz w:val="21"/>
              </w:rPr>
              <w:t>1.2.4.确认各项技术指标及性能；</w:t>
            </w:r>
          </w:p>
          <w:p>
            <w:pPr>
              <w:jc w:val="both"/>
            </w:pPr>
            <w:r>
              <w:rPr>
                <w:sz w:val="21"/>
              </w:rPr>
              <w:t>1.2.5.如遇第三方机构进行设备状态检测时，中标供应商负责调试设备并保证全部检测指标达标；</w:t>
            </w:r>
          </w:p>
          <w:p>
            <w:pPr>
              <w:jc w:val="both"/>
            </w:pPr>
            <w:r>
              <w:rPr>
                <w:sz w:val="21"/>
              </w:rPr>
              <w:t>1.2.6. 记录设备状况；</w:t>
            </w:r>
          </w:p>
          <w:p>
            <w:pPr>
              <w:jc w:val="both"/>
            </w:pPr>
            <w:r>
              <w:rPr>
                <w:sz w:val="21"/>
              </w:rPr>
              <w:t>1.2.7.提供设备生产厂家保养内容清单；</w:t>
            </w:r>
          </w:p>
          <w:p>
            <w:pPr>
              <w:jc w:val="left"/>
            </w:pPr>
            <w:r>
              <w:rPr>
                <w:color w:val="E74C3C"/>
                <w:sz w:val="21"/>
              </w:rPr>
              <w:t>★</w:t>
            </w:r>
            <w:r>
              <w:rPr>
                <w:b/>
                <w:sz w:val="21"/>
              </w:rPr>
              <w:t>1.2.8.</w:t>
            </w:r>
            <w:r>
              <w:rPr>
                <w:sz w:val="21"/>
              </w:rPr>
              <w:t>提供每次保养后系统自动导出的保养报告，每次的检测项</w:t>
            </w:r>
            <w:r>
              <w:rPr>
                <w:b/>
                <w:color w:val="FF0000"/>
                <w:sz w:val="21"/>
              </w:rPr>
              <w:t>必须为</w:t>
            </w:r>
            <w:r>
              <w:rPr>
                <w:sz w:val="21"/>
              </w:rPr>
              <w:t>PASS。</w:t>
            </w:r>
          </w:p>
          <w:p>
            <w:pPr>
              <w:jc w:val="both"/>
            </w:pPr>
            <w:r>
              <w:rPr>
                <w:b/>
                <w:color w:val="000000"/>
                <w:sz w:val="21"/>
              </w:rPr>
              <w:t>1.3.</w:t>
            </w:r>
            <w:r>
              <w:rPr>
                <w:b/>
                <w:sz w:val="21"/>
              </w:rPr>
              <w:t>Brilliance iCT设备维保包含iMR智能显微平台升级一套，需满足如下要求：</w:t>
            </w:r>
          </w:p>
          <w:p>
            <w:pPr>
              <w:jc w:val="both"/>
            </w:pPr>
            <w:r>
              <w:rPr>
                <w:sz w:val="21"/>
              </w:rPr>
              <w:t>1.3.1.全系统的Windows 10升级，包括操作控制台、重建计算机和机架控制；</w:t>
            </w:r>
          </w:p>
          <w:p>
            <w:pPr>
              <w:jc w:val="both"/>
            </w:pPr>
            <w:r>
              <w:rPr>
                <w:sz w:val="21"/>
              </w:rPr>
              <w:t>1.3.2.更新和可配置的访问控制和身份验证；</w:t>
            </w:r>
          </w:p>
          <w:p>
            <w:pPr>
              <w:jc w:val="both"/>
            </w:pPr>
            <w:r>
              <w:rPr>
                <w:sz w:val="21"/>
              </w:rPr>
              <w:t>1.3.3.增强的操作系统和网络强化；</w:t>
            </w:r>
          </w:p>
          <w:p>
            <w:pPr>
              <w:jc w:val="both"/>
            </w:pPr>
            <w:r>
              <w:rPr>
                <w:sz w:val="21"/>
              </w:rPr>
              <w:t>1.3.4.支持中文DIACOM系统；</w:t>
            </w:r>
          </w:p>
          <w:p>
            <w:pPr>
              <w:jc w:val="both"/>
            </w:pPr>
            <w:r>
              <w:rPr>
                <w:sz w:val="21"/>
              </w:rPr>
              <w:t>1.3.5.更多临床相关的默认协议增强了分辨率、剂量、伪影预防和易用性；</w:t>
            </w:r>
          </w:p>
          <w:p>
            <w:pPr>
              <w:jc w:val="both"/>
            </w:pPr>
            <w:r>
              <w:rPr>
                <w:sz w:val="21"/>
              </w:rPr>
              <w:t>1.3.6.改进探测器监控，提高正常运行时间和系统维护；</w:t>
            </w:r>
          </w:p>
          <w:p>
            <w:pPr>
              <w:jc w:val="both"/>
            </w:pPr>
            <w:r>
              <w:rPr>
                <w:sz w:val="21"/>
              </w:rPr>
              <w:t>1.3.7.更新</w:t>
            </w:r>
            <w:r>
              <w:rPr>
                <w:sz w:val="21"/>
              </w:rPr>
              <w:t>iPatient S</w:t>
            </w:r>
            <w:r>
              <w:rPr>
                <w:sz w:val="21"/>
              </w:rPr>
              <w:t>智能平台及</w:t>
            </w:r>
            <w:r>
              <w:rPr>
                <w:sz w:val="21"/>
              </w:rPr>
              <w:t>iDose4 Premium 软件包。</w:t>
            </w:r>
          </w:p>
          <w:p>
            <w:pPr>
              <w:jc w:val="both"/>
            </w:pPr>
            <w:r>
              <w:rPr>
                <w:b/>
                <w:sz w:val="21"/>
              </w:rPr>
              <w:t>1.4.Achieva 3.0T MR设备维保包含如下功能升级且需要满足相应要求：</w:t>
            </w:r>
          </w:p>
          <w:p>
            <w:pPr>
              <w:jc w:val="both"/>
            </w:pPr>
            <w:r>
              <w:rPr>
                <w:b/>
                <w:sz w:val="21"/>
              </w:rPr>
              <w:t>▲</w:t>
            </w:r>
            <w:r>
              <w:rPr>
                <w:sz w:val="21"/>
              </w:rPr>
              <w:t>1.4.1.心肌定量分析：有效提升MR在心脏病理学方面的应用，可对心肌组织进行有效的无创评估，基于T1、T2/R2、T2*/R2*图，对心肌组织逐像素进行全面分析，实时参数图评估心肌状况，获取高质量的心脏诊断图像；</w:t>
            </w:r>
          </w:p>
          <w:p>
            <w:pPr>
              <w:jc w:val="both"/>
            </w:pPr>
            <w:r>
              <w:rPr>
                <w:b/>
                <w:sz w:val="21"/>
              </w:rPr>
              <w:t>▲</w:t>
            </w:r>
            <w:r>
              <w:rPr>
                <w:sz w:val="21"/>
              </w:rPr>
              <w:t>1.4.2.</w:t>
            </w:r>
            <w:r>
              <w:rPr>
                <w:sz w:val="21"/>
              </w:rPr>
              <w:t>4D TRANCE Specialist</w:t>
            </w:r>
            <w:r>
              <w:rPr>
                <w:sz w:val="21"/>
              </w:rPr>
              <w:t>功能：进一步提高患者扫描的舒适度，使用内源性示踪剂高效评估大脑血管的空间位置信息。同时提供高达</w:t>
            </w:r>
            <w:r>
              <w:rPr>
                <w:sz w:val="21"/>
              </w:rPr>
              <w:t>160毫秒的高时间分辨率和多相位MIP可视化成像。动态显示被标记血流通过全脑内血管或单只脑血管的全过程，反映血流动力学特征；</w:t>
            </w:r>
          </w:p>
          <w:p>
            <w:pPr>
              <w:jc w:val="both"/>
            </w:pPr>
            <w:r>
              <w:rPr>
                <w:b/>
                <w:sz w:val="21"/>
              </w:rPr>
              <w:t>▲</w:t>
            </w:r>
            <w:r>
              <w:rPr>
                <w:sz w:val="21"/>
              </w:rPr>
              <w:t>1.4.3.SWI Specialist功能：可同时获得磁距图像(magnitude image)和相位图像(phase image)两组原始图像，形成独特的图像对比。通过相位差增强成像技术可增加组织（灰白质、静脉）之间的对比，并使用4个回波叠加采集技术，获得高信噪比图像。</w:t>
            </w:r>
          </w:p>
          <w:p>
            <w:pPr>
              <w:jc w:val="both"/>
            </w:pPr>
            <w:r>
              <w:rPr>
                <w:color w:val="E74C3C"/>
                <w:sz w:val="21"/>
              </w:rPr>
              <w:t>★</w:t>
            </w:r>
            <w:r>
              <w:rPr>
                <w:b/>
                <w:sz w:val="21"/>
              </w:rPr>
              <w:t>1.5.开机率：在合同期内</w:t>
            </w:r>
            <w:r>
              <w:rPr>
                <w:b/>
                <w:sz w:val="21"/>
              </w:rPr>
              <w:t>保证达到等于或高于95%的开机率</w:t>
            </w:r>
            <w:r>
              <w:rPr>
                <w:b/>
                <w:sz w:val="21"/>
              </w:rPr>
              <w:t>（停机时间等于或少于5%），按照一年365日计算。如开机率由于服务商的原因未能达到，对于开机率低于95%的1个日历日，合同期相应延长10个日历日。</w:t>
            </w:r>
          </w:p>
          <w:p>
            <w:pPr>
              <w:jc w:val="both"/>
            </w:pPr>
            <w:r>
              <w:rPr>
                <w:sz w:val="21"/>
              </w:rPr>
              <w:t>1.6.</w:t>
            </w:r>
            <w:r>
              <w:rPr>
                <w:color w:val="000000"/>
                <w:sz w:val="21"/>
              </w:rPr>
              <w:t>工时：包含在项目合同期内所需的人工费用、节假日加班费。</w:t>
            </w:r>
          </w:p>
          <w:p>
            <w:pPr>
              <w:jc w:val="both"/>
            </w:pPr>
            <w:r>
              <w:rPr>
                <w:color w:val="E74C3C"/>
                <w:sz w:val="21"/>
              </w:rPr>
              <w:t>★</w:t>
            </w:r>
            <w:r>
              <w:rPr>
                <w:b/>
                <w:color w:val="000000"/>
                <w:sz w:val="21"/>
              </w:rPr>
              <w:t>1.7.</w:t>
            </w:r>
            <w:r>
              <w:rPr>
                <w:b/>
                <w:sz w:val="21"/>
              </w:rPr>
              <w:t>备件：投标人提供的备件必须是原厂认证合格的零备件，备件有追踪号码，保证不会对设备质量或图像产生不良影响。提供保修所需的备件，备件供应要及时、充足。如因提供不合法不合规或来路不明的备件而引起的相关损失及法律责任由</w:t>
            </w:r>
            <w:r>
              <w:rPr>
                <w:b/>
                <w:sz w:val="21"/>
              </w:rPr>
              <w:t>中标供应商</w:t>
            </w:r>
            <w:r>
              <w:rPr>
                <w:b/>
                <w:sz w:val="21"/>
              </w:rPr>
              <w:t>自行承担。</w:t>
            </w:r>
          </w:p>
          <w:p>
            <w:pPr>
              <w:jc w:val="both"/>
            </w:pPr>
            <w:r>
              <w:rPr>
                <w:color w:val="E74C3C"/>
                <w:sz w:val="21"/>
              </w:rPr>
              <w:t>★</w:t>
            </w:r>
            <w:r>
              <w:rPr>
                <w:b/>
                <w:color w:val="000000"/>
                <w:sz w:val="21"/>
              </w:rPr>
              <w:t>1.8.</w:t>
            </w:r>
            <w:r>
              <w:rPr>
                <w:b/>
                <w:sz w:val="21"/>
              </w:rPr>
              <w:t>安全升级：投标人必须在原厂规定的升级文件规定时间内完成，并在升级完成后提供原厂升级文件及工作记录。针对设备原厂官网发布的</w:t>
            </w:r>
            <w:r>
              <w:rPr>
                <w:b/>
                <w:sz w:val="21"/>
              </w:rPr>
              <w:t>FCO，必须在有效期内执行。</w:t>
            </w:r>
          </w:p>
          <w:p>
            <w:pPr>
              <w:jc w:val="both"/>
            </w:pPr>
            <w:r>
              <w:rPr>
                <w:sz w:val="21"/>
              </w:rPr>
              <w:t>1.9.远程连接：投标人需提供基于设备嵌入式远程连接方案的实时远程服务，以保证维修的及时性，且远程服务应满足以下需求：</w:t>
            </w:r>
          </w:p>
          <w:p>
            <w:pPr>
              <w:jc w:val="both"/>
            </w:pPr>
            <w:r>
              <w:rPr>
                <w:sz w:val="21"/>
              </w:rPr>
              <w:t>1.9.1.远程服务需可实现远程不断监控和保护医疗设备，及时发出预警，在出现故障之前，就可对其进行远程维护和处理，以减少设备停机时间，提高设备使用率；</w:t>
            </w:r>
          </w:p>
          <w:p>
            <w:pPr>
              <w:jc w:val="both"/>
            </w:pPr>
            <w:r>
              <w:rPr>
                <w:sz w:val="21"/>
              </w:rPr>
              <w:t>1.9.2.基于设备嵌入式远程连接方案需符合HIPAA和NEMA安全要求，</w:t>
            </w:r>
            <w:r>
              <w:rPr>
                <w:sz w:val="21"/>
              </w:rPr>
              <w:t>投标人</w:t>
            </w:r>
            <w:r>
              <w:rPr>
                <w:sz w:val="21"/>
              </w:rPr>
              <w:t>通过国际信息安全管理体系（提供国际信息安全管理体系证书复印件并加盖投标人公章）。</w:t>
            </w:r>
          </w:p>
          <w:p>
            <w:pPr>
              <w:jc w:val="both"/>
            </w:pPr>
            <w:r>
              <w:rPr>
                <w:sz w:val="21"/>
              </w:rPr>
              <w:t>1.10.</w:t>
            </w:r>
            <w:r>
              <w:rPr>
                <w:sz w:val="21"/>
              </w:rPr>
              <w:t>为保障备件的快速且安全的供应，投标人在合同履约期内于国内设有零备件保税仓库或国内备件库（投标文件提供备件库相应的产权证明文件或租赁合同复印件或保税仓库证明文件等并加盖投标人公章，或承诺中标后签订合同前提供证明资料至采购人）</w:t>
            </w:r>
            <w:r>
              <w:rPr>
                <w:sz w:val="21"/>
              </w:rPr>
              <w:t>。</w:t>
            </w:r>
          </w:p>
          <w:p>
            <w:pPr>
              <w:jc w:val="both"/>
            </w:pPr>
            <w:r>
              <w:rPr>
                <w:sz w:val="21"/>
              </w:rPr>
              <w:t>1.11.中标供应商须在合同期内（合同签订之日起至合同期届满止）具备合法获得设备生产厂商高级故障诊断软件的诊断维修钥匙（service key）。</w:t>
            </w:r>
          </w:p>
          <w:p>
            <w:pPr>
              <w:jc w:val="both"/>
            </w:pPr>
            <w:r>
              <w:rPr>
                <w:sz w:val="21"/>
              </w:rPr>
              <w:t>1.12.投标人需至少具备有5名（或以上）具有专业维修资质的维修工程师组成的服务团队，资质应包含DSA设备维修资质、CT设备维修资质、MR设备维修资质，或在投标文件中承诺中标后签订合同之前满足此人员要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采购包2（CT球管采购）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合同签订后4天内完成交货安装。</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1期：支付比例100%,★球管完成安装后2个月内凭中标供应商开具的有效发票一次性支付全款项。</w:t>
            </w:r>
          </w:p>
        </w:tc>
      </w:tr>
      <w:tr>
        <w:tc>
          <w:tcPr>
            <w:tcW w:type="dxa" w:w="4153"/>
          </w:tcPr>
          <w:p>
            <w:r>
              <w:rPr/>
              <w:t>验收要求</w:t>
            </w:r>
          </w:p>
        </w:tc>
        <w:tc>
          <w:tcPr>
            <w:tcW w:type="dxa" w:w="4153"/>
          </w:tcPr>
          <w:p/>
          <w:p/>
          <w:p/>
          <w:p>
            <w:r>
              <w:rPr/>
              <w:t>1期：采购人和中标人按照有关的验收规定和标准组织测试及验收工作。</w:t>
            </w:r>
          </w:p>
        </w:tc>
      </w:tr>
      <w:tr>
        <w:tc>
          <w:tcPr>
            <w:tcW w:type="dxa" w:w="4153"/>
          </w:tcPr>
          <w:p>
            <w:r>
              <w:rPr/>
              <w:t>履约保证金</w:t>
            </w:r>
          </w:p>
        </w:tc>
        <w:tc>
          <w:tcPr>
            <w:tcW w:type="dxa" w:w="4153"/>
          </w:tcPr>
          <w:p/>
          <w:p/>
          <w:p/>
          <w:p/>
          <w:p>
            <w:r>
              <w:rPr/>
              <w:t>收取比例：5%,说明：采购人在支付货款前需收到中标供应商合同总额5%的履约保证金或银行保函；履约服务期满后，经考核合格，履约保证金不计利息一次性返还。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报价以人民币报价。投标报价应包括硬件、软件对接服务费、技术培训费、安装调试费等杂费，含全额发票及合同实施过程中的应预见或不可预见费用等完成合同规定责任和义务、达到合同目的的一切费用及企业利润。</w:t>
            </w:r>
          </w:p>
        </w:tc>
      </w:tr>
      <w:tr>
        <w:tc>
          <w:tcPr>
            <w:tcW w:type="dxa" w:w="2076"/>
          </w:tcPr>
          <w:p>
            <w:pPr>
              <w:jc w:val="center"/>
            </w:pPr>
          </w:p>
        </w:tc>
        <w:tc>
          <w:tcPr>
            <w:tcW w:type="dxa" w:w="2076"/>
          </w:tcPr>
          <w:p>
            <w:pPr>
              <w:jc w:val="center"/>
            </w:pPr>
            <w:r>
              <w:rPr/>
              <w:t>2</w:t>
            </w:r>
          </w:p>
        </w:tc>
        <w:tc>
          <w:tcPr>
            <w:tcW w:type="dxa" w:w="2076"/>
          </w:tcPr>
          <w:p>
            <w:pPr>
              <w:jc w:val="left"/>
            </w:pPr>
            <w:r>
              <w:rPr/>
              <w:t>售后要求</w:t>
            </w:r>
          </w:p>
        </w:tc>
        <w:tc>
          <w:tcPr>
            <w:tcW w:type="dxa" w:w="2076"/>
          </w:tcPr>
          <w:p>
            <w:pPr>
              <w:jc w:val="left"/>
            </w:pPr>
            <w:r>
              <w:rPr/>
              <w:t>2.1.中标供应商在接到采购人的故障通知后2小时内响应， 4小时内到达现场， 24小时内处理完毕；2.2.保修期内厂家每年免费回访设备至少2次。</w:t>
            </w:r>
          </w:p>
        </w:tc>
      </w:tr>
      <w:tr>
        <w:tc>
          <w:tcPr>
            <w:tcW w:type="dxa" w:w="2076"/>
          </w:tcPr>
          <w:p>
            <w:pPr>
              <w:jc w:val="center"/>
            </w:pPr>
            <w:r>
              <w:rPr/>
              <w:t>★</w:t>
            </w:r>
          </w:p>
        </w:tc>
        <w:tc>
          <w:tcPr>
            <w:tcW w:type="dxa" w:w="2076"/>
          </w:tcPr>
          <w:p>
            <w:pPr>
              <w:jc w:val="center"/>
            </w:pPr>
            <w:r>
              <w:rPr/>
              <w:t>3</w:t>
            </w:r>
          </w:p>
        </w:tc>
        <w:tc>
          <w:tcPr>
            <w:tcW w:type="dxa" w:w="2076"/>
          </w:tcPr>
          <w:p>
            <w:pPr>
              <w:jc w:val="left"/>
            </w:pPr>
            <w:r>
              <w:rPr/>
              <w:t>技术服务承诺</w:t>
            </w:r>
          </w:p>
        </w:tc>
        <w:tc>
          <w:tcPr>
            <w:tcW w:type="dxa" w:w="2076"/>
          </w:tcPr>
          <w:p>
            <w:pPr>
              <w:jc w:val="left"/>
            </w:pPr>
            <w:r>
              <w:rPr/>
              <w:t>中标供应商须在广东省珠三角设有售后服务点并提供维修的详细地址及工程师联系方式，（或提供承诺函承诺中标后满足，格式自拟）。</w:t>
            </w:r>
          </w:p>
        </w:tc>
      </w:tr>
      <w:tr>
        <w:tc>
          <w:tcPr>
            <w:tcW w:type="dxa" w:w="2076"/>
          </w:tcPr>
          <w:p>
            <w:pPr>
              <w:jc w:val="center"/>
            </w:pPr>
            <w:r>
              <w:rPr/>
              <w:t>★</w:t>
            </w:r>
          </w:p>
        </w:tc>
        <w:tc>
          <w:tcPr>
            <w:tcW w:type="dxa" w:w="2076"/>
          </w:tcPr>
          <w:p>
            <w:pPr>
              <w:jc w:val="center"/>
            </w:pPr>
            <w:r>
              <w:rPr/>
              <w:t>4</w:t>
            </w:r>
          </w:p>
        </w:tc>
        <w:tc>
          <w:tcPr>
            <w:tcW w:type="dxa" w:w="2076"/>
          </w:tcPr>
          <w:p>
            <w:pPr>
              <w:jc w:val="left"/>
            </w:pPr>
            <w:r>
              <w:rPr/>
              <w:t>其他</w:t>
            </w:r>
          </w:p>
        </w:tc>
        <w:tc>
          <w:tcPr>
            <w:tcW w:type="dxa" w:w="2076"/>
          </w:tcPr>
          <w:p>
            <w:pPr>
              <w:jc w:val="left"/>
            </w:pPr>
            <w:r>
              <w:rPr/>
              <w:t>4.1.保修：球管保修12个月。如球管保修期内出现故障无法维修，则更换全新球管； 4.2.保证提供的CT球管是新产品，没有使用过；中标后签订合同时必须注明该产品（或主机）产地； 4.3.所投球管可与医院现有设备Flex CT 匹配使用。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医疗设备零部件</w:t>
            </w:r>
          </w:p>
        </w:tc>
        <w:tc>
          <w:tcPr>
            <w:tcW w:type="dxa" w:w="933"/>
          </w:tcPr>
          <w:p>
            <w:pPr>
              <w:jc w:val="left"/>
            </w:pPr>
            <w:r>
              <w:rPr/>
              <w:t>CT球管</w:t>
            </w:r>
          </w:p>
        </w:tc>
        <w:tc>
          <w:tcPr>
            <w:tcW w:type="dxa" w:w="933"/>
          </w:tcPr>
          <w:p>
            <w:pPr>
              <w:jc w:val="left"/>
            </w:pPr>
            <w:r>
              <w:rPr/>
              <w:t>个</w:t>
            </w:r>
          </w:p>
        </w:tc>
        <w:tc>
          <w:tcPr>
            <w:tcW w:type="dxa" w:w="933"/>
          </w:tcPr>
          <w:p>
            <w:pPr>
              <w:jc w:val="right"/>
            </w:pPr>
            <w:r>
              <w:rPr/>
              <w:t>1.00</w:t>
            </w:r>
          </w:p>
        </w:tc>
        <w:tc>
          <w:tcPr>
            <w:tcW w:type="dxa" w:w="933"/>
          </w:tcPr>
          <w:p>
            <w:pPr>
              <w:jc w:val="right"/>
            </w:pPr>
            <w:r>
              <w:rPr/>
              <w:t>1,169,000.00</w:t>
            </w:r>
          </w:p>
        </w:tc>
        <w:tc>
          <w:tcPr>
            <w:tcW w:type="dxa" w:w="933"/>
          </w:tcPr>
          <w:p>
            <w:pPr>
              <w:jc w:val="right"/>
            </w:pPr>
            <w:r>
              <w:rPr/>
              <w:t>1,169,000.00</w:t>
            </w:r>
          </w:p>
        </w:tc>
        <w:tc>
          <w:tcPr>
            <w:tcW w:type="dxa" w:w="840"/>
          </w:tcPr>
          <w:p>
            <w:r>
              <w:rPr/>
              <w:t>工业</w:t>
            </w:r>
          </w:p>
        </w:tc>
        <w:tc>
          <w:tcPr>
            <w:tcW w:type="dxa" w:w="933"/>
          </w:tcPr>
          <w:p>
            <w:r>
              <w:rPr/>
              <w:t>详见附表一</w:t>
            </w:r>
          </w:p>
        </w:tc>
      </w:tr>
    </w:tbl>
    <w:p/>
    <w:p>
      <w:r>
        <w:rPr>
          <w:b/>
        </w:rPr>
        <w:t>附表</w:t>
      </w:r>
      <w:r>
        <w:rPr>
          <w:b/>
        </w:rPr>
        <w:t>一</w:t>
      </w:r>
      <w:r>
        <w:rPr>
          <w:b/>
        </w:rPr>
        <w:t>：</w:t>
      </w:r>
      <w:r>
        <w:rPr>
          <w:b/>
        </w:rPr>
        <w:t>CT球管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产品如属于医疗器械，需提供产品（或整机）的医疗器械注册证或备案证明（提供证明材料复印件加盖公章），所投设备必须是在医疗器械注册证或备案证明有效期内生产的产品。不属于医疗器械设备无须提供。</w:t>
            </w:r>
          </w:p>
        </w:tc>
      </w:tr>
      <w:tr>
        <w:tc>
          <w:tcPr>
            <w:tcW w:type="dxa" w:w="2076"/>
          </w:tcPr>
          <w:p>
            <w:r>
              <w:rPr/>
              <w:t>★</w:t>
            </w:r>
          </w:p>
        </w:tc>
        <w:tc>
          <w:tcPr>
            <w:tcW w:type="dxa" w:w="415"/>
          </w:tcPr>
          <w:p>
            <w:r>
              <w:rPr/>
              <w:t>2</w:t>
            </w:r>
          </w:p>
        </w:tc>
        <w:tc>
          <w:tcPr>
            <w:tcW w:type="dxa" w:w="5814"/>
          </w:tcPr>
          <w:p>
            <w:r>
              <w:rPr>
                <w:b/>
              </w:rPr>
              <w:t>球管适配机型为：</w:t>
            </w:r>
            <w:r>
              <w:rPr>
                <w:b/>
              </w:rPr>
              <w:t>Flex CT</w:t>
            </w:r>
            <w:r>
              <w:rPr>
                <w:b/>
              </w:rPr>
              <w:t>。</w:t>
            </w:r>
          </w:p>
        </w:tc>
      </w:tr>
      <w:tr>
        <w:tc>
          <w:tcPr>
            <w:tcW w:type="dxa" w:w="2076"/>
          </w:tcPr>
          <w:p/>
        </w:tc>
        <w:tc>
          <w:tcPr>
            <w:tcW w:type="dxa" w:w="415"/>
          </w:tcPr>
          <w:p>
            <w:r>
              <w:rPr/>
              <w:t>3</w:t>
            </w:r>
          </w:p>
        </w:tc>
        <w:tc>
          <w:tcPr>
            <w:tcW w:type="dxa" w:w="5814"/>
          </w:tcPr>
          <w:p>
            <w:pPr>
              <w:jc w:val="both"/>
            </w:pPr>
            <w:r>
              <w:rPr>
                <w:b/>
                <w:sz w:val="21"/>
              </w:rPr>
              <w:t xml:space="preserve">                 </w:t>
            </w:r>
          </w:p>
          <w:p>
            <w:pPr>
              <w:jc w:val="both"/>
            </w:pPr>
            <w:r>
              <w:rPr>
                <w:b/>
                <w:sz w:val="21"/>
              </w:rPr>
              <w:t>3.</w:t>
            </w:r>
            <w:r>
              <w:rPr>
                <w:b/>
                <w:sz w:val="21"/>
              </w:rPr>
              <w:t>详细性能参数：</w:t>
            </w:r>
          </w:p>
          <w:tbl>
            <w:tblPr>
              <w:tblInd w:type="dxa" w:w="765"/>
              <w:tblBorders>
                <w:top w:val="none" w:color="000000" w:sz="4"/>
                <w:left w:val="none" w:color="000000" w:sz="4"/>
                <w:bottom w:val="none" w:color="000000" w:sz="4"/>
                <w:right w:val="none" w:color="000000" w:sz="4"/>
                <w:insideH w:val="none"/>
                <w:insideV w:val="none"/>
              </w:tblBorders>
            </w:tblPr>
            <w:tblGrid>
              <w:gridCol w:w="631"/>
              <w:gridCol w:w="2765"/>
              <w:gridCol w:w="2202"/>
            </w:tblGrid>
            <w:tr>
              <w:tc>
                <w:tcPr>
                  <w:tcW w:type="dxa" w:w="631"/>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2765"/>
                  <w:tcBorders>
                    <w:top w:val="single" w:color="000000" w:sz="4"/>
                    <w:left w:val="single" w:color="000000" w:sz="4"/>
                    <w:bottom w:val="single" w:color="000000" w:sz="4"/>
                    <w:right w:val="single" w:color="000000" w:sz="4"/>
                  </w:tcBorders>
                  <w:vAlign w:val="top"/>
                </w:tcPr>
                <w:p>
                  <w:pPr>
                    <w:jc w:val="both"/>
                  </w:pPr>
                  <w:r>
                    <w:rPr>
                      <w:sz w:val="21"/>
                    </w:rPr>
                    <w:t>设备指标</w:t>
                  </w:r>
                </w:p>
              </w:tc>
              <w:tc>
                <w:tcPr>
                  <w:tcW w:type="dxa" w:w="2202"/>
                  <w:tcBorders>
                    <w:top w:val="single" w:color="000000" w:sz="4"/>
                    <w:left w:val="single" w:color="000000" w:sz="4"/>
                    <w:bottom w:val="single" w:color="000000" w:sz="4"/>
                    <w:right w:val="single" w:color="000000" w:sz="4"/>
                  </w:tcBorders>
                  <w:vAlign w:val="top"/>
                </w:tcPr>
                <w:p>
                  <w:pPr>
                    <w:jc w:val="both"/>
                  </w:pPr>
                  <w:r>
                    <w:rPr>
                      <w:sz w:val="21"/>
                    </w:rPr>
                    <w:t>详细技术参数</w:t>
                  </w:r>
                </w:p>
              </w:tc>
            </w:tr>
            <w:tr>
              <w:tc>
                <w:tcPr>
                  <w:tcW w:type="dxa" w:w="631"/>
                  <w:tcBorders>
                    <w:top w:val="none" w:color="000000" w:sz="4"/>
                    <w:left w:val="single" w:color="000000" w:sz="4"/>
                    <w:bottom w:val="single" w:color="000000" w:sz="4"/>
                    <w:right w:val="single" w:color="000000" w:sz="4"/>
                  </w:tcBorders>
                  <w:vAlign w:val="top"/>
                </w:tcPr>
                <w:p>
                  <w:pPr>
                    <w:jc w:val="both"/>
                  </w:pPr>
                  <w:r>
                    <w:rPr>
                      <w:sz w:val="21"/>
                    </w:rPr>
                    <w:t>3.1</w:t>
                  </w:r>
                </w:p>
              </w:tc>
              <w:tc>
                <w:tcPr>
                  <w:tcW w:type="dxa" w:w="2765"/>
                  <w:tcBorders>
                    <w:top w:val="none" w:color="000000" w:sz="4"/>
                    <w:left w:val="single" w:color="000000" w:sz="4"/>
                    <w:bottom w:val="single" w:color="000000" w:sz="4"/>
                    <w:right w:val="single" w:color="000000" w:sz="4"/>
                  </w:tcBorders>
                  <w:vAlign w:val="top"/>
                </w:tcPr>
                <w:p>
                  <w:pPr>
                    <w:jc w:val="both"/>
                  </w:pPr>
                  <w:r>
                    <w:rPr>
                      <w:sz w:val="21"/>
                    </w:rPr>
                    <w:t>管电压</w:t>
                  </w:r>
                </w:p>
              </w:tc>
              <w:tc>
                <w:tcPr>
                  <w:tcW w:type="dxa" w:w="2202"/>
                  <w:tcBorders>
                    <w:top w:val="none" w:color="000000" w:sz="4"/>
                    <w:left w:val="single" w:color="000000" w:sz="4"/>
                    <w:bottom w:val="single" w:color="000000" w:sz="4"/>
                    <w:right w:val="single" w:color="000000" w:sz="4"/>
                  </w:tcBorders>
                  <w:vAlign w:val="top"/>
                </w:tcPr>
                <w:p>
                  <w:pPr>
                    <w:jc w:val="both"/>
                  </w:pPr>
                  <w:r>
                    <w:rPr>
                      <w:sz w:val="21"/>
                    </w:rPr>
                    <w:t>140KV</w:t>
                  </w:r>
                </w:p>
              </w:tc>
            </w:tr>
            <w:tr>
              <w:tc>
                <w:tcPr>
                  <w:tcW w:type="dxa" w:w="631"/>
                  <w:tcBorders>
                    <w:top w:val="none" w:color="000000" w:sz="4"/>
                    <w:left w:val="single" w:color="000000" w:sz="4"/>
                    <w:bottom w:val="single" w:color="000000" w:sz="4"/>
                    <w:right w:val="single" w:color="000000" w:sz="4"/>
                  </w:tcBorders>
                  <w:vAlign w:val="top"/>
                </w:tcPr>
                <w:p>
                  <w:pPr>
                    <w:ind w:firstLine="210"/>
                    <w:jc w:val="both"/>
                  </w:pPr>
                  <w:r>
                    <w:rPr>
                      <w:sz w:val="21"/>
                    </w:rPr>
                    <w:t>3.2</w:t>
                  </w:r>
                </w:p>
              </w:tc>
              <w:tc>
                <w:tcPr>
                  <w:tcW w:type="dxa" w:w="2765"/>
                  <w:tcBorders>
                    <w:top w:val="none" w:color="000000" w:sz="4"/>
                    <w:left w:val="single" w:color="000000" w:sz="4"/>
                    <w:bottom w:val="single" w:color="000000" w:sz="4"/>
                    <w:right w:val="single" w:color="000000" w:sz="4"/>
                  </w:tcBorders>
                  <w:vAlign w:val="top"/>
                </w:tcPr>
                <w:p>
                  <w:pPr>
                    <w:jc w:val="both"/>
                  </w:pPr>
                  <w:r>
                    <w:rPr>
                      <w:sz w:val="21"/>
                    </w:rPr>
                    <w:t>小焦点</w:t>
                  </w:r>
                  <w:r>
                    <w:rPr>
                      <w:sz w:val="21"/>
                    </w:rPr>
                    <w:t>(120KV/100mA)</w:t>
                  </w:r>
                </w:p>
              </w:tc>
              <w:tc>
                <w:tcPr>
                  <w:tcW w:type="dxa" w:w="2202"/>
                  <w:tcBorders>
                    <w:top w:val="none" w:color="000000" w:sz="4"/>
                    <w:left w:val="single" w:color="000000" w:sz="4"/>
                    <w:bottom w:val="single" w:color="000000" w:sz="4"/>
                    <w:right w:val="single" w:color="000000" w:sz="4"/>
                  </w:tcBorders>
                  <w:vAlign w:val="top"/>
                </w:tcPr>
                <w:p>
                  <w:pPr>
                    <w:jc w:val="both"/>
                  </w:pPr>
                  <w:r>
                    <w:rPr>
                      <w:sz w:val="21"/>
                    </w:rPr>
                    <w:t>0.5*1.0</w:t>
                  </w:r>
                </w:p>
              </w:tc>
            </w:tr>
            <w:tr>
              <w:tc>
                <w:tcPr>
                  <w:tcW w:type="dxa" w:w="631"/>
                  <w:tcBorders>
                    <w:top w:val="none" w:color="000000" w:sz="4"/>
                    <w:left w:val="single" w:color="000000" w:sz="4"/>
                    <w:bottom w:val="single" w:color="000000" w:sz="4"/>
                    <w:right w:val="single" w:color="000000" w:sz="4"/>
                  </w:tcBorders>
                  <w:vAlign w:val="top"/>
                </w:tcPr>
                <w:p>
                  <w:pPr>
                    <w:jc w:val="both"/>
                  </w:pPr>
                  <w:r>
                    <w:rPr>
                      <w:sz w:val="21"/>
                    </w:rPr>
                    <w:t>3.3</w:t>
                  </w:r>
                </w:p>
              </w:tc>
              <w:tc>
                <w:tcPr>
                  <w:tcW w:type="dxa" w:w="2765"/>
                  <w:tcBorders>
                    <w:top w:val="none" w:color="000000" w:sz="4"/>
                    <w:left w:val="single" w:color="000000" w:sz="4"/>
                    <w:bottom w:val="single" w:color="000000" w:sz="4"/>
                    <w:right w:val="single" w:color="000000" w:sz="4"/>
                  </w:tcBorders>
                  <w:vAlign w:val="top"/>
                </w:tcPr>
                <w:p>
                  <w:pPr>
                    <w:jc w:val="both"/>
                  </w:pPr>
                  <w:r>
                    <w:rPr>
                      <w:sz w:val="21"/>
                    </w:rPr>
                    <w:t>大焦点</w:t>
                  </w:r>
                  <w:r>
                    <w:rPr>
                      <w:sz w:val="21"/>
                    </w:rPr>
                    <w:t>(120KV/150mA)</w:t>
                  </w:r>
                </w:p>
              </w:tc>
              <w:tc>
                <w:tcPr>
                  <w:tcW w:type="dxa" w:w="2202"/>
                  <w:tcBorders>
                    <w:top w:val="none" w:color="000000" w:sz="4"/>
                    <w:left w:val="single" w:color="000000" w:sz="4"/>
                    <w:bottom w:val="single" w:color="000000" w:sz="4"/>
                    <w:right w:val="single" w:color="000000" w:sz="4"/>
                  </w:tcBorders>
                  <w:vAlign w:val="top"/>
                </w:tcPr>
                <w:p>
                  <w:pPr>
                    <w:jc w:val="both"/>
                  </w:pPr>
                  <w:r>
                    <w:rPr>
                      <w:sz w:val="21"/>
                    </w:rPr>
                    <w:t>1.0*1.</w:t>
                  </w:r>
                  <w:r>
                    <w:rPr>
                      <w:sz w:val="21"/>
                    </w:rPr>
                    <w:t>0</w:t>
                  </w:r>
                </w:p>
              </w:tc>
            </w:tr>
            <w:tr>
              <w:tc>
                <w:tcPr>
                  <w:tcW w:type="dxa" w:w="631"/>
                  <w:tcBorders>
                    <w:top w:val="none" w:color="000000" w:sz="4"/>
                    <w:left w:val="single" w:color="000000" w:sz="4"/>
                    <w:bottom w:val="single" w:color="000000" w:sz="4"/>
                    <w:right w:val="single" w:color="000000" w:sz="4"/>
                  </w:tcBorders>
                  <w:vAlign w:val="top"/>
                </w:tcPr>
                <w:p>
                  <w:pPr>
                    <w:jc w:val="both"/>
                  </w:pPr>
                  <w:r>
                    <w:rPr>
                      <w:sz w:val="21"/>
                    </w:rPr>
                    <w:t>3.4</w:t>
                  </w:r>
                </w:p>
              </w:tc>
              <w:tc>
                <w:tcPr>
                  <w:tcW w:type="dxa" w:w="2765"/>
                  <w:tcBorders>
                    <w:top w:val="none" w:color="000000" w:sz="4"/>
                    <w:left w:val="single" w:color="000000" w:sz="4"/>
                    <w:bottom w:val="single" w:color="000000" w:sz="4"/>
                    <w:right w:val="single" w:color="000000" w:sz="4"/>
                  </w:tcBorders>
                  <w:vAlign w:val="top"/>
                </w:tcPr>
                <w:p>
                  <w:pPr>
                    <w:jc w:val="both"/>
                  </w:pPr>
                  <w:r>
                    <w:rPr>
                      <w:sz w:val="21"/>
                    </w:rPr>
                    <w:t>输入功率</w:t>
                  </w:r>
                </w:p>
              </w:tc>
              <w:tc>
                <w:tcPr>
                  <w:tcW w:type="dxa" w:w="2202"/>
                  <w:tcBorders>
                    <w:top w:val="none" w:color="000000" w:sz="4"/>
                    <w:left w:val="single" w:color="000000" w:sz="4"/>
                    <w:bottom w:val="single" w:color="000000" w:sz="4"/>
                    <w:right w:val="single" w:color="000000" w:sz="4"/>
                  </w:tcBorders>
                  <w:vAlign w:val="top"/>
                </w:tcPr>
                <w:p>
                  <w:pPr>
                    <w:jc w:val="both"/>
                  </w:pPr>
                  <w:r>
                    <w:rPr>
                      <w:sz w:val="21"/>
                    </w:rPr>
                    <w:t>85-120KW</w:t>
                  </w:r>
                </w:p>
              </w:tc>
            </w:tr>
            <w:tr>
              <w:tc>
                <w:tcPr>
                  <w:tcW w:type="dxa" w:w="631"/>
                  <w:tcBorders>
                    <w:top w:val="none" w:color="000000" w:sz="4"/>
                    <w:left w:val="single" w:color="000000" w:sz="4"/>
                    <w:bottom w:val="single" w:color="000000" w:sz="4"/>
                    <w:right w:val="single" w:color="000000" w:sz="4"/>
                  </w:tcBorders>
                  <w:vAlign w:val="top"/>
                </w:tcPr>
                <w:p>
                  <w:pPr>
                    <w:jc w:val="both"/>
                  </w:pPr>
                  <w:r>
                    <w:rPr>
                      <w:color w:val="E74C3C"/>
                      <w:sz w:val="21"/>
                    </w:rPr>
                    <w:t>3.5</w:t>
                  </w:r>
                </w:p>
              </w:tc>
              <w:tc>
                <w:tcPr>
                  <w:tcW w:type="dxa" w:w="2765"/>
                  <w:tcBorders>
                    <w:top w:val="none" w:color="000000" w:sz="4"/>
                    <w:left w:val="single" w:color="000000" w:sz="4"/>
                    <w:bottom w:val="single" w:color="000000" w:sz="4"/>
                    <w:right w:val="single" w:color="000000" w:sz="4"/>
                  </w:tcBorders>
                  <w:vAlign w:val="top"/>
                </w:tcPr>
                <w:p>
                  <w:pPr>
                    <w:jc w:val="both"/>
                  </w:pPr>
                  <w:r>
                    <w:rPr>
                      <w:color w:val="E74C3C"/>
                      <w:sz w:val="21"/>
                    </w:rPr>
                    <w:t>▲</w:t>
                  </w:r>
                  <w:r>
                    <w:rPr>
                      <w:color w:val="E74C3C"/>
                      <w:sz w:val="21"/>
                    </w:rPr>
                    <w:t>热容量</w:t>
                  </w:r>
                </w:p>
              </w:tc>
              <w:tc>
                <w:tcPr>
                  <w:tcW w:type="dxa" w:w="2202"/>
                  <w:tcBorders>
                    <w:top w:val="none" w:color="000000" w:sz="4"/>
                    <w:left w:val="single" w:color="000000" w:sz="4"/>
                    <w:bottom w:val="single" w:color="000000" w:sz="4"/>
                    <w:right w:val="single" w:color="000000" w:sz="4"/>
                  </w:tcBorders>
                  <w:vAlign w:val="top"/>
                </w:tcPr>
                <w:p>
                  <w:pPr>
                    <w:jc w:val="both"/>
                  </w:pPr>
                  <w:r>
                    <w:rPr>
                      <w:color w:val="FF0000"/>
                      <w:sz w:val="21"/>
                    </w:rPr>
                    <w:t>≥</w:t>
                  </w:r>
                  <w:r>
                    <w:rPr>
                      <w:color w:val="FF0000"/>
                      <w:sz w:val="21"/>
                    </w:rPr>
                    <w:t>8037kHU</w:t>
                  </w:r>
                </w:p>
              </w:tc>
            </w:tr>
            <w:tr>
              <w:tc>
                <w:tcPr>
                  <w:tcW w:type="dxa" w:w="631"/>
                  <w:tcBorders>
                    <w:top w:val="none" w:color="000000" w:sz="4"/>
                    <w:left w:val="single" w:color="000000" w:sz="4"/>
                    <w:bottom w:val="single" w:color="000000" w:sz="4"/>
                    <w:right w:val="single" w:color="000000" w:sz="4"/>
                  </w:tcBorders>
                  <w:vAlign w:val="top"/>
                </w:tcPr>
                <w:p>
                  <w:pPr>
                    <w:jc w:val="both"/>
                  </w:pPr>
                  <w:r>
                    <w:rPr>
                      <w:sz w:val="21"/>
                    </w:rPr>
                    <w:t>3.6</w:t>
                  </w:r>
                </w:p>
              </w:tc>
              <w:tc>
                <w:tcPr>
                  <w:tcW w:type="dxa" w:w="2765"/>
                  <w:tcBorders>
                    <w:top w:val="none" w:color="000000" w:sz="4"/>
                    <w:left w:val="single" w:color="000000" w:sz="4"/>
                    <w:bottom w:val="single" w:color="000000" w:sz="4"/>
                    <w:right w:val="single" w:color="000000" w:sz="4"/>
                  </w:tcBorders>
                  <w:vAlign w:val="top"/>
                </w:tcPr>
                <w:p>
                  <w:pPr>
                    <w:jc w:val="both"/>
                  </w:pPr>
                  <w:r>
                    <w:rPr>
                      <w:sz w:val="21"/>
                    </w:rPr>
                    <w:t>阳极尺寸</w:t>
                  </w:r>
                </w:p>
              </w:tc>
              <w:tc>
                <w:tcPr>
                  <w:tcW w:type="dxa" w:w="2202"/>
                  <w:tcBorders>
                    <w:top w:val="none" w:color="000000" w:sz="4"/>
                    <w:left w:val="single" w:color="000000" w:sz="4"/>
                    <w:bottom w:val="single" w:color="000000" w:sz="4"/>
                    <w:right w:val="single" w:color="000000" w:sz="4"/>
                  </w:tcBorders>
                  <w:vAlign w:val="top"/>
                </w:tcPr>
                <w:p>
                  <w:pPr>
                    <w:jc w:val="both"/>
                  </w:pPr>
                  <w:r>
                    <w:rPr>
                      <w:sz w:val="21"/>
                    </w:rPr>
                    <w:t>200mm</w:t>
                  </w:r>
                </w:p>
              </w:tc>
            </w:tr>
            <w:tr>
              <w:tc>
                <w:tcPr>
                  <w:tcW w:type="dxa" w:w="631"/>
                  <w:tcBorders>
                    <w:top w:val="none" w:color="000000" w:sz="4"/>
                    <w:left w:val="single" w:color="000000" w:sz="4"/>
                    <w:bottom w:val="single" w:color="000000" w:sz="4"/>
                    <w:right w:val="single" w:color="000000" w:sz="4"/>
                  </w:tcBorders>
                  <w:vAlign w:val="top"/>
                </w:tcPr>
                <w:p>
                  <w:pPr>
                    <w:jc w:val="both"/>
                  </w:pPr>
                  <w:r>
                    <w:rPr>
                      <w:sz w:val="21"/>
                    </w:rPr>
                    <w:t>3.7</w:t>
                  </w:r>
                </w:p>
              </w:tc>
              <w:tc>
                <w:tcPr>
                  <w:tcW w:type="dxa" w:w="2765"/>
                  <w:tcBorders>
                    <w:top w:val="none" w:color="000000" w:sz="4"/>
                    <w:left w:val="single" w:color="000000" w:sz="4"/>
                    <w:bottom w:val="single" w:color="000000" w:sz="4"/>
                    <w:right w:val="single" w:color="000000" w:sz="4"/>
                  </w:tcBorders>
                  <w:vAlign w:val="top"/>
                </w:tcPr>
                <w:p>
                  <w:pPr>
                    <w:jc w:val="both"/>
                  </w:pPr>
                  <w:r>
                    <w:rPr>
                      <w:sz w:val="21"/>
                    </w:rPr>
                    <w:t>阳极靶角</w:t>
                  </w:r>
                </w:p>
              </w:tc>
              <w:tc>
                <w:tcPr>
                  <w:tcW w:type="dxa" w:w="2202"/>
                  <w:tcBorders>
                    <w:top w:val="none" w:color="000000" w:sz="4"/>
                    <w:left w:val="single" w:color="000000" w:sz="4"/>
                    <w:bottom w:val="single" w:color="000000" w:sz="4"/>
                    <w:right w:val="single" w:color="000000" w:sz="4"/>
                  </w:tcBorders>
                  <w:vAlign w:val="top"/>
                </w:tcPr>
                <w:p>
                  <w:pPr>
                    <w:jc w:val="both"/>
                  </w:pPr>
                  <w:r>
                    <w:rPr>
                      <w:sz w:val="21"/>
                    </w:rPr>
                    <w:t>7°</w:t>
                  </w:r>
                </w:p>
              </w:tc>
            </w:tr>
            <w:tr>
              <w:tc>
                <w:tcPr>
                  <w:tcW w:type="dxa" w:w="631"/>
                  <w:tcBorders>
                    <w:top w:val="none" w:color="000000" w:sz="4"/>
                    <w:left w:val="single" w:color="000000" w:sz="4"/>
                    <w:bottom w:val="single" w:color="000000" w:sz="4"/>
                    <w:right w:val="single" w:color="000000" w:sz="4"/>
                  </w:tcBorders>
                  <w:vAlign w:val="top"/>
                </w:tcPr>
                <w:p>
                  <w:pPr>
                    <w:jc w:val="both"/>
                  </w:pPr>
                  <w:r>
                    <w:rPr>
                      <w:sz w:val="21"/>
                    </w:rPr>
                    <w:t>3.8</w:t>
                  </w:r>
                </w:p>
              </w:tc>
              <w:tc>
                <w:tcPr>
                  <w:tcW w:type="dxa" w:w="2765"/>
                  <w:tcBorders>
                    <w:top w:val="none" w:color="000000" w:sz="4"/>
                    <w:left w:val="single" w:color="000000" w:sz="4"/>
                    <w:bottom w:val="single" w:color="000000" w:sz="4"/>
                    <w:right w:val="single" w:color="000000" w:sz="4"/>
                  </w:tcBorders>
                  <w:vAlign w:val="top"/>
                </w:tcPr>
                <w:p>
                  <w:pPr>
                    <w:jc w:val="both"/>
                  </w:pPr>
                  <w:r>
                    <w:rPr>
                      <w:sz w:val="21"/>
                    </w:rPr>
                    <w:t>转速</w:t>
                  </w:r>
                </w:p>
              </w:tc>
              <w:tc>
                <w:tcPr>
                  <w:tcW w:type="dxa" w:w="2202"/>
                  <w:tcBorders>
                    <w:top w:val="none" w:color="000000" w:sz="4"/>
                    <w:left w:val="single" w:color="000000" w:sz="4"/>
                    <w:bottom w:val="single" w:color="000000" w:sz="4"/>
                    <w:right w:val="single" w:color="000000" w:sz="4"/>
                  </w:tcBorders>
                  <w:vAlign w:val="top"/>
                </w:tcPr>
                <w:p>
                  <w:pPr>
                    <w:jc w:val="both"/>
                  </w:pPr>
                  <w:r>
                    <w:rPr>
                      <w:sz w:val="21"/>
                    </w:rPr>
                    <w:t>≥</w:t>
                  </w:r>
                  <w:r>
                    <w:rPr>
                      <w:sz w:val="21"/>
                    </w:rPr>
                    <w:t>6300RPM</w:t>
                  </w:r>
                </w:p>
              </w:tc>
            </w:tr>
          </w:tbl>
          <w:p>
            <w:pPr>
              <w:jc w:val="both"/>
            </w:pPr>
          </w:p>
        </w:tc>
      </w:tr>
      <w:tr>
        <w:tc>
          <w:tcPr>
            <w:tcW w:type="dxa" w:w="2076"/>
          </w:tcPr>
          <w:p/>
        </w:tc>
        <w:tc>
          <w:tcPr>
            <w:tcW w:type="dxa" w:w="415"/>
          </w:tcPr>
          <w:p>
            <w:r>
              <w:rPr/>
              <w:t>4</w:t>
            </w:r>
          </w:p>
        </w:tc>
        <w:tc>
          <w:tcPr>
            <w:tcW w:type="dxa" w:w="5814"/>
          </w:tcPr>
          <w:p>
            <w:pPr>
              <w:jc w:val="both"/>
            </w:pPr>
            <w:r>
              <w:rPr>
                <w:sz w:val="21"/>
              </w:rPr>
              <w:t>由于球管属于医疗器械管理范畴，为保证设备的核心重点备件供货能力，投标人需具备原厂提供的全新合格球管的库存（提供近一年内该库存球管符合要求的证明文件复印件并加盖投标人公章（或承诺中标后签订合同前提供证明资料至采购人），包含但不限于该球管的进口报关单、清晰体现该球管序列号的运货单以及中国海关要求的医疗器械标签等资料）。</w:t>
            </w:r>
          </w:p>
          <w:p>
            <w:pPr>
              <w:jc w:val="both"/>
            </w:pPr>
            <w:r>
              <w:rPr/>
              <w:t xml:space="preserve"> </w:t>
            </w:r>
          </w:p>
        </w:tc>
      </w:tr>
      <w:tr>
        <w:tc>
          <w:tcPr>
            <w:tcW w:type="dxa" w:w="2076"/>
          </w:tcPr>
          <w:p/>
        </w:tc>
        <w:tc>
          <w:tcPr>
            <w:tcW w:type="dxa" w:w="415"/>
          </w:tcPr>
          <w:p>
            <w:r>
              <w:rPr/>
              <w:t>5</w:t>
            </w:r>
          </w:p>
        </w:tc>
        <w:tc>
          <w:tcPr>
            <w:tcW w:type="dxa" w:w="5814"/>
          </w:tcPr>
          <w:p>
            <w:r>
              <w:rPr>
                <w:sz w:val="21"/>
              </w:rPr>
              <w:t>为保障备件的快速且安全的供应，投标人在合同履约期内于国内设有零备件保税仓库或国内备件库（投标文件提供备件库相应的产权证明文件或租赁合同复印件或保税仓库证明文件等并加盖投标人公章，或承诺中标后签订合同前提供证明资料至采购人）。</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 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三、采购标的对应的中小企业划分标准所属行业，采购包1：其他未列明行业；采购包2：工业。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四台影像设备（CT、DSA、MR）保修服务)：综合评分法,是指投标文件满足招标文件全部实质性要求，且按照评审因素的量化指标评审得分最高的投标人为中标候选人的评标方法。（最低报价不是中标的唯一依据。）</w:t>
      </w:r>
    </w:p>
    <w:p/>
    <w:p>
      <w:r>
        <w:rPr/>
        <w:t>采购包2(CT球管采购)：综合评分法,是指投标文件满足招标文件全部实质性要求，且按照评审因素的量化指标评审得分最高的投标人为中标候选人的评标方法。（最低报价不是中标的唯一依据。）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采购包1（四台影像设备（CT、DSA、MR）保修服务）：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采购包2（CT球管采购）：</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投标（响应）产品均由小微企业生产且使用该小微企业商号 货物由小微企业制造，即货物由小微企业生产且使用该小微企业商号或者注册商标时，给予价格扣除C1，即：评标价=投标报价×（1-C1）;监狱企 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采购包1（四台影像设备（CT、DSA、MR）保修服务）：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按投标（响应）文件格式九内容完整填写设备及专业技术能力情况，如未按要求填写或不满足此项要求的，视为无效投标。</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本采购包组不专门面向中小企业采购。</w:t>
            </w:r>
          </w:p>
        </w:tc>
      </w:tr>
    </w:tbl>
    <w:p/>
    <w:p>
      <w:r>
        <w:rPr/>
        <w:t>采购包2（CT球管采购）：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按投标（响应）文件格式九内容完整填写设备及专业技术能力情况，如未按要求填写或不满足此项要求的，视为无效投标。</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本采购包组不专门面向中小企业采购。</w:t>
            </w:r>
          </w:p>
        </w:tc>
      </w:tr>
    </w:tbl>
    <w:p/>
    <w:p>
      <w:pPr>
        <w:ind w:firstLine="480"/>
      </w:pPr>
      <w:r>
        <w:rPr/>
        <w:t>表二符合性审查表：</w:t>
      </w:r>
    </w:p>
    <w:p>
      <w:pPr>
        <w:ind w:firstLine="480"/>
      </w:pPr>
    </w:p>
    <w:p/>
    <w:p>
      <w:r>
        <w:rPr/>
        <w:t>采购包1（四台影像设备（CT、DSA、MR）保修服务）：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投标（报价）总金额是固定价且是唯一的，未超过本项目采购包1预算总金额。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t>采购包2（CT球管采购）：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投标（报价）总金额是固定价且是唯一的，未超过本项目采购包2预算总金额。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采购包1四台影像设备（CT、DSA、MR）保修服务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商务部分36.0分</w:t>
            </w:r>
          </w:p>
          <w:p>
            <w:r>
              <w:rPr/>
              <w:t>技术部分54.0分</w:t>
            </w:r>
          </w:p>
          <w:p>
            <w:r>
              <w:rPr/>
              <w:t>报价得分10.0分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中采购包1中“附表一”的“具体技术（参数）要求”条款的响应情况 (18.0分)</w:t>
            </w:r>
          </w:p>
        </w:tc>
        <w:tc>
          <w:tcPr>
            <w:tcW w:type="dxa" w:w="5076"/>
          </w:tcPr>
          <w:p>
            <w:pPr>
              <w:jc w:val="left"/>
            </w:pPr>
            <w:r>
              <w:rPr/>
              <w:t>考核投标人对招标文件第二章《采购需求》 采购包1“附表一”的“具体技术（参数）要求”中序号1.3-1.11所有条款（星号条款除外）的响应程度（每条条款最小一级序号均以一项计算）： 1.完全响应技术要求的得18分； 2.“▲”条款参数每负偏离一项扣2分，本项共6分，扣完为止； 3.非“▲”条款每负偏离一项扣1分，本项共12分，扣完为止。 注：1)评审依据以投标人投标文件中《技术和服务要求响应表》填写内容为准，未填写的视为负偏离；2)如采购需求中有明确要求提供具体证明资料的，必须按采购需求单独（额外）提供，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jc w:val="left"/>
            </w:pPr>
            <w:r>
              <w:rPr/>
              <w:t>安全检查方案 (8.0分)</w:t>
            </w:r>
            <w:r>
              <w:rPr/>
              <w:t>，（等次分值选择：</w:t>
            </w:r>
            <w:r>
              <w:rPr/>
              <w:t>0.0;</w:t>
            </w:r>
            <w:r>
              <w:rPr/>
              <w:t>1.0;</w:t>
            </w:r>
            <w:r>
              <w:rPr/>
              <w:t>4.5;</w:t>
            </w:r>
            <w:r>
              <w:rPr/>
              <w:t>8.0;</w:t>
            </w:r>
            <w:r>
              <w:rPr/>
              <w:t>）</w:t>
            </w:r>
          </w:p>
        </w:tc>
        <w:tc>
          <w:tcPr>
            <w:tcW w:type="dxa" w:w="5076"/>
          </w:tcPr>
          <w:p>
            <w:pPr>
              <w:jc w:val="left"/>
            </w:pPr>
            <w:r>
              <w:rPr/>
              <w:t>投标人须针对本项目所维保的四台影像设备编制安全检查方案，方案内容至少包括： ① 制定检查计划； ② 机械安全检查； ③ 电气安全检查； ④ 记录检查结果。 （1）方案专门针对本项目需维保的四台影像设备进行编制、内容无缺项，符合本项目实际需求、非常周全、合理的得8分； （2）方案专门针对本项目需维保的四台影像设备进行编制、内容无缺项，比较符合项目实际需求、比较周全、较为合理的得4.5分； （3）方案没有专门针对本项目需维保的四台影像设备进行编制、或内容缺项的，或内容存在不能满足本项目实际需求的，得1分； （4）没有提供方案的不得分。</w:t>
            </w:r>
          </w:p>
        </w:tc>
      </w:tr>
      <w:tr>
        <w:tc>
          <w:tcPr>
            <w:tcW w:type="dxa" w:w="922"/>
            <w:gridSpan w:val="2"/>
            <w:vMerge/>
          </w:tcPr>
          <w:p/>
        </w:tc>
        <w:tc>
          <w:tcPr>
            <w:tcW w:type="dxa" w:w="2307"/>
          </w:tcPr>
          <w:p>
            <w:pPr>
              <w:jc w:val="left"/>
            </w:pPr>
            <w:r>
              <w:rPr/>
              <w:t>预防性保养方案 (9.0分)</w:t>
            </w:r>
            <w:r>
              <w:rPr/>
              <w:t>，（等次分值选择：</w:t>
            </w:r>
            <w:r>
              <w:rPr/>
              <w:t>0.0;</w:t>
            </w:r>
            <w:r>
              <w:rPr/>
              <w:t>1.0;</w:t>
            </w:r>
            <w:r>
              <w:rPr/>
              <w:t>5.0;</w:t>
            </w:r>
            <w:r>
              <w:rPr/>
              <w:t>9.0;</w:t>
            </w:r>
            <w:r>
              <w:rPr/>
              <w:t>）</w:t>
            </w:r>
          </w:p>
        </w:tc>
        <w:tc>
          <w:tcPr>
            <w:tcW w:type="dxa" w:w="5076"/>
          </w:tcPr>
          <w:p>
            <w:pPr>
              <w:jc w:val="left"/>
            </w:pPr>
            <w:r>
              <w:rPr/>
              <w:t>投标人须针对本项目所维保的四台影像设备编制预防性保养方案，方案内容至少包括： ① 记录并安排保养时间； ② 按照保养计划更换损耗部件； ③ 按照厂家标准进行调校； ④ 确认各项技术指标及性能； ⑤ 如遇第三方机构进行设备状态检测时，中标人负责调试设备并保证全部检测指标达标； ⑥ 记录设备状况； ⑦ 提供设备生产厂家保养内容清单； ⑧ 提供每次保养后系统自动导出的保养报告，承诺每次的检测项必须为PASS。 （1）方案专门针对本项目需维保的四台影像设备进行编制、内容无缺项，符合本项目实际需求、非常周全、合理的得9分； （2）方案专门针对本项目需维保的四台影像设备进行编制、内容无缺项，比较符合项目实际需求、比较周全、较为合理的得5分； （3）方案没有专门针对本项目需维保的四台影像设备进行编制，或内容缺项的，得1分； （4）内容存在不能满足本项目实际需求的或没有提供方案的不得分。</w:t>
            </w:r>
          </w:p>
        </w:tc>
      </w:tr>
      <w:tr>
        <w:tc>
          <w:tcPr>
            <w:tcW w:type="dxa" w:w="922"/>
            <w:gridSpan w:val="2"/>
            <w:vMerge/>
          </w:tcPr>
          <w:p/>
        </w:tc>
        <w:tc>
          <w:tcPr>
            <w:tcW w:type="dxa" w:w="2307"/>
          </w:tcPr>
          <w:p>
            <w:pPr>
              <w:jc w:val="left"/>
            </w:pPr>
            <w:r>
              <w:rPr/>
              <w:t>服务响应、售后及应急措施方案 (10.0分)</w:t>
            </w:r>
            <w:r>
              <w:rPr/>
              <w:t>，（等次分值选择：</w:t>
            </w:r>
            <w:r>
              <w:rPr/>
              <w:t>0.0;</w:t>
            </w:r>
            <w:r>
              <w:rPr/>
              <w:t>2.0;</w:t>
            </w:r>
            <w:r>
              <w:rPr/>
              <w:t>6.0;</w:t>
            </w:r>
            <w:r>
              <w:rPr/>
              <w:t>10.0;</w:t>
            </w:r>
            <w:r>
              <w:rPr/>
              <w:t>）</w:t>
            </w:r>
          </w:p>
        </w:tc>
        <w:tc>
          <w:tcPr>
            <w:tcW w:type="dxa" w:w="5076"/>
          </w:tcPr>
          <w:p>
            <w:pPr>
              <w:jc w:val="left"/>
            </w:pPr>
            <w:r>
              <w:rPr/>
              <w:t>评委对各投标人服务响应、售后及应急措施方案（含服务响应时间，保修、维护、服务、技术支持措施计划和承诺，应急方案等）进行评审。   （1）服务响应时间满足或优于招标文件要求；有详细具体可行的保修、维护、服务、技术支持措施计划或承诺，处理问题能力强，售后及保修期内的服务方案优；应急措施方案非常周全、详尽、可行，得10分；  （2）服务响应时间满足招标文件要求；保修、维护、服务、技术支持措施计划或承诺可行性一般，售后及保修期内的服务方案一般；应急措施方案可行性一般，得6分；  （3）服务响应时间未能满足招标文件要求；保修、维护、服务、技术支持措施计划或承诺不太可行，售后及保修期内的服务方案不够具体；应急措施方案不太可行，得2分；  （4）未提供方案不得分。</w:t>
            </w:r>
          </w:p>
        </w:tc>
      </w:tr>
      <w:tr>
        <w:tc>
          <w:tcPr>
            <w:tcW w:type="dxa" w:w="922"/>
            <w:gridSpan w:val="2"/>
            <w:vMerge/>
          </w:tcPr>
          <w:p/>
        </w:tc>
        <w:tc>
          <w:tcPr>
            <w:tcW w:type="dxa" w:w="2307"/>
          </w:tcPr>
          <w:p>
            <w:pPr>
              <w:jc w:val="left"/>
            </w:pPr>
            <w:r>
              <w:rPr/>
              <w:t>维修保养专业工具 (9.0分)</w:t>
            </w:r>
            <w:r>
              <w:rPr/>
              <w:t>，（等次分值选择：</w:t>
            </w:r>
            <w:r>
              <w:rPr/>
              <w:t>0.0;</w:t>
            </w:r>
            <w:r>
              <w:rPr/>
              <w:t>1.0;</w:t>
            </w:r>
            <w:r>
              <w:rPr/>
              <w:t>5.0;</w:t>
            </w:r>
            <w:r>
              <w:rPr/>
              <w:t>9.0;</w:t>
            </w:r>
            <w:r>
              <w:rPr/>
              <w:t>）</w:t>
            </w:r>
          </w:p>
        </w:tc>
        <w:tc>
          <w:tcPr>
            <w:tcW w:type="dxa" w:w="5076"/>
          </w:tcPr>
          <w:p>
            <w:pPr>
              <w:jc w:val="left"/>
            </w:pPr>
            <w:r>
              <w:rPr/>
              <w:t>根据投标人所提供的维修保养专业工具(图文并茂)进行评审： （1）提供的维修保养专业工具图文共茂，工具数量和品种非常齐全、质量非常好、技术先进、实用性非常强，得9分； （2）提供的维修保养专业工具图文并茂，工具数量和品种比较齐全、质量比较好、技术比较先进、实用性比较强，得5分； （3）提供的维修保养专业工具图文并茂，工具数量和品种一般齐全、质量一般、技术比较不先进、实用性不强，得1分； （4）提供的维修保养专业工具没有做到图文并茂，或者没有提供资料的，不得分。</w:t>
            </w:r>
          </w:p>
        </w:tc>
      </w:tr>
      <w:tr>
        <w:tc>
          <w:tcPr>
            <w:tcW w:type="dxa" w:w="922"/>
            <w:gridSpan w:val="2"/>
            <w:vMerge w:val="restart"/>
          </w:tcPr>
          <w:p>
            <w:pPr>
              <w:jc w:val="center"/>
            </w:pPr>
            <w:r>
              <w:rPr/>
              <w:t>商务部分</w:t>
            </w:r>
          </w:p>
        </w:tc>
        <w:tc>
          <w:tcPr>
            <w:tcW w:type="dxa" w:w="2307"/>
          </w:tcPr>
          <w:p>
            <w:pPr>
              <w:jc w:val="left"/>
            </w:pPr>
            <w:r>
              <w:rPr/>
              <w:t>采购需求中采购包1“主要商务要求”的响应情况 (4.0分)</w:t>
            </w:r>
          </w:p>
        </w:tc>
        <w:tc>
          <w:tcPr>
            <w:tcW w:type="dxa" w:w="5076"/>
          </w:tcPr>
          <w:p>
            <w:pPr>
              <w:jc w:val="left"/>
            </w:pPr>
            <w:r>
              <w:rPr/>
              <w:t>考核对采购需求中采购包1“主要商务要求”所有小点（星号条款除外）的响应程度。 完全响应要求的得4分； 每负偏离一项扣1分，本项4分，扣完为止。</w:t>
            </w:r>
          </w:p>
        </w:tc>
      </w:tr>
      <w:tr>
        <w:tc>
          <w:tcPr>
            <w:tcW w:type="dxa" w:w="922"/>
            <w:gridSpan w:val="2"/>
            <w:vMerge/>
          </w:tcPr>
          <w:p/>
        </w:tc>
        <w:tc>
          <w:tcPr>
            <w:tcW w:type="dxa" w:w="2307"/>
          </w:tcPr>
          <w:p>
            <w:pPr>
              <w:jc w:val="left"/>
            </w:pPr>
            <w:r>
              <w:rPr/>
              <w:t>企业认证情况 (2.0分)</w:t>
            </w:r>
          </w:p>
        </w:tc>
        <w:tc>
          <w:tcPr>
            <w:tcW w:type="dxa" w:w="5076"/>
          </w:tcPr>
          <w:p>
            <w:pPr>
              <w:jc w:val="left"/>
            </w:pPr>
            <w:r>
              <w:rPr/>
              <w:t>投标人具有有效的医疗器械质量管理体系认证证书（证书认证范围须涵盖医疗设备维修保养服务相关内容）得2分。 注：须提供有效的相关证书复印件并加盖投标人公章。</w:t>
            </w:r>
          </w:p>
        </w:tc>
      </w:tr>
      <w:tr>
        <w:tc>
          <w:tcPr>
            <w:tcW w:type="dxa" w:w="922"/>
            <w:gridSpan w:val="2"/>
            <w:vMerge/>
          </w:tcPr>
          <w:p/>
        </w:tc>
        <w:tc>
          <w:tcPr>
            <w:tcW w:type="dxa" w:w="2307"/>
          </w:tcPr>
          <w:p>
            <w:pPr>
              <w:jc w:val="left"/>
            </w:pPr>
            <w:r>
              <w:rPr/>
              <w:t>维保服务实力说明 (10.0分)</w:t>
            </w:r>
            <w:r>
              <w:rPr/>
              <w:t>，（等次分值选择：</w:t>
            </w:r>
            <w:r>
              <w:rPr/>
              <w:t>0.0;</w:t>
            </w:r>
            <w:r>
              <w:rPr/>
              <w:t>2.0;</w:t>
            </w:r>
            <w:r>
              <w:rPr/>
              <w:t>6.0;</w:t>
            </w:r>
            <w:r>
              <w:rPr/>
              <w:t>10.0;</w:t>
            </w:r>
            <w:r>
              <w:rPr/>
              <w:t>）</w:t>
            </w:r>
          </w:p>
        </w:tc>
        <w:tc>
          <w:tcPr>
            <w:tcW w:type="dxa" w:w="5076"/>
          </w:tcPr>
          <w:p>
            <w:pPr>
              <w:jc w:val="left"/>
            </w:pPr>
            <w:r>
              <w:rPr/>
              <w:t>评委根据投标人的实力情况进行打分：为保障更快捷更满意的服务，投标人或维修服务商需具备较强的维保服务实力，满足应急维修要求，提供的说明方案至少包括以下内容： ①在国内具备维修站的情况； ②培训实力说明（培训师资格、培训基地）。 （1）内容无缺项，维保服务综合实力很强，得10分； （2）内容无缺项，维保服务综合实力比较好，得6分； （3）内容无缺项，维保服务综合实力比较弱，得2分； （4）内容有缺项、无按要求提供证明文件或不符合本项目需求的不得分。 注：需提供维修站证明、培训基地证明、培训师资格证明，并加盖投标人公章。</w:t>
            </w:r>
          </w:p>
        </w:tc>
      </w:tr>
      <w:tr>
        <w:tc>
          <w:tcPr>
            <w:tcW w:type="dxa" w:w="922"/>
            <w:gridSpan w:val="2"/>
            <w:vMerge/>
          </w:tcPr>
          <w:p/>
        </w:tc>
        <w:tc>
          <w:tcPr>
            <w:tcW w:type="dxa" w:w="2307"/>
          </w:tcPr>
          <w:p>
            <w:pPr>
              <w:jc w:val="left"/>
            </w:pPr>
            <w:r>
              <w:rPr/>
              <w:t>拟投入团队情况 (10.0分)</w:t>
            </w:r>
          </w:p>
        </w:tc>
        <w:tc>
          <w:tcPr>
            <w:tcW w:type="dxa" w:w="5076"/>
          </w:tcPr>
          <w:p>
            <w:pPr>
              <w:jc w:val="left"/>
            </w:pPr>
            <w:r>
              <w:rPr/>
              <w:t>根据投标人拟投入本项目维修工程师资质情况说明进行评分： 本项目采购需求要求投标人至少具备有5名（或以上）具有专业维修资质的维修工程师组成的服务团队，资质应包含DSA设备维修资质、CT设备维修资质、MR设备维修资质（或承诺中标后签订合同之前满足此投标文件承诺的人员要求）。 （1）在具备5名符合要求的人员的前提下，每增加一个符合要求的维修人员得2分，本项最高得10分； （2）未按要求提供资料的不得分。 注：1、提供维修工程师培训证明和人员清单（所提供的相关培训证明资料复印件如是英文版本的，必须提供中文译本，不同的维修资质可以为同一人。） 提供投标人在截止投标之日前12个月内任意1个月为其购买社保的证明文件或其他可证明与其劳务关系的证明材料复印件并加盖投标人公章，或提供承诺中标后签订合同之前满足此投标文件承诺的人员要求的承诺函。</w:t>
            </w:r>
          </w:p>
        </w:tc>
      </w:tr>
      <w:tr>
        <w:tc>
          <w:tcPr>
            <w:tcW w:type="dxa" w:w="922"/>
            <w:gridSpan w:val="2"/>
            <w:vMerge/>
          </w:tcPr>
          <w:p/>
        </w:tc>
        <w:tc>
          <w:tcPr>
            <w:tcW w:type="dxa" w:w="2307"/>
          </w:tcPr>
          <w:p>
            <w:pPr>
              <w:jc w:val="left"/>
            </w:pPr>
            <w:r>
              <w:rPr/>
              <w:t>同类项目业绩 (10.0分)</w:t>
            </w:r>
          </w:p>
        </w:tc>
        <w:tc>
          <w:tcPr>
            <w:tcW w:type="dxa" w:w="5076"/>
          </w:tcPr>
          <w:p>
            <w:pPr>
              <w:jc w:val="left"/>
            </w:pPr>
            <w:r>
              <w:rPr/>
              <w:t>评标委员会应根据投标人提供的业绩情况进行评审：2019年1月1日以来（以合同签订日期为准）投标人承接的同类项目业绩，每提供一个项目业绩得2分，最多得10分。 注：按招标文件格式十五填写《投标人业绩情况表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采购包2CT球管采购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商务部分17.0分</w:t>
            </w:r>
          </w:p>
          <w:p>
            <w:r>
              <w:rPr/>
              <w:t>技术部分53.0分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中采购包2中“附表一”的“具体技术（参数）要求”所有条款的响应情况 (11.0分)</w:t>
            </w:r>
          </w:p>
        </w:tc>
        <w:tc>
          <w:tcPr>
            <w:tcW w:type="dxa" w:w="5076"/>
          </w:tcPr>
          <w:p>
            <w:pPr>
              <w:jc w:val="left"/>
            </w:pPr>
            <w:r>
              <w:rPr/>
              <w:t>考核投标人对招标文件第二章《采购需求》采购包2“附表一”的“具体技术（参数）要求”中所有条款（星号条款除外）的响应程度（每条条款最小一级序号均以一项计算）： （1）完全响应技术要求的得11分； （2）“▲”条款参数每负偏离一项扣3分，本项共3分，扣完为止； （3）非“▲”条款每负偏离一项扣1分，本项共8分，扣完为止。 注：1)评审依据以投标人投标文件中《技术和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(12.0分)</w:t>
            </w:r>
            <w:r>
              <w:rPr/>
              <w:t>，（等次分值选择：</w:t>
            </w:r>
            <w:r>
              <w:rPr/>
              <w:t>0.0;</w:t>
            </w:r>
            <w:r>
              <w:rPr/>
              <w:t>2.0;</w:t>
            </w:r>
            <w:r>
              <w:rPr/>
              <w:t>7.0;</w:t>
            </w:r>
            <w:r>
              <w:rPr/>
              <w:t>12.0;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（1）安装、检测、验收、培训计划条理清晰，脉络分明，操作性强，人性化，能体现以人为本、服务至上的售后理念，得12分；  （2）安装、检测、验收、培训计划条理一般，脉络一般，操作性一般，不能体现以人为本、服务至上的售后理念，得7分；  （3）安装、检测、验收、培训计划条理模糊，脉络不分明，操作性差，不能体现以人为本、服务至上的售后理念，得2分；  （4）未提供相关计划不得分。</w:t>
            </w:r>
          </w:p>
        </w:tc>
      </w:tr>
      <w:tr>
        <w:tc>
          <w:tcPr>
            <w:tcW w:type="dxa" w:w="922"/>
            <w:gridSpan w:val="2"/>
            <w:vMerge/>
          </w:tcPr>
          <w:p/>
        </w:tc>
        <w:tc>
          <w:tcPr>
            <w:tcW w:type="dxa" w:w="2307"/>
          </w:tcPr>
          <w:p>
            <w:pPr>
              <w:jc w:val="left"/>
            </w:pPr>
            <w:r>
              <w:rPr/>
              <w:t>产品的配置、选型及性能 (15.0分)</w:t>
            </w:r>
            <w:r>
              <w:rPr/>
              <w:t>，（等次分值选择：</w:t>
            </w:r>
            <w:r>
              <w:rPr/>
              <w:t>0.0;</w:t>
            </w:r>
            <w:r>
              <w:rPr/>
              <w:t>3.0;</w:t>
            </w:r>
            <w:r>
              <w:rPr/>
              <w:t>7.0;</w:t>
            </w:r>
            <w:r>
              <w:rPr/>
              <w:t>11.0;</w:t>
            </w:r>
            <w:r>
              <w:rPr/>
              <w:t>15.0;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（1）所投产品的配置完全满足或优于招标文件要求，选型及性能非常好，完全能满足采购人需求，得15分；   （2）所投产品的配置基本满足招标文件要求，选型及性能比较好，比较能满足采购人需求，得11分；  （3）所投产品的配置勉强满足招标文件要求，选型及性能一般，勉强能满足采购人需求，得7分；  （4）所投产品的配置不能满足招标文件要求，选型及性能不太好，不能满足采购人需求，得3分；  （5）未提供的不得分。</w:t>
            </w:r>
          </w:p>
        </w:tc>
      </w:tr>
      <w:tr>
        <w:tc>
          <w:tcPr>
            <w:tcW w:type="dxa" w:w="922"/>
            <w:gridSpan w:val="2"/>
            <w:vMerge/>
          </w:tcPr>
          <w:p/>
        </w:tc>
        <w:tc>
          <w:tcPr>
            <w:tcW w:type="dxa" w:w="2307"/>
          </w:tcPr>
          <w:p>
            <w:pPr>
              <w:jc w:val="left"/>
            </w:pPr>
            <w:r>
              <w:rPr/>
              <w:t>服务响应、售后及应急措施方案 (15.0分)</w:t>
            </w:r>
            <w:r>
              <w:rPr/>
              <w:t>，（等次分值选择：</w:t>
            </w:r>
            <w:r>
              <w:rPr/>
              <w:t>0.0;</w:t>
            </w:r>
            <w:r>
              <w:rPr/>
              <w:t>3.0;</w:t>
            </w:r>
            <w:r>
              <w:rPr/>
              <w:t>7.0;</w:t>
            </w:r>
            <w:r>
              <w:rPr/>
              <w:t>11.0;</w:t>
            </w:r>
            <w:r>
              <w:rPr/>
              <w:t>15.0;</w:t>
            </w:r>
            <w:r>
              <w:rPr/>
              <w:t>）</w:t>
            </w:r>
          </w:p>
        </w:tc>
        <w:tc>
          <w:tcPr>
            <w:tcW w:type="dxa" w:w="5076"/>
          </w:tcPr>
          <w:p>
            <w:pPr>
              <w:jc w:val="left"/>
            </w:pPr>
            <w:r>
              <w:rPr/>
              <w:t>评委对各投标人服务响应、售后及应急措施方案（含服务响应时间，保修、维护、服务、技术支持措施计划和承诺，应急方案等）进行评审。   （1）服务响应时间满足或优于招标文件要求；有详细具体可行的保修、维护、服务、技术支持措施计划和承诺，处理问题能力强，售后及保修期内的服务方案优；应急措施方案非常周全、详尽、可行，得15分；  （2）服务响应时间满足招标文件要求；有比较详细具体可行的保修、维护、服务、技术支持措施计划和承诺，处理问题能力较强，售后及保修期内的服务方案较好；应急措施方案比较周全、详尽、可行，得11分； （3）服务响应时间满足招标文件要求；保修、维护、服务、技术支持措施计划和承诺可行性一般，售后及保修期内的服务方案一般；应急措施方案可行性一般，得7分；  （4）服务响应时间未能满足招标文件要求；保修、维护、服务、技术支持措施计划和承诺不太可行，售后及保修期内的服务方案不够具体；应急措施方案不太可行，得3分；  （5）未提供方案不得分。</w:t>
            </w:r>
          </w:p>
        </w:tc>
      </w:tr>
      <w:tr>
        <w:tc>
          <w:tcPr>
            <w:tcW w:type="dxa" w:w="922"/>
            <w:gridSpan w:val="2"/>
            <w:vMerge w:val="restart"/>
          </w:tcPr>
          <w:p>
            <w:pPr>
              <w:jc w:val="center"/>
            </w:pPr>
            <w:r>
              <w:rPr/>
              <w:t>商务部分</w:t>
            </w:r>
          </w:p>
        </w:tc>
        <w:tc>
          <w:tcPr>
            <w:tcW w:type="dxa" w:w="2307"/>
          </w:tcPr>
          <w:p>
            <w:pPr>
              <w:jc w:val="left"/>
            </w:pPr>
            <w:r>
              <w:rPr/>
              <w:t>采购需求中采购包2中“主要商务要求”的响应情况 (4.0分)</w:t>
            </w:r>
          </w:p>
        </w:tc>
        <w:tc>
          <w:tcPr>
            <w:tcW w:type="dxa" w:w="5076"/>
          </w:tcPr>
          <w:p>
            <w:pPr>
              <w:jc w:val="left"/>
            </w:pPr>
            <w:r>
              <w:rPr/>
              <w:t>考核对采购需求中采购包2中“主要商务要求”所有小点（星号条款除外）的响应程度。 完全响应要求的得4分； 每负偏离一项扣1分，本项4分，扣完为止。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 ②环境管理体系认证证书（1分） ③职业健康安全管理体系认证证书（1分） 注：投标人或所投设备生产厂家具备以上证书，每提供一个证书得1分，满分3分。 提供有效期内的证书复印件并加盖投标人的公章，不按要求提供不等分。</w:t>
            </w:r>
          </w:p>
        </w:tc>
      </w:tr>
      <w:tr>
        <w:tc>
          <w:tcPr>
            <w:tcW w:type="dxa" w:w="922"/>
            <w:gridSpan w:val="2"/>
            <w:vMerge/>
          </w:tcPr>
          <w:p/>
        </w:tc>
        <w:tc>
          <w:tcPr>
            <w:tcW w:type="dxa" w:w="2307"/>
          </w:tcPr>
          <w:p>
            <w:pPr>
              <w:jc w:val="left"/>
            </w:pPr>
            <w:r>
              <w:rPr/>
              <w:t>同类项目业绩 (10.0分)</w:t>
            </w:r>
          </w:p>
        </w:tc>
        <w:tc>
          <w:tcPr>
            <w:tcW w:type="dxa" w:w="5076"/>
          </w:tcPr>
          <w:p>
            <w:pPr>
              <w:jc w:val="left"/>
            </w:pPr>
            <w:r>
              <w:rPr/>
              <w:t>评标委员会应根据投标人提供的业绩情况进行评审：2019年1月1日以来（以合同签订日期为准）投标人承接的同类项目业绩，每提供一个项目业绩得2分，最多得10分。 注：按招标文件格式十五填写《投标人业绩情况表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rPr>
          <w:sz w:val="24"/>
        </w:rPr>
        <w:t>（本合同范本仅供参考，中标人与采购人可根据双方的具体要求进行修订，双方所签订的合同不得对招标文件确定的事项和中标人投标文件作实质性修改。）</w:t>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center"/>
      </w:pPr>
      <w:r>
        <w:rPr>
          <w:b/>
          <w:color w:val="000000"/>
          <w:sz w:val="44"/>
        </w:rPr>
        <w:t>中山市人民医院通用服务采购合同</w:t>
      </w:r>
    </w:p>
    <w:p>
      <w:r>
        <w:rPr>
          <w:b/>
          <w:sz w:val="30"/>
        </w:rPr>
        <w:t>甲方：</w:t>
      </w:r>
      <w:r>
        <w:rPr>
          <w:b/>
          <w:sz w:val="30"/>
        </w:rPr>
        <w:t xml:space="preserve">                            </w:t>
      </w:r>
    </w:p>
    <w:p>
      <w:pPr>
        <w:jc w:val="left"/>
      </w:pPr>
      <w:r>
        <w:rPr>
          <w:b/>
          <w:sz w:val="30"/>
        </w:rPr>
        <w:t>乙方：</w:t>
      </w:r>
    </w:p>
    <w:p>
      <w:pPr>
        <w:ind w:firstLine="480"/>
        <w:jc w:val="left"/>
      </w:pPr>
      <w:r>
        <w:rPr>
          <w:color w:val="000000"/>
          <w:sz w:val="24"/>
        </w:rPr>
        <w:t>为保护甲乙双方合法权益，根据</w:t>
      </w:r>
      <w:r>
        <w:rPr>
          <w:sz w:val="22"/>
          <w:u w:val="single"/>
        </w:rPr>
        <w:t xml:space="preserve">         </w:t>
      </w:r>
      <w:r>
        <w:rPr>
          <w:color w:val="000000"/>
          <w:sz w:val="24"/>
        </w:rPr>
        <w:t>采购项目（项目编号：</w:t>
      </w:r>
      <w:r>
        <w:rPr>
          <w:sz w:val="22"/>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ind w:firstLine="482"/>
        <w:jc w:val="left"/>
      </w:pPr>
    </w:p>
    <w:p>
      <w:pPr>
        <w:ind w:firstLine="482"/>
        <w:jc w:val="left"/>
      </w:pPr>
      <w:r>
        <w:rPr>
          <w:b/>
          <w:color w:val="000000"/>
          <w:sz w:val="24"/>
        </w:rPr>
        <w:t>第一条</w:t>
      </w:r>
      <w:r>
        <w:rPr>
          <w:b/>
          <w:color w:val="000000"/>
          <w:sz w:val="24"/>
        </w:rPr>
        <w:t>合同标的</w:t>
      </w:r>
    </w:p>
    <w:p>
      <w:pPr>
        <w:ind w:firstLine="480"/>
        <w:jc w:val="left"/>
      </w:pPr>
      <w:r>
        <w:rPr>
          <w:color w:val="000000"/>
          <w:sz w:val="24"/>
        </w:rPr>
        <w:t>1.服务内容：</w:t>
      </w:r>
    </w:p>
    <w:p>
      <w:pPr>
        <w:ind w:firstLine="480"/>
        <w:jc w:val="left"/>
      </w:pPr>
    </w:p>
    <w:p>
      <w:pPr>
        <w:ind w:firstLine="482"/>
        <w:jc w:val="center"/>
      </w:pPr>
      <w:r>
        <w:rPr>
          <w:b/>
          <w:color w:val="000000"/>
          <w:sz w:val="24"/>
        </w:rPr>
        <w:t>服务内容清单</w:t>
      </w:r>
    </w:p>
    <w:p>
      <w:pPr>
        <w:ind w:firstLine="480"/>
        <w:jc w:val="left"/>
      </w:pPr>
    </w:p>
    <w:tbl>
      <w:tblPr>
        <w:tblW w:w="0" w:type="auto"/>
        <w:tblBorders>
          <w:top w:val="none" w:color="000000" w:sz="4"/>
          <w:left w:val="none" w:color="000000" w:sz="4"/>
          <w:bottom w:val="none" w:color="000000" w:sz="4"/>
          <w:right w:val="none" w:color="000000" w:sz="4"/>
          <w:insideH w:val="none"/>
          <w:insideV w:val="none"/>
        </w:tblBorders>
      </w:tblPr>
      <w:tblGrid>
        <w:gridCol w:w="1761"/>
        <w:gridCol w:w="2113"/>
        <w:gridCol w:w="748"/>
        <w:gridCol w:w="1262"/>
        <w:gridCol w:w="1409"/>
        <w:gridCol w:w="1013"/>
      </w:tblGrid>
      <w:tr>
        <w:tc>
          <w:tcPr>
            <w:tcW w:type="dxa" w:w="1761"/>
            <w:tcBorders>
              <w:top w:val="single" w:color="000000" w:sz="4"/>
              <w:left w:val="single" w:color="000000" w:sz="4"/>
              <w:bottom w:val="single" w:color="000000" w:sz="4"/>
              <w:right w:val="single" w:color="000000" w:sz="4"/>
            </w:tcBorders>
            <w:vAlign w:val="top"/>
          </w:tcPr>
          <w:p>
            <w:pPr>
              <w:jc w:val="center"/>
            </w:pPr>
            <w:r>
              <w:rPr>
                <w:b/>
                <w:color w:val="000000"/>
                <w:sz w:val="22"/>
              </w:rPr>
              <w:t>服务名称</w:t>
            </w:r>
          </w:p>
        </w:tc>
        <w:tc>
          <w:tcPr>
            <w:tcW w:type="dxa" w:w="2113"/>
            <w:tcBorders>
              <w:top w:val="single" w:color="000000" w:sz="4"/>
              <w:left w:val="single" w:color="000000" w:sz="4"/>
              <w:bottom w:val="single" w:color="000000" w:sz="4"/>
              <w:right w:val="single" w:color="000000" w:sz="4"/>
            </w:tcBorders>
            <w:vAlign w:val="top"/>
          </w:tcPr>
          <w:p>
            <w:pPr>
              <w:jc w:val="center"/>
            </w:pPr>
            <w:r>
              <w:rPr>
                <w:b/>
                <w:color w:val="000000"/>
                <w:sz w:val="22"/>
              </w:rPr>
              <w:t>服务</w:t>
            </w:r>
            <w:r>
              <w:rPr>
                <w:b/>
                <w:color w:val="000000"/>
                <w:sz w:val="22"/>
              </w:rPr>
              <w:t>/技术要求</w:t>
            </w:r>
          </w:p>
        </w:tc>
        <w:tc>
          <w:tcPr>
            <w:tcW w:type="dxa" w:w="748"/>
            <w:tcBorders>
              <w:top w:val="single" w:color="000000" w:sz="4"/>
              <w:left w:val="single" w:color="000000" w:sz="4"/>
              <w:bottom w:val="single" w:color="000000" w:sz="4"/>
              <w:right w:val="single" w:color="000000" w:sz="4"/>
            </w:tcBorders>
            <w:vAlign w:val="top"/>
          </w:tcPr>
          <w:p>
            <w:pPr>
              <w:jc w:val="center"/>
            </w:pPr>
            <w:r>
              <w:rPr>
                <w:b/>
                <w:color w:val="000000"/>
                <w:sz w:val="22"/>
              </w:rPr>
              <w:t>数量</w:t>
            </w:r>
          </w:p>
        </w:tc>
        <w:tc>
          <w:tcPr>
            <w:tcW w:type="dxa" w:w="1262"/>
            <w:tcBorders>
              <w:top w:val="single" w:color="000000" w:sz="4"/>
              <w:left w:val="single" w:color="000000" w:sz="4"/>
              <w:bottom w:val="single" w:color="000000" w:sz="4"/>
              <w:right w:val="single" w:color="000000" w:sz="4"/>
            </w:tcBorders>
            <w:vAlign w:val="top"/>
          </w:tcPr>
          <w:p>
            <w:pPr>
              <w:jc w:val="center"/>
            </w:pPr>
            <w:r>
              <w:rPr>
                <w:b/>
                <w:color w:val="000000"/>
                <w:sz w:val="22"/>
              </w:rPr>
              <w:t>单价（元）</w:t>
            </w:r>
          </w:p>
        </w:tc>
        <w:tc>
          <w:tcPr>
            <w:tcW w:type="dxa" w:w="1409"/>
            <w:tcBorders>
              <w:top w:val="single" w:color="000000" w:sz="4"/>
              <w:left w:val="single" w:color="000000" w:sz="4"/>
              <w:bottom w:val="single" w:color="000000" w:sz="4"/>
              <w:right w:val="single" w:color="000000" w:sz="4"/>
            </w:tcBorders>
            <w:vAlign w:val="top"/>
          </w:tcPr>
          <w:p>
            <w:pPr>
              <w:jc w:val="center"/>
            </w:pPr>
            <w:r>
              <w:rPr>
                <w:b/>
                <w:color w:val="000000"/>
                <w:sz w:val="22"/>
              </w:rPr>
              <w:t>金额（元）</w:t>
            </w:r>
          </w:p>
        </w:tc>
        <w:tc>
          <w:tcPr>
            <w:tcW w:type="dxa" w:w="1013"/>
            <w:tcBorders>
              <w:top w:val="single" w:color="000000" w:sz="4"/>
              <w:left w:val="single" w:color="000000" w:sz="4"/>
              <w:bottom w:val="single" w:color="000000" w:sz="4"/>
              <w:right w:val="single" w:color="000000" w:sz="4"/>
            </w:tcBorders>
            <w:vAlign w:val="top"/>
          </w:tcPr>
          <w:p>
            <w:pPr>
              <w:jc w:val="center"/>
            </w:pPr>
            <w:r>
              <w:rPr>
                <w:b/>
                <w:color w:val="000000"/>
                <w:sz w:val="22"/>
              </w:rPr>
              <w:t>备注</w:t>
            </w:r>
          </w:p>
        </w:tc>
      </w:tr>
      <w:tr>
        <w:tc>
          <w:tcPr>
            <w:tcW w:type="dxa" w:w="1761"/>
            <w:tcBorders>
              <w:top w:val="none" w:color="000000" w:sz="4"/>
              <w:left w:val="single" w:color="000000" w:sz="4"/>
              <w:bottom w:val="single" w:color="000000" w:sz="4"/>
              <w:right w:val="single" w:color="000000" w:sz="4"/>
            </w:tcBorders>
            <w:vAlign w:val="top"/>
          </w:tcPr>
          <w:p>
            <w:pPr>
              <w:jc w:val="left"/>
            </w:pPr>
          </w:p>
        </w:tc>
        <w:tc>
          <w:tcPr>
            <w:tcW w:type="dxa" w:w="2113"/>
            <w:tcBorders>
              <w:top w:val="none" w:color="000000" w:sz="4"/>
              <w:left w:val="single" w:color="000000" w:sz="4"/>
              <w:bottom w:val="single" w:color="000000" w:sz="4"/>
              <w:right w:val="single" w:color="000000" w:sz="4"/>
            </w:tcBorders>
            <w:vAlign w:val="top"/>
          </w:tcPr>
          <w:p>
            <w:pPr>
              <w:jc w:val="left"/>
            </w:pPr>
          </w:p>
        </w:tc>
        <w:tc>
          <w:tcPr>
            <w:tcW w:type="dxa" w:w="748"/>
            <w:tcBorders>
              <w:top w:val="none" w:color="000000" w:sz="4"/>
              <w:left w:val="single" w:color="000000" w:sz="4"/>
              <w:bottom w:val="single" w:color="000000" w:sz="4"/>
              <w:right w:val="single" w:color="000000" w:sz="4"/>
            </w:tcBorders>
            <w:vAlign w:val="top"/>
          </w:tcPr>
          <w:p>
            <w:pPr>
              <w:jc w:val="left"/>
            </w:pPr>
          </w:p>
        </w:tc>
        <w:tc>
          <w:tcPr>
            <w:tcW w:type="dxa" w:w="1262"/>
            <w:tcBorders>
              <w:top w:val="none" w:color="000000" w:sz="4"/>
              <w:left w:val="single" w:color="000000" w:sz="4"/>
              <w:bottom w:val="single" w:color="000000" w:sz="4"/>
              <w:right w:val="single" w:color="000000" w:sz="4"/>
            </w:tcBorders>
            <w:vAlign w:val="top"/>
          </w:tcPr>
          <w:p>
            <w:pPr>
              <w:jc w:val="left"/>
            </w:pPr>
          </w:p>
        </w:tc>
        <w:tc>
          <w:tcPr>
            <w:tcW w:type="dxa" w:w="1409"/>
            <w:tcBorders>
              <w:top w:val="none" w:color="000000" w:sz="4"/>
              <w:left w:val="single" w:color="000000" w:sz="4"/>
              <w:bottom w:val="single" w:color="000000" w:sz="4"/>
              <w:right w:val="single" w:color="000000" w:sz="4"/>
            </w:tcBorders>
            <w:vAlign w:val="top"/>
          </w:tcPr>
          <w:p>
            <w:pPr>
              <w:jc w:val="left"/>
            </w:pPr>
          </w:p>
        </w:tc>
        <w:tc>
          <w:tcPr>
            <w:tcW w:type="dxa" w:w="1013"/>
            <w:tcBorders>
              <w:top w:val="none" w:color="000000" w:sz="4"/>
              <w:left w:val="single" w:color="000000" w:sz="4"/>
              <w:bottom w:val="single" w:color="000000" w:sz="4"/>
              <w:right w:val="single" w:color="000000" w:sz="4"/>
            </w:tcBorders>
            <w:vAlign w:val="top"/>
          </w:tcPr>
          <w:p>
            <w:pPr>
              <w:jc w:val="left"/>
            </w:pPr>
          </w:p>
        </w:tc>
      </w:tr>
      <w:tr>
        <w:tc>
          <w:tcPr>
            <w:tcW w:type="dxa" w:w="1761"/>
            <w:tcBorders>
              <w:top w:val="none" w:color="000000" w:sz="4"/>
              <w:left w:val="single" w:color="000000" w:sz="4"/>
              <w:bottom w:val="single" w:color="000000" w:sz="4"/>
              <w:right w:val="single" w:color="000000" w:sz="4"/>
            </w:tcBorders>
            <w:vAlign w:val="top"/>
          </w:tcPr>
          <w:p>
            <w:pPr>
              <w:jc w:val="center"/>
            </w:pPr>
            <w:r>
              <w:rPr>
                <w:b/>
                <w:color w:val="000000"/>
                <w:sz w:val="22"/>
              </w:rPr>
              <w:t>合计（含税）</w:t>
            </w:r>
          </w:p>
        </w:tc>
        <w:tc>
          <w:tcPr>
            <w:tcW w:type="dxa" w:w="6545"/>
            <w:gridSpan w:val="5"/>
            <w:tcBorders>
              <w:top w:val="none" w:color="000000" w:sz="4"/>
              <w:left w:val="single" w:color="000000" w:sz="4"/>
              <w:bottom w:val="single" w:color="000000" w:sz="4"/>
              <w:right w:val="single" w:color="000000" w:sz="4"/>
            </w:tcBorders>
            <w:vAlign w:val="top"/>
          </w:tcPr>
          <w:p>
            <w:pPr>
              <w:jc w:val="left"/>
            </w:pPr>
            <w:r>
              <w:rPr>
                <w:b/>
                <w:color w:val="000000"/>
                <w:sz w:val="22"/>
              </w:rPr>
              <w:t>￥</w:t>
            </w:r>
            <w:r>
              <w:rPr>
                <w:b/>
                <w:sz w:val="22"/>
                <w:u w:val="single"/>
              </w:rPr>
              <w:t xml:space="preserve">              </w:t>
            </w:r>
            <w:r>
              <w:rPr>
                <w:b/>
                <w:color w:val="000000"/>
                <w:sz w:val="22"/>
              </w:rPr>
              <w:t xml:space="preserve"> </w:t>
            </w:r>
            <w:r>
              <w:rPr>
                <w:b/>
                <w:color w:val="000000"/>
                <w:sz w:val="22"/>
              </w:rPr>
              <w:t>（大写）：人民币</w:t>
            </w:r>
            <w:r>
              <w:rPr>
                <w:b/>
                <w:sz w:val="22"/>
                <w:u w:val="single"/>
              </w:rPr>
              <w:t xml:space="preserve">            </w:t>
            </w:r>
          </w:p>
        </w:tc>
      </w:tr>
    </w:tbl>
    <w:p>
      <w:pPr>
        <w:ind w:firstLine="440"/>
        <w:jc w:val="left"/>
      </w:pPr>
    </w:p>
    <w:p>
      <w:pPr>
        <w:ind w:firstLine="480"/>
        <w:jc w:val="left"/>
      </w:pPr>
      <w:r>
        <w:rPr>
          <w:sz w:val="24"/>
        </w:rPr>
        <w:t>2.合同服务实施地点：</w:t>
      </w:r>
      <w:r>
        <w:rPr>
          <w:sz w:val="22"/>
          <w:u w:val="single"/>
        </w:rPr>
        <w:t xml:space="preserve">        </w:t>
      </w:r>
      <w:r>
        <w:rPr>
          <w:sz w:val="24"/>
        </w:rPr>
        <w:t>。</w:t>
      </w:r>
    </w:p>
    <w:p>
      <w:pPr>
        <w:ind w:firstLine="480"/>
        <w:jc w:val="right"/>
      </w:pPr>
    </w:p>
    <w:p>
      <w:pPr>
        <w:ind w:firstLine="482"/>
        <w:jc w:val="left"/>
      </w:pPr>
      <w:r>
        <w:rPr>
          <w:b/>
          <w:color w:val="000000"/>
          <w:sz w:val="24"/>
        </w:rPr>
        <w:t>第二条</w:t>
      </w:r>
      <w:r>
        <w:rPr>
          <w:b/>
          <w:color w:val="000000"/>
          <w:sz w:val="24"/>
        </w:rPr>
        <w:t>甲方的权利和义务</w:t>
      </w:r>
    </w:p>
    <w:p>
      <w:pPr>
        <w:ind w:firstLine="480"/>
        <w:jc w:val="left"/>
      </w:pPr>
      <w:r>
        <w:rPr>
          <w:color w:val="000000"/>
          <w:sz w:val="24"/>
        </w:rPr>
        <w:t>1.甲方的权利</w:t>
      </w:r>
    </w:p>
    <w:p>
      <w:pPr>
        <w:ind w:firstLine="480"/>
        <w:jc w:val="left"/>
      </w:pPr>
      <w:r>
        <w:rPr>
          <w:color w:val="000000"/>
          <w:sz w:val="24"/>
        </w:rPr>
        <w:t>（</w:t>
      </w:r>
      <w:r>
        <w:rPr>
          <w:color w:val="000000"/>
          <w:sz w:val="24"/>
        </w:rPr>
        <w:t>1）要求乙方按质按量按期提供合同约定的服务。</w:t>
      </w:r>
    </w:p>
    <w:p>
      <w:pPr>
        <w:ind w:firstLine="480"/>
        <w:jc w:val="left"/>
      </w:pPr>
      <w:r>
        <w:rPr>
          <w:color w:val="000000"/>
          <w:sz w:val="24"/>
        </w:rPr>
        <w:t>（</w:t>
      </w:r>
      <w:r>
        <w:rPr>
          <w:color w:val="000000"/>
          <w:sz w:val="24"/>
        </w:rPr>
        <w:t>2）对乙方提供的服务进行（满意度评价/服务质量评价）。</w:t>
      </w:r>
    </w:p>
    <w:p>
      <w:pPr>
        <w:ind w:firstLine="480"/>
        <w:jc w:val="left"/>
      </w:pPr>
      <w:r>
        <w:rPr>
          <w:color w:val="000000"/>
          <w:sz w:val="24"/>
        </w:rPr>
        <w:t>（</w:t>
      </w:r>
      <w:r>
        <w:rPr>
          <w:color w:val="000000"/>
          <w:sz w:val="24"/>
        </w:rPr>
        <w:t>3）因乙方单方面原因造成的违法、违约等不良行为，甲方不负连带责任。</w:t>
      </w:r>
    </w:p>
    <w:p>
      <w:pPr>
        <w:ind w:firstLine="480"/>
        <w:jc w:val="left"/>
      </w:pPr>
      <w:r>
        <w:rPr>
          <w:color w:val="000000"/>
          <w:sz w:val="24"/>
        </w:rPr>
        <w:t>（</w:t>
      </w:r>
      <w:r>
        <w:rPr>
          <w:color w:val="000000"/>
          <w:sz w:val="24"/>
        </w:rPr>
        <w:t>4）要求乙方提供完全符合甲方要求的具体服务计划。</w:t>
      </w:r>
    </w:p>
    <w:p>
      <w:pPr>
        <w:ind w:firstLine="480"/>
        <w:jc w:val="left"/>
      </w:pPr>
    </w:p>
    <w:p>
      <w:pPr>
        <w:ind w:firstLine="480"/>
        <w:jc w:val="left"/>
      </w:pPr>
      <w:r>
        <w:rPr>
          <w:color w:val="000000"/>
          <w:sz w:val="24"/>
        </w:rPr>
        <w:t>2.甲方的义务</w:t>
      </w:r>
    </w:p>
    <w:p>
      <w:pPr>
        <w:ind w:firstLine="480"/>
        <w:jc w:val="left"/>
      </w:pPr>
      <w:r>
        <w:rPr>
          <w:color w:val="000000"/>
          <w:sz w:val="24"/>
        </w:rPr>
        <w:t>（</w:t>
      </w:r>
      <w:r>
        <w:rPr>
          <w:color w:val="000000"/>
          <w:sz w:val="24"/>
        </w:rPr>
        <w:t>1）为乙方提供必要的工作合作。</w:t>
      </w:r>
    </w:p>
    <w:p>
      <w:pPr>
        <w:ind w:firstLine="480"/>
        <w:jc w:val="left"/>
      </w:pPr>
      <w:r>
        <w:rPr>
          <w:color w:val="000000"/>
          <w:sz w:val="24"/>
        </w:rPr>
        <w:t>（</w:t>
      </w:r>
      <w:r>
        <w:rPr>
          <w:color w:val="000000"/>
          <w:sz w:val="24"/>
        </w:rPr>
        <w:t>2）协调解决项目开展中出现的问题。</w:t>
      </w:r>
    </w:p>
    <w:p>
      <w:pPr>
        <w:ind w:firstLine="480"/>
        <w:jc w:val="left"/>
      </w:pPr>
      <w:r>
        <w:rPr>
          <w:color w:val="000000"/>
          <w:sz w:val="24"/>
        </w:rPr>
        <w:t>（</w:t>
      </w:r>
      <w:r>
        <w:rPr>
          <w:color w:val="000000"/>
          <w:sz w:val="24"/>
        </w:rPr>
        <w:t>3）按规定的方式进行付款。</w:t>
      </w:r>
    </w:p>
    <w:p>
      <w:pPr>
        <w:ind w:firstLine="480"/>
        <w:jc w:val="left"/>
      </w:pPr>
      <w:r>
        <w:rPr>
          <w:color w:val="000000"/>
          <w:sz w:val="24"/>
        </w:rPr>
        <w:t>（</w:t>
      </w:r>
      <w:r>
        <w:rPr>
          <w:color w:val="000000"/>
          <w:sz w:val="24"/>
        </w:rPr>
        <w:t>4）甲方应当有针对乙方服务的（满意度评价/服务质量评价）。</w:t>
      </w:r>
    </w:p>
    <w:p>
      <w:pPr>
        <w:ind w:firstLine="482"/>
        <w:jc w:val="left"/>
      </w:pPr>
    </w:p>
    <w:p>
      <w:pPr>
        <w:ind w:firstLine="482"/>
        <w:jc w:val="left"/>
      </w:pPr>
      <w:r>
        <w:rPr>
          <w:b/>
          <w:color w:val="000000"/>
          <w:sz w:val="24"/>
        </w:rPr>
        <w:t>第三条</w:t>
      </w:r>
      <w:r>
        <w:rPr>
          <w:b/>
          <w:color w:val="000000"/>
          <w:sz w:val="24"/>
        </w:rPr>
        <w:t>乙方的权利和义务</w:t>
      </w:r>
    </w:p>
    <w:p>
      <w:pPr>
        <w:ind w:firstLine="480"/>
        <w:jc w:val="left"/>
      </w:pPr>
      <w:r>
        <w:rPr>
          <w:color w:val="000000"/>
          <w:sz w:val="24"/>
        </w:rPr>
        <w:t>1.乙方的权利</w:t>
      </w:r>
    </w:p>
    <w:p>
      <w:pPr>
        <w:ind w:firstLine="480"/>
        <w:jc w:val="left"/>
      </w:pPr>
      <w:r>
        <w:rPr>
          <w:color w:val="000000"/>
          <w:sz w:val="24"/>
        </w:rPr>
        <w:t>（</w:t>
      </w:r>
      <w:r>
        <w:rPr>
          <w:color w:val="000000"/>
          <w:sz w:val="24"/>
        </w:rPr>
        <w:t>1）要求甲方为本合同项目工作的开展提供必要的资料和协助。</w:t>
      </w:r>
    </w:p>
    <w:p>
      <w:pPr>
        <w:ind w:firstLine="480"/>
        <w:jc w:val="left"/>
      </w:pPr>
      <w:r>
        <w:rPr>
          <w:color w:val="000000"/>
          <w:sz w:val="24"/>
        </w:rPr>
        <w:t>（</w:t>
      </w:r>
      <w:r>
        <w:rPr>
          <w:color w:val="000000"/>
          <w:sz w:val="24"/>
        </w:rPr>
        <w:t>2）要求甲方按本合同约定及时支付合同款项。</w:t>
      </w:r>
    </w:p>
    <w:p>
      <w:pPr>
        <w:ind w:firstLine="480"/>
        <w:jc w:val="left"/>
      </w:pPr>
      <w:r>
        <w:rPr>
          <w:color w:val="000000"/>
          <w:sz w:val="24"/>
        </w:rPr>
        <w:t>2.乙方的义务</w:t>
      </w:r>
    </w:p>
    <w:p>
      <w:pPr>
        <w:ind w:firstLine="480"/>
        <w:jc w:val="left"/>
      </w:pPr>
      <w:r>
        <w:rPr>
          <w:color w:val="000000"/>
          <w:sz w:val="24"/>
        </w:rPr>
        <w:t>（</w:t>
      </w:r>
      <w:r>
        <w:rPr>
          <w:color w:val="000000"/>
          <w:sz w:val="24"/>
        </w:rPr>
        <w:t>1）保证合同项目人员各项证件齐全 ，具备完全胜任合同项目的工作能力。</w:t>
      </w:r>
    </w:p>
    <w:p>
      <w:pPr>
        <w:ind w:firstLine="480"/>
        <w:jc w:val="left"/>
      </w:pPr>
      <w:r>
        <w:rPr>
          <w:color w:val="000000"/>
          <w:sz w:val="24"/>
        </w:rPr>
        <w:t>（</w:t>
      </w:r>
      <w:r>
        <w:rPr>
          <w:color w:val="000000"/>
          <w:sz w:val="24"/>
        </w:rPr>
        <w:t>2）提供完全符合甲方要求的具体服务计划，且实施计划前应先征得甲方同意。</w:t>
      </w:r>
    </w:p>
    <w:p>
      <w:pPr>
        <w:ind w:firstLine="480"/>
        <w:jc w:val="left"/>
      </w:pPr>
      <w:r>
        <w:rPr>
          <w:color w:val="000000"/>
          <w:sz w:val="24"/>
        </w:rPr>
        <w:t>（</w:t>
      </w:r>
      <w:r>
        <w:rPr>
          <w:color w:val="000000"/>
          <w:sz w:val="24"/>
        </w:rPr>
        <w:t>3）向甲方提供满足合同要求的服务，承担与合同服务相关的一切费用。</w:t>
      </w:r>
    </w:p>
    <w:p>
      <w:pPr>
        <w:ind w:firstLine="480"/>
        <w:jc w:val="left"/>
      </w:pPr>
      <w:r>
        <w:rPr>
          <w:color w:val="000000"/>
          <w:sz w:val="24"/>
        </w:rPr>
        <w:t>（</w:t>
      </w:r>
      <w:r>
        <w:rPr>
          <w:color w:val="000000"/>
          <w:sz w:val="24"/>
        </w:rPr>
        <w:t>4）未经甲方同意，不得将本合同的全部或部分事项转委托第三方。</w:t>
      </w:r>
    </w:p>
    <w:p>
      <w:pPr>
        <w:ind w:firstLine="482"/>
        <w:jc w:val="left"/>
      </w:pPr>
    </w:p>
    <w:p>
      <w:pPr>
        <w:ind w:firstLine="482"/>
        <w:jc w:val="left"/>
      </w:pPr>
      <w:r>
        <w:rPr>
          <w:b/>
          <w:color w:val="000000"/>
          <w:sz w:val="24"/>
        </w:rPr>
        <w:t>第四条</w:t>
      </w:r>
      <w:r>
        <w:rPr>
          <w:b/>
          <w:color w:val="000000"/>
          <w:sz w:val="24"/>
        </w:rPr>
        <w:t>服务期限</w:t>
      </w:r>
    </w:p>
    <w:p>
      <w:pPr>
        <w:ind w:firstLine="480"/>
        <w:jc w:val="left"/>
      </w:pPr>
      <w:r>
        <w:rPr>
          <w:color w:val="000000"/>
          <w:sz w:val="24"/>
        </w:rPr>
        <w:t>1.服务期限为</w:t>
      </w:r>
      <w:r>
        <w:rPr>
          <w:color w:val="000000"/>
          <w:sz w:val="24"/>
        </w:rPr>
        <w:t>年，从</w:t>
      </w:r>
      <w:r>
        <w:rPr>
          <w:color w:val="000000"/>
          <w:sz w:val="24"/>
        </w:rPr>
        <w:t>年</w:t>
      </w:r>
      <w:r>
        <w:rPr>
          <w:color w:val="000000"/>
          <w:sz w:val="24"/>
        </w:rPr>
        <w:t>月</w:t>
      </w:r>
      <w:r>
        <w:rPr>
          <w:sz w:val="22"/>
          <w:u w:val="single"/>
        </w:rPr>
        <w:t xml:space="preserve">  </w:t>
      </w:r>
      <w:r>
        <w:rPr>
          <w:color w:val="000000"/>
          <w:sz w:val="24"/>
        </w:rPr>
        <w:t>日至</w:t>
      </w:r>
      <w:r>
        <w:rPr>
          <w:color w:val="000000"/>
          <w:sz w:val="24"/>
        </w:rPr>
        <w:t>年</w:t>
      </w:r>
      <w:r>
        <w:rPr>
          <w:color w:val="000000"/>
          <w:sz w:val="24"/>
        </w:rPr>
        <w:t>月</w:t>
      </w:r>
      <w:r>
        <w:rPr>
          <w:sz w:val="22"/>
          <w:u w:val="single"/>
        </w:rPr>
        <w:t xml:space="preserve">  </w:t>
      </w:r>
      <w:r>
        <w:rPr>
          <w:color w:val="000000"/>
          <w:sz w:val="24"/>
        </w:rPr>
        <w:t>日止。</w:t>
      </w:r>
      <w:r>
        <w:rPr>
          <w:sz w:val="24"/>
        </w:rPr>
        <w:t>甲方有权对乙方的服务质量做满意度评价，若评价结果未达到甲方要求，甲方有权扣罚乙方合同费用。</w:t>
      </w:r>
    </w:p>
    <w:p>
      <w:pPr>
        <w:ind w:firstLine="482"/>
        <w:jc w:val="left"/>
      </w:pPr>
    </w:p>
    <w:p>
      <w:pPr>
        <w:ind w:firstLine="482"/>
        <w:jc w:val="left"/>
      </w:pPr>
      <w:r>
        <w:rPr>
          <w:b/>
          <w:color w:val="000000"/>
          <w:sz w:val="24"/>
        </w:rPr>
        <w:t>第五条</w:t>
      </w:r>
      <w:r>
        <w:rPr>
          <w:b/>
          <w:color w:val="000000"/>
          <w:sz w:val="24"/>
        </w:rPr>
        <w:t>（满意度评价</w:t>
      </w:r>
      <w:r>
        <w:rPr>
          <w:b/>
          <w:color w:val="000000"/>
          <w:sz w:val="24"/>
        </w:rPr>
        <w:t>/服务质量评价）</w:t>
      </w:r>
    </w:p>
    <w:p>
      <w:pPr>
        <w:ind w:firstLine="480"/>
        <w:jc w:val="left"/>
      </w:pPr>
      <w:r>
        <w:rPr>
          <w:color w:val="000000"/>
          <w:sz w:val="24"/>
        </w:rPr>
        <w:t>1.服务期间及服务结束后，甲方都有权就乙方服务情况进行（满意度评价/服务质量评价）。</w:t>
      </w:r>
    </w:p>
    <w:p>
      <w:pPr>
        <w:ind w:firstLine="480"/>
        <w:jc w:val="left"/>
      </w:pPr>
      <w:r>
        <w:rPr>
          <w:color w:val="000000"/>
          <w:sz w:val="24"/>
        </w:rPr>
        <w:t>2.如甲方有新的服务需求，乙方应全面配合。若涉及费用变动，由双方协商。</w:t>
      </w:r>
    </w:p>
    <w:p>
      <w:pPr>
        <w:jc w:val="left"/>
      </w:pPr>
    </w:p>
    <w:p>
      <w:pPr>
        <w:ind w:firstLine="482"/>
        <w:jc w:val="left"/>
      </w:pPr>
      <w:r>
        <w:rPr>
          <w:b/>
          <w:color w:val="000000"/>
          <w:sz w:val="24"/>
        </w:rPr>
        <w:t>第六条</w:t>
      </w:r>
      <w:r>
        <w:rPr>
          <w:b/>
          <w:color w:val="000000"/>
          <w:sz w:val="24"/>
        </w:rPr>
        <w:t>服务保证期</w:t>
      </w:r>
    </w:p>
    <w:p>
      <w:pPr>
        <w:ind w:firstLine="480"/>
        <w:jc w:val="left"/>
      </w:pPr>
      <w:r>
        <w:rPr>
          <w:color w:val="000000"/>
          <w:sz w:val="24"/>
        </w:rPr>
        <w:t>1.合同服务期结束后，乙方须提供</w:t>
      </w:r>
      <w:r>
        <w:rPr>
          <w:sz w:val="22"/>
          <w:u w:val="single"/>
        </w:rPr>
        <w:t xml:space="preserve">    </w:t>
      </w:r>
      <w:r>
        <w:rPr>
          <w:color w:val="000000"/>
          <w:sz w:val="24"/>
        </w:rPr>
        <w:t>年服务保证期（服务保证期的计算自合同服务完成并通过满意度评价合格后开始）。</w:t>
      </w:r>
    </w:p>
    <w:p>
      <w:pPr>
        <w:ind w:firstLine="480"/>
        <w:jc w:val="left"/>
      </w:pPr>
      <w:r>
        <w:rPr>
          <w:color w:val="000000"/>
          <w:sz w:val="24"/>
        </w:rPr>
        <w:t>2.服务保证期内如发现乙方遗留问题或因此而引发的其它问题，乙方应当承担全部责任，并在</w:t>
      </w:r>
      <w:r>
        <w:rPr>
          <w:sz w:val="22"/>
          <w:u w:val="single"/>
        </w:rPr>
        <w:t xml:space="preserve">    </w:t>
      </w:r>
      <w:r>
        <w:rPr>
          <w:color w:val="000000"/>
          <w:sz w:val="24"/>
        </w:rPr>
        <w:t>日内处理，且负责全部费用。</w:t>
      </w:r>
    </w:p>
    <w:p>
      <w:pPr>
        <w:ind w:firstLine="482"/>
        <w:jc w:val="left"/>
      </w:pPr>
    </w:p>
    <w:p>
      <w:pPr>
        <w:ind w:firstLine="482"/>
        <w:jc w:val="left"/>
      </w:pPr>
      <w:r>
        <w:rPr>
          <w:b/>
          <w:color w:val="000000"/>
          <w:sz w:val="24"/>
        </w:rPr>
        <w:t>第七条</w:t>
      </w:r>
      <w:r>
        <w:rPr>
          <w:b/>
          <w:color w:val="000000"/>
          <w:sz w:val="24"/>
        </w:rPr>
        <w:t>付款方式</w:t>
      </w:r>
    </w:p>
    <w:p>
      <w:pPr>
        <w:ind w:firstLine="436"/>
        <w:jc w:val="both"/>
      </w:pPr>
      <w:r>
        <w:rPr>
          <w:sz w:val="24"/>
        </w:rPr>
        <w:t>1.分6期平均支付（按每半年支付一次），</w:t>
      </w:r>
      <w:r>
        <w:rPr>
          <w:color w:val="000000"/>
          <w:sz w:val="24"/>
        </w:rPr>
        <w:t>每个付款周期次月凭乙方开具的有效发票支付。每次付款前，</w:t>
      </w:r>
      <w:r>
        <w:rPr>
          <w:color w:val="000000"/>
          <w:sz w:val="24"/>
        </w:rPr>
        <w:t>乙方</w:t>
      </w:r>
      <w:r>
        <w:rPr>
          <w:color w:val="000000"/>
          <w:sz w:val="24"/>
        </w:rPr>
        <w:t>需按医院管理要求进行服务质量考核且考核合格后方可付款办理</w:t>
      </w:r>
      <w:r>
        <w:rPr>
          <w:sz w:val="24"/>
        </w:rPr>
        <w:t>。</w:t>
      </w:r>
    </w:p>
    <w:p>
      <w:pPr>
        <w:ind w:firstLine="436"/>
        <w:jc w:val="both"/>
      </w:pPr>
      <w:r>
        <w:rPr>
          <w:sz w:val="22"/>
        </w:rPr>
        <w:t>2.合同签订后</w:t>
      </w:r>
      <w:r>
        <w:rPr>
          <w:sz w:val="22"/>
          <w:u w:val="single"/>
        </w:rPr>
        <w:t xml:space="preserve">    </w:t>
      </w:r>
      <w:r>
        <w:rPr>
          <w:sz w:val="22"/>
        </w:rPr>
        <w:t>日内，乙方向甲方交付合同总额的</w:t>
      </w:r>
      <w:r>
        <w:rPr>
          <w:sz w:val="22"/>
          <w:u w:val="single"/>
        </w:rPr>
        <w:t xml:space="preserve"> 5  </w:t>
      </w:r>
      <w:r>
        <w:rPr>
          <w:sz w:val="22"/>
        </w:rPr>
        <w:t>%（即￥</w:t>
      </w:r>
      <w:r>
        <w:rPr>
          <w:sz w:val="22"/>
          <w:u w:val="single"/>
        </w:rPr>
        <w:t xml:space="preserve">     </w:t>
      </w:r>
      <w:r>
        <w:rPr>
          <w:sz w:val="22"/>
        </w:rPr>
        <w:t>）作为履约保证金或提交银行保函。</w:t>
      </w:r>
      <w:r>
        <w:rPr>
          <w:sz w:val="21"/>
        </w:rPr>
        <w:t>履约服务期</w:t>
      </w:r>
      <w:r>
        <w:rPr>
          <w:sz w:val="22"/>
        </w:rPr>
        <w:t>满，经甲方考核合格后，履约保证金不计利息一次性返还。若乙方未按时交付履约保证金或提交银行保函，即视为乙方违约，甲方有权终止合同。</w:t>
      </w:r>
    </w:p>
    <w:p>
      <w:pPr>
        <w:ind w:firstLine="436"/>
        <w:jc w:val="both"/>
      </w:pPr>
      <w:r>
        <w:rPr>
          <w:sz w:val="22"/>
        </w:rPr>
        <w:t xml:space="preserve"> </w:t>
      </w:r>
      <w:r>
        <w:rPr>
          <w:sz w:val="22"/>
        </w:rPr>
        <w:t>3.合同约定的货物送达或服务完成后，经甲方确认验收合格，乙方即出具有效发票给甲方，甲方在收到发票之日起</w:t>
      </w:r>
      <w:r>
        <w:rPr>
          <w:sz w:val="22"/>
          <w:u w:val="single"/>
        </w:rPr>
        <w:t xml:space="preserve">    </w:t>
      </w:r>
      <w:r>
        <w:rPr>
          <w:sz w:val="22"/>
        </w:rPr>
        <w:t>日内，</w:t>
      </w:r>
      <w:r>
        <w:rPr>
          <w:sz w:val="24"/>
        </w:rPr>
        <w:t>分6期平均支付（按每半年支付一次）</w:t>
      </w:r>
      <w:r>
        <w:rPr>
          <w:sz w:val="22"/>
        </w:rPr>
        <w:t>，即￥</w:t>
      </w:r>
      <w:r>
        <w:rPr>
          <w:sz w:val="22"/>
          <w:u w:val="single"/>
        </w:rPr>
        <w:t xml:space="preserve">   </w:t>
      </w:r>
      <w:r>
        <w:rPr>
          <w:sz w:val="22"/>
        </w:rPr>
        <w:t>/期</w:t>
      </w:r>
      <w:r>
        <w:rPr>
          <w:sz w:val="22"/>
        </w:rPr>
        <w:t xml:space="preserve"> </w:t>
      </w:r>
      <w:r>
        <w:rPr>
          <w:sz w:val="22"/>
        </w:rPr>
        <w:t>。</w:t>
      </w:r>
    </w:p>
    <w:p>
      <w:pPr>
        <w:ind w:firstLine="436"/>
        <w:jc w:val="both"/>
      </w:pPr>
      <w:r>
        <w:rPr>
          <w:sz w:val="22"/>
        </w:rPr>
        <w:t xml:space="preserve"> </w:t>
      </w:r>
      <w:r>
        <w:rPr>
          <w:sz w:val="22"/>
        </w:rPr>
        <w:t>4. 乙方银行账号信息</w:t>
      </w:r>
    </w:p>
    <w:p>
      <w:pPr>
        <w:ind w:firstLine="880"/>
        <w:jc w:val="both"/>
      </w:pPr>
      <w:r>
        <w:rPr>
          <w:sz w:val="22"/>
        </w:rPr>
        <w:t>开户名称：</w:t>
      </w:r>
      <w:r>
        <w:rPr>
          <w:sz w:val="22"/>
        </w:rPr>
        <w:t xml:space="preserve">          </w:t>
      </w:r>
    </w:p>
    <w:p>
      <w:pPr>
        <w:ind w:firstLine="875"/>
        <w:jc w:val="both"/>
      </w:pPr>
      <w:r>
        <w:rPr>
          <w:sz w:val="22"/>
        </w:rPr>
        <w:t>银行账户：</w:t>
      </w:r>
      <w:r>
        <w:rPr>
          <w:sz w:val="22"/>
        </w:rPr>
        <w:t xml:space="preserve">            </w:t>
      </w:r>
    </w:p>
    <w:p>
      <w:pPr>
        <w:ind w:firstLine="875"/>
        <w:jc w:val="both"/>
      </w:pPr>
      <w:r>
        <w:rPr>
          <w:sz w:val="22"/>
        </w:rPr>
        <w:t>开户银行：</w:t>
      </w:r>
      <w:r>
        <w:rPr>
          <w:sz w:val="22"/>
        </w:rPr>
        <w:t xml:space="preserve">    </w:t>
      </w:r>
      <w:r>
        <w:rPr>
          <w:sz w:val="22"/>
        </w:rPr>
        <w:t xml:space="preserve">        </w:t>
      </w:r>
    </w:p>
    <w:p>
      <w:r>
        <w:rPr>
          <w:sz w:val="22"/>
        </w:rPr>
        <w:t xml:space="preserve"> </w:t>
      </w:r>
    </w:p>
    <w:p>
      <w:pPr>
        <w:numPr>
          <w:ilvl w:val="0"/>
          <w:numId w:val="1"/>
        </w:numPr>
        <w:jc w:val="left"/>
      </w:pPr>
      <w:r>
        <w:rPr>
          <w:b/>
          <w:color w:val="000000"/>
          <w:sz w:val="24"/>
        </w:rPr>
        <w:t>违约责任</w:t>
      </w:r>
    </w:p>
    <w:p>
      <w:pPr>
        <w:numPr>
          <w:ilvl w:val="0"/>
          <w:numId w:val="1"/>
        </w:numPr>
        <w:jc w:val="left"/>
      </w:pPr>
      <w:r>
        <w:rPr>
          <w:color w:val="000000"/>
          <w:sz w:val="24"/>
        </w:rPr>
        <w:t>如乙方未按甲方确认的服务计划按时完成合同服务内容或甲方延期付款，每逾期一日，违约方应按合同金额</w:t>
      </w:r>
      <w:r>
        <w:rPr>
          <w:sz w:val="22"/>
          <w:u w:val="single"/>
        </w:rPr>
        <w:t xml:space="preserve">   </w:t>
      </w:r>
      <w:r>
        <w:rPr>
          <w:color w:val="000000"/>
          <w:sz w:val="24"/>
        </w:rPr>
        <w:t>%向对方支付违约金，但该违约金累计不超过合同金额的</w:t>
      </w:r>
      <w:r>
        <w:rPr>
          <w:sz w:val="22"/>
          <w:u w:val="single"/>
        </w:rPr>
        <w:t xml:space="preserve">   </w:t>
      </w:r>
      <w:r>
        <w:rPr>
          <w:color w:val="000000"/>
          <w:sz w:val="24"/>
        </w:rPr>
        <w:t>%，逾期超过</w:t>
      </w:r>
      <w:r>
        <w:rPr>
          <w:sz w:val="22"/>
          <w:u w:val="single"/>
        </w:rPr>
        <w:t xml:space="preserve">   </w:t>
      </w:r>
      <w:r>
        <w:rPr>
          <w:color w:val="000000"/>
          <w:sz w:val="24"/>
        </w:rPr>
        <w:t>日，守约方有权解除合同，并要求违约方赔偿由此造成的损失。</w:t>
      </w:r>
    </w:p>
    <w:p>
      <w:pPr>
        <w:numPr>
          <w:ilvl w:val="0"/>
          <w:numId w:val="1"/>
        </w:numPr>
        <w:jc w:val="left"/>
      </w:pPr>
      <w:r>
        <w:rPr>
          <w:color w:val="000000"/>
          <w:sz w:val="24"/>
        </w:rPr>
        <w:t>在服务期间，甲方提出合理的需求，乙方不给予积极配合，则视为乙方违约，应向甲方支付合同金额</w:t>
      </w:r>
      <w:r>
        <w:rPr>
          <w:sz w:val="22"/>
          <w:u w:val="single"/>
        </w:rPr>
        <w:t xml:space="preserve">   </w:t>
      </w:r>
      <w:r>
        <w:rPr>
          <w:color w:val="000000"/>
          <w:sz w:val="24"/>
        </w:rPr>
        <w:t>%的违约金。</w:t>
      </w:r>
    </w:p>
    <w:p>
      <w:pPr>
        <w:ind w:firstLine="480"/>
        <w:jc w:val="left"/>
      </w:pPr>
      <w:r>
        <w:rPr>
          <w:color w:val="000000"/>
          <w:sz w:val="24"/>
        </w:rPr>
        <w:t>3.服务期间，若乙方履行合同不到位，经甲方书面通知</w:t>
      </w:r>
      <w:r>
        <w:rPr>
          <w:sz w:val="22"/>
          <w:u w:val="single"/>
        </w:rPr>
        <w:t xml:space="preserve">   </w:t>
      </w:r>
      <w:r>
        <w:rPr>
          <w:color w:val="000000"/>
          <w:sz w:val="24"/>
        </w:rPr>
        <w:t>天后乙方仍未整改到位的，甲方有权终止合同，并要求乙方支付合同金额</w:t>
      </w:r>
      <w:r>
        <w:rPr>
          <w:sz w:val="22"/>
          <w:u w:val="single"/>
        </w:rPr>
        <w:t xml:space="preserve">   </w:t>
      </w:r>
      <w:r>
        <w:rPr>
          <w:color w:val="000000"/>
          <w:sz w:val="24"/>
        </w:rPr>
        <w:t>%的违约金。</w:t>
      </w:r>
    </w:p>
    <w:p>
      <w:pPr>
        <w:ind w:firstLine="480"/>
        <w:jc w:val="left"/>
      </w:pPr>
      <w:r>
        <w:rPr>
          <w:color w:val="000000"/>
          <w:sz w:val="24"/>
        </w:rPr>
        <w:t>4.一方有违法行为，守约方有权终止合同，并要求违约方支付合同金额</w:t>
      </w:r>
      <w:r>
        <w:rPr>
          <w:sz w:val="22"/>
          <w:u w:val="single"/>
        </w:rPr>
        <w:t xml:space="preserve">   </w:t>
      </w:r>
      <w:r>
        <w:rPr>
          <w:color w:val="000000"/>
          <w:sz w:val="24"/>
        </w:rPr>
        <w:t>%的违约金。</w:t>
      </w:r>
    </w:p>
    <w:p>
      <w:pPr>
        <w:ind w:firstLine="480"/>
        <w:jc w:val="left"/>
      </w:pPr>
    </w:p>
    <w:p>
      <w:pPr>
        <w:ind w:firstLine="482"/>
      </w:pPr>
      <w:r>
        <w:rPr>
          <w:b/>
          <w:color w:val="000000"/>
          <w:sz w:val="24"/>
        </w:rPr>
        <w:t>第九条</w:t>
      </w:r>
      <w:r>
        <w:rPr>
          <w:b/>
          <w:color w:val="000000"/>
          <w:sz w:val="24"/>
        </w:rPr>
        <w:t>不可抗力</w:t>
      </w:r>
    </w:p>
    <w:p>
      <w:pPr>
        <w:ind w:firstLine="480"/>
      </w:pPr>
      <w:r>
        <w:rPr>
          <w:color w:val="000000"/>
          <w:sz w:val="24"/>
        </w:rPr>
        <w:t>任何一方由于不可抗力原因不能履行合同时，应在不可抗力事件发生后</w:t>
      </w:r>
      <w:r>
        <w:rPr>
          <w:color w:val="000000"/>
          <w:sz w:val="24"/>
        </w:rPr>
        <w:t>1</w:t>
      </w:r>
      <w:r>
        <w:rPr>
          <w:color w:val="000000"/>
          <w:sz w:val="24"/>
        </w:rPr>
        <w:t>日内向对方通报，以减轻可能给对方造成的损失，在取得有关机构的不可抗力证明或双方谅解确认后，允许延期履行或终止合同，并根据情况可部分或全部免于承担违约责任。</w:t>
      </w:r>
    </w:p>
    <w:p>
      <w:pPr>
        <w:ind w:firstLine="482"/>
        <w:jc w:val="left"/>
      </w:pPr>
    </w:p>
    <w:p>
      <w:pPr>
        <w:ind w:firstLine="482"/>
        <w:jc w:val="left"/>
      </w:pPr>
      <w:r>
        <w:rPr>
          <w:b/>
          <w:color w:val="000000"/>
          <w:sz w:val="24"/>
        </w:rPr>
        <w:t>第十条</w:t>
      </w:r>
      <w:r>
        <w:rPr>
          <w:b/>
          <w:color w:val="000000"/>
          <w:sz w:val="24"/>
        </w:rPr>
        <w:t>保密条款</w:t>
      </w:r>
    </w:p>
    <w:p>
      <w:pPr>
        <w:ind w:firstLine="480"/>
        <w:jc w:val="left"/>
      </w:pPr>
      <w:r>
        <w:rPr>
          <w:sz w:val="24"/>
        </w:rPr>
        <w:t>乙方对甲方的相关信息负有保密责任，未经甲方许可不得将甲方相关信息外泄。</w:t>
      </w:r>
    </w:p>
    <w:p>
      <w:pPr>
        <w:ind w:firstLine="482"/>
        <w:jc w:val="left"/>
      </w:pPr>
    </w:p>
    <w:p>
      <w:pPr>
        <w:ind w:firstLine="482"/>
        <w:jc w:val="left"/>
      </w:pPr>
      <w:r>
        <w:rPr>
          <w:b/>
          <w:color w:val="000000"/>
          <w:sz w:val="24"/>
        </w:rPr>
        <w:t>第十一条</w:t>
      </w:r>
      <w:r>
        <w:rPr>
          <w:b/>
          <w:color w:val="000000"/>
          <w:sz w:val="24"/>
        </w:rPr>
        <w:t>知识产权条款</w:t>
      </w:r>
    </w:p>
    <w:p>
      <w:pPr>
        <w:ind w:firstLine="480"/>
        <w:jc w:val="left"/>
      </w:pPr>
      <w:r>
        <w:rPr>
          <w:color w:val="000000"/>
          <w:sz w:val="24"/>
        </w:rPr>
        <w:t>乙方合同项下提供的服务内容不得侵犯任何第三方的知识产权。否则，乙方须承担对第三方的侵权责任并承担因此而发生的所有费用。</w:t>
      </w:r>
    </w:p>
    <w:p>
      <w:pPr>
        <w:ind w:firstLine="482"/>
        <w:jc w:val="left"/>
      </w:pPr>
    </w:p>
    <w:p>
      <w:pPr>
        <w:ind w:firstLine="482"/>
        <w:jc w:val="left"/>
      </w:pPr>
      <w:r>
        <w:rPr>
          <w:b/>
          <w:color w:val="000000"/>
          <w:sz w:val="24"/>
        </w:rPr>
        <w:t>第十二条</w:t>
      </w:r>
      <w:r>
        <w:rPr>
          <w:b/>
          <w:color w:val="000000"/>
          <w:sz w:val="24"/>
        </w:rPr>
        <w:t>争议处理</w:t>
      </w:r>
    </w:p>
    <w:p>
      <w:pPr>
        <w:ind w:firstLine="436"/>
      </w:pPr>
      <w:r>
        <w:rPr>
          <w:color w:val="000000"/>
          <w:sz w:val="24"/>
        </w:rPr>
        <w:t>因本合同引起的争议，甲乙双方应首先通过友好协商解决。如协商或调解不能解决争议，则向甲方所在地有管辖权的人民法院提起诉讼。受理期间，双方应继续执行合同其余部分。</w:t>
      </w:r>
    </w:p>
    <w:p>
      <w:pPr>
        <w:ind w:firstLine="482"/>
        <w:jc w:val="left"/>
      </w:pPr>
    </w:p>
    <w:p>
      <w:pPr>
        <w:ind w:firstLine="482"/>
        <w:jc w:val="left"/>
      </w:pPr>
      <w:r>
        <w:rPr>
          <w:b/>
          <w:color w:val="000000"/>
          <w:sz w:val="24"/>
        </w:rPr>
        <w:t xml:space="preserve"> </w:t>
      </w:r>
      <w:r>
        <w:rPr>
          <w:b/>
          <w:color w:val="000000"/>
          <w:sz w:val="24"/>
        </w:rPr>
        <w:t>第十三条</w:t>
      </w:r>
      <w:r>
        <w:rPr>
          <w:b/>
          <w:color w:val="000000"/>
          <w:sz w:val="24"/>
        </w:rPr>
        <w:t>合同生效</w:t>
      </w:r>
    </w:p>
    <w:p>
      <w:pPr>
        <w:ind w:firstLine="480"/>
        <w:jc w:val="left"/>
      </w:pPr>
      <w:r>
        <w:rPr>
          <w:color w:val="000000"/>
          <w:sz w:val="24"/>
        </w:rPr>
        <w:t>1.合同履行期内甲乙双方均不得随意变更或解除合同。合同若有未尽事宜，需经双方共同协商，作出补充规定，补充规定与本合同有同等法律效力。</w:t>
      </w:r>
    </w:p>
    <w:p>
      <w:r>
        <w:rPr>
          <w:b/>
          <w:color w:val="000000"/>
          <w:sz w:val="24"/>
        </w:rPr>
        <w:t>2. 在执行合同的过程中，</w:t>
      </w:r>
      <w:r>
        <w:rPr>
          <w:b/>
          <w:sz w:val="24"/>
        </w:rPr>
        <w:t>详细价格、说明及其它有关合同服务的特定信息由合同附件说明。所有附件及本项目的招投标文件、会议纪要、协议等均为本合同不可分割之一部分。</w:t>
      </w:r>
    </w:p>
    <w:p>
      <w:pPr>
        <w:ind w:firstLine="480"/>
      </w:pPr>
      <w:r>
        <w:rPr>
          <w:sz w:val="24"/>
        </w:rPr>
        <w:t>3.本合同一式</w:t>
      </w:r>
      <w:r>
        <w:rPr>
          <w:sz w:val="22"/>
          <w:u w:val="single"/>
        </w:rPr>
        <w:t xml:space="preserve">   </w:t>
      </w:r>
      <w:r>
        <w:rPr>
          <w:sz w:val="24"/>
        </w:rPr>
        <w:t>份，甲方</w:t>
      </w:r>
      <w:r>
        <w:rPr>
          <w:sz w:val="22"/>
          <w:u w:val="single"/>
        </w:rPr>
        <w:t xml:space="preserve">   </w:t>
      </w:r>
      <w:r>
        <w:rPr>
          <w:sz w:val="24"/>
        </w:rPr>
        <w:t>份、乙方</w:t>
      </w:r>
      <w:r>
        <w:rPr>
          <w:sz w:val="22"/>
          <w:u w:val="single"/>
        </w:rPr>
        <w:t xml:space="preserve">   </w:t>
      </w:r>
      <w:r>
        <w:rPr>
          <w:sz w:val="24"/>
        </w:rPr>
        <w:t>份，</w:t>
      </w:r>
      <w:r>
        <w:rPr>
          <w:sz w:val="24"/>
        </w:rPr>
        <w:t>招标代理机构</w:t>
      </w:r>
      <w:r>
        <w:rPr>
          <w:sz w:val="24"/>
          <w:u w:val="single"/>
        </w:rPr>
        <w:t>壹</w:t>
      </w:r>
      <w:r>
        <w:rPr>
          <w:sz w:val="24"/>
        </w:rPr>
        <w:t>份。</w:t>
      </w:r>
      <w:r>
        <w:rPr>
          <w:color w:val="000000"/>
          <w:sz w:val="24"/>
        </w:rPr>
        <w:t>由甲乙双方签字盖章后生效。</w:t>
      </w:r>
    </w:p>
    <w:p/>
    <w:p>
      <w:pPr>
        <w:ind w:firstLine="472"/>
      </w:pPr>
      <w:r>
        <w:rPr>
          <w:b/>
          <w:color w:val="000000"/>
          <w:sz w:val="24"/>
        </w:rPr>
        <w:t>第十四条</w:t>
      </w:r>
      <w:r>
        <w:rPr>
          <w:b/>
          <w:color w:val="000000"/>
          <w:sz w:val="24"/>
        </w:rPr>
        <w:t>双方需要另外补充说明的其他事项</w:t>
      </w:r>
    </w:p>
    <w:p>
      <w:pPr>
        <w:ind w:firstLine="480"/>
      </w:pPr>
      <w:r>
        <w:rPr>
          <w:sz w:val="22"/>
          <w:u w:val="single"/>
        </w:rPr>
        <w:t xml:space="preserve">                                         </w:t>
      </w:r>
      <w:r>
        <w:rPr>
          <w:color w:val="000000"/>
          <w:sz w:val="24"/>
        </w:rPr>
        <w:t>。</w:t>
      </w:r>
    </w:p>
    <w:p>
      <w:pPr>
        <w:ind w:firstLine="440"/>
      </w:pPr>
    </w:p>
    <w:p>
      <w:pPr>
        <w:jc w:val="left"/>
      </w:pPr>
    </w:p>
    <w:p>
      <w:pPr>
        <w:ind w:firstLine="480"/>
        <w:jc w:val="left"/>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6"/>
        <w:gridCol w:w="4190"/>
      </w:tblGrid>
      <w:tr>
        <w:tc>
          <w:tcPr>
            <w:tcW w:type="dxa" w:w="4116"/>
            <w:tcBorders>
              <w:top w:val="none" w:color="000000" w:sz="4"/>
              <w:left w:val="none" w:color="000000" w:sz="4"/>
              <w:bottom w:val="none" w:color="000000" w:sz="4"/>
              <w:right w:val="none" w:color="000000" w:sz="4"/>
            </w:tcBorders>
            <w:vAlign w:val="top"/>
          </w:tcPr>
          <w:p>
            <w:pPr>
              <w:ind w:firstLine="200"/>
            </w:pPr>
            <w:r>
              <w:rPr>
                <w:sz w:val="24"/>
              </w:rPr>
              <w:t>甲方</w:t>
            </w:r>
            <w:r>
              <w:rPr>
                <w:sz w:val="24"/>
              </w:rPr>
              <w:t>：</w:t>
            </w:r>
          </w:p>
          <w:p>
            <w:pPr>
              <w:ind w:firstLine="200"/>
            </w:pPr>
          </w:p>
        </w:tc>
        <w:tc>
          <w:tcPr>
            <w:tcW w:type="dxa" w:w="4190"/>
            <w:tcBorders>
              <w:top w:val="none" w:color="000000" w:sz="4"/>
              <w:left w:val="none" w:color="000000" w:sz="4"/>
              <w:bottom w:val="none" w:color="000000" w:sz="4"/>
              <w:right w:val="none" w:color="000000" w:sz="4"/>
            </w:tcBorders>
            <w:vAlign w:val="top"/>
          </w:tcPr>
          <w:p>
            <w:pPr>
              <w:ind w:firstLine="200"/>
            </w:pPr>
            <w:r>
              <w:rPr>
                <w:sz w:val="24"/>
              </w:rPr>
              <w:t>乙方</w:t>
            </w:r>
            <w:r>
              <w:rPr>
                <w:sz w:val="24"/>
              </w:rPr>
              <w:t>：</w:t>
            </w:r>
          </w:p>
        </w:tc>
      </w:tr>
      <w:tr>
        <w:tc>
          <w:tcPr>
            <w:tcW w:type="dxa" w:w="4116"/>
            <w:tcBorders>
              <w:top w:val="none" w:color="000000" w:sz="4"/>
              <w:left w:val="none" w:color="000000" w:sz="4"/>
              <w:bottom w:val="none" w:color="000000" w:sz="4"/>
              <w:right w:val="none" w:color="000000" w:sz="4"/>
            </w:tcBorders>
            <w:vAlign w:val="top"/>
          </w:tcPr>
          <w:p>
            <w:pPr>
              <w:ind w:firstLine="200"/>
            </w:pPr>
            <w:r>
              <w:rPr>
                <w:sz w:val="24"/>
              </w:rPr>
              <w:t>法定代表人或授权委托人</w:t>
            </w:r>
            <w:r>
              <w:rPr>
                <w:sz w:val="24"/>
              </w:rPr>
              <w:t>：</w:t>
            </w:r>
          </w:p>
          <w:p>
            <w:pPr>
              <w:ind w:firstLine="200"/>
            </w:pPr>
          </w:p>
        </w:tc>
        <w:tc>
          <w:tcPr>
            <w:tcW w:type="dxa" w:w="4190"/>
            <w:tcBorders>
              <w:top w:val="none" w:color="000000" w:sz="4"/>
              <w:left w:val="none" w:color="000000" w:sz="4"/>
              <w:bottom w:val="none" w:color="000000" w:sz="4"/>
              <w:right w:val="none" w:color="000000" w:sz="4"/>
            </w:tcBorders>
            <w:vAlign w:val="top"/>
          </w:tcPr>
          <w:p>
            <w:pPr>
              <w:ind w:firstLine="200"/>
            </w:pPr>
            <w:r>
              <w:rPr>
                <w:sz w:val="24"/>
              </w:rPr>
              <w:t>法定代表人或授权委托人</w:t>
            </w:r>
            <w:r>
              <w:rPr>
                <w:sz w:val="24"/>
              </w:rPr>
              <w:t>：</w:t>
            </w:r>
            <w:r>
              <w:rPr>
                <w:sz w:val="24"/>
              </w:rPr>
              <w:t xml:space="preserve"> </w:t>
            </w:r>
          </w:p>
        </w:tc>
      </w:tr>
      <w:tr>
        <w:tc>
          <w:tcPr>
            <w:tcW w:type="dxa" w:w="4116"/>
            <w:tcBorders>
              <w:top w:val="none" w:color="000000" w:sz="4"/>
              <w:left w:val="none" w:color="000000" w:sz="4"/>
              <w:bottom w:val="none" w:color="000000" w:sz="4"/>
              <w:right w:val="none" w:color="000000" w:sz="4"/>
            </w:tcBorders>
            <w:vAlign w:val="top"/>
          </w:tcPr>
          <w:p>
            <w:pPr>
              <w:ind w:firstLine="200"/>
            </w:pPr>
            <w:r>
              <w:rPr>
                <w:sz w:val="24"/>
              </w:rPr>
              <w:t>地址</w:t>
            </w:r>
            <w:r>
              <w:rPr>
                <w:sz w:val="24"/>
              </w:rPr>
              <w:t>：</w:t>
            </w:r>
          </w:p>
          <w:p>
            <w:pPr>
              <w:ind w:firstLine="200"/>
            </w:pPr>
          </w:p>
        </w:tc>
        <w:tc>
          <w:tcPr>
            <w:tcW w:type="dxa" w:w="4190"/>
            <w:tcBorders>
              <w:top w:val="none" w:color="000000" w:sz="4"/>
              <w:left w:val="none" w:color="000000" w:sz="4"/>
              <w:bottom w:val="none" w:color="000000" w:sz="4"/>
              <w:right w:val="none" w:color="000000" w:sz="4"/>
            </w:tcBorders>
            <w:vAlign w:val="top"/>
          </w:tcPr>
          <w:p>
            <w:pPr>
              <w:ind w:firstLine="200"/>
            </w:pPr>
            <w:r>
              <w:rPr>
                <w:sz w:val="24"/>
              </w:rPr>
              <w:t>地址</w:t>
            </w:r>
            <w:r>
              <w:rPr>
                <w:sz w:val="24"/>
              </w:rPr>
              <w:t>：</w:t>
            </w:r>
          </w:p>
          <w:p>
            <w:pPr>
              <w:ind w:firstLine="200"/>
            </w:pPr>
          </w:p>
        </w:tc>
      </w:tr>
      <w:tr>
        <w:tc>
          <w:tcPr>
            <w:tcW w:type="dxa" w:w="4116"/>
            <w:tcBorders>
              <w:top w:val="none" w:color="000000" w:sz="4"/>
              <w:left w:val="none" w:color="000000" w:sz="4"/>
              <w:bottom w:val="none" w:color="000000" w:sz="4"/>
              <w:right w:val="none" w:color="000000" w:sz="4"/>
            </w:tcBorders>
            <w:vAlign w:val="top"/>
          </w:tcPr>
          <w:p>
            <w:pPr>
              <w:ind w:firstLine="200"/>
            </w:pPr>
            <w:r>
              <w:rPr>
                <w:sz w:val="24"/>
              </w:rPr>
              <w:t>电话</w:t>
            </w:r>
            <w:r>
              <w:rPr>
                <w:sz w:val="24"/>
              </w:rPr>
              <w:t>：</w:t>
            </w:r>
          </w:p>
          <w:p>
            <w:pPr>
              <w:ind w:firstLine="200"/>
            </w:pPr>
          </w:p>
        </w:tc>
        <w:tc>
          <w:tcPr>
            <w:tcW w:type="dxa" w:w="4190"/>
            <w:tcBorders>
              <w:top w:val="none" w:color="000000" w:sz="4"/>
              <w:left w:val="none" w:color="000000" w:sz="4"/>
              <w:bottom w:val="none" w:color="000000" w:sz="4"/>
              <w:right w:val="none" w:color="000000" w:sz="4"/>
            </w:tcBorders>
            <w:vAlign w:val="top"/>
          </w:tcPr>
          <w:p>
            <w:pPr>
              <w:ind w:firstLine="200"/>
            </w:pPr>
            <w:r>
              <w:rPr>
                <w:sz w:val="24"/>
              </w:rPr>
              <w:t>电话</w:t>
            </w:r>
            <w:r>
              <w:rPr>
                <w:sz w:val="24"/>
              </w:rPr>
              <w:t>：</w:t>
            </w:r>
          </w:p>
          <w:p>
            <w:pPr>
              <w:ind w:firstLine="200"/>
            </w:pPr>
          </w:p>
        </w:tc>
      </w:tr>
      <w:tr>
        <w:tc>
          <w:tcPr>
            <w:tcW w:type="dxa" w:w="4116"/>
            <w:tcBorders>
              <w:top w:val="none" w:color="000000" w:sz="4"/>
              <w:left w:val="none" w:color="000000" w:sz="4"/>
              <w:bottom w:val="none" w:color="000000" w:sz="4"/>
              <w:right w:val="none" w:color="000000" w:sz="4"/>
            </w:tcBorders>
            <w:vAlign w:val="top"/>
          </w:tcPr>
          <w:p>
            <w:pPr>
              <w:ind w:firstLine="200"/>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0"/>
            <w:tcBorders>
              <w:top w:val="none" w:color="000000" w:sz="4"/>
              <w:left w:val="none" w:color="000000" w:sz="4"/>
              <w:bottom w:val="none" w:color="000000" w:sz="4"/>
              <w:right w:val="none" w:color="000000" w:sz="4"/>
            </w:tcBorders>
            <w:vAlign w:val="top"/>
          </w:tcPr>
          <w:p>
            <w:pPr>
              <w:ind w:firstLine="200"/>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200"/>
            </w:pPr>
          </w:p>
        </w:tc>
      </w:tr>
    </w:tbl>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91"/>
        <w:gridCol w:w="1191"/>
        <w:gridCol w:w="799"/>
        <w:gridCol w:w="859"/>
        <w:gridCol w:w="859"/>
        <w:gridCol w:w="1251"/>
        <w:gridCol w:w="1251"/>
        <w:gridCol w:w="904"/>
      </w:tblGrid>
      <w:tr>
        <w:tc>
          <w:tcPr>
            <w:tcW w:type="dxa" w:w="1191"/>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91"/>
            <w:tcBorders>
              <w:top w:val="single" w:color="000000" w:sz="4"/>
              <w:left w:val="none" w:color="000000" w:sz="4"/>
              <w:bottom w:val="single" w:color="000000" w:sz="4"/>
              <w:right w:val="single" w:color="000000" w:sz="4"/>
            </w:tcBorders>
            <w:vAlign w:val="top"/>
          </w:tcPr>
          <w:p>
            <w:pPr>
              <w:jc w:val="center"/>
            </w:pPr>
            <w:r>
              <w:rPr>
                <w:sz w:val="21"/>
              </w:rPr>
              <w:t>规格型号</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251"/>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1251"/>
            <w:tcBorders>
              <w:top w:val="single" w:color="000000" w:sz="4"/>
              <w:left w:val="none" w:color="000000" w:sz="4"/>
              <w:bottom w:val="single" w:color="000000" w:sz="4"/>
              <w:right w:val="single" w:color="000000" w:sz="4"/>
            </w:tcBorders>
            <w:vAlign w:val="top"/>
          </w:tcPr>
          <w:p>
            <w:pPr>
              <w:jc w:val="both"/>
            </w:pPr>
            <w:r>
              <w:rPr>
                <w:sz w:val="21"/>
              </w:rPr>
              <w:t>总价（元）</w:t>
            </w:r>
          </w:p>
        </w:tc>
        <w:tc>
          <w:tcPr>
            <w:tcW w:type="dxa" w:w="904"/>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191"/>
            <w:tcBorders>
              <w:top w:val="none" w:color="000000" w:sz="4"/>
              <w:left w:val="single" w:color="000000" w:sz="4"/>
              <w:bottom w:val="single" w:color="000000" w:sz="4"/>
              <w:right w:val="single" w:color="000000" w:sz="4"/>
            </w:tcBorders>
            <w:vAlign w:val="top"/>
          </w:tcPr>
          <w:p>
            <w:pPr>
              <w:jc w:val="both"/>
            </w:pPr>
          </w:p>
        </w:tc>
        <w:tc>
          <w:tcPr>
            <w:tcW w:type="dxa" w:w="1191"/>
            <w:tcBorders>
              <w:top w:val="none" w:color="000000" w:sz="4"/>
              <w:left w:val="none" w:color="000000" w:sz="4"/>
              <w:bottom w:val="single" w:color="000000" w:sz="4"/>
              <w:right w:val="single" w:color="000000" w:sz="4"/>
            </w:tcBorders>
            <w:vAlign w:val="top"/>
          </w:tcPr>
          <w:p>
            <w:pPr>
              <w:ind w:firstLine="200"/>
              <w:jc w:val="both"/>
            </w:pPr>
          </w:p>
        </w:tc>
        <w:tc>
          <w:tcPr>
            <w:tcW w:type="dxa" w:w="79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904"/>
            <w:tcBorders>
              <w:top w:val="none" w:color="000000" w:sz="4"/>
              <w:left w:val="none" w:color="000000" w:sz="4"/>
              <w:bottom w:val="single" w:color="000000" w:sz="4"/>
              <w:right w:val="single" w:color="000000" w:sz="4"/>
            </w:tcBorders>
            <w:vAlign w:val="top"/>
          </w:tcPr>
          <w:p>
            <w:pPr>
              <w:ind w:firstLine="200"/>
              <w:jc w:val="both"/>
            </w:pPr>
          </w:p>
        </w:tc>
      </w:tr>
      <w:tr>
        <w:tc>
          <w:tcPr>
            <w:tcW w:type="dxa" w:w="1191"/>
            <w:tcBorders>
              <w:top w:val="none" w:color="000000" w:sz="4"/>
              <w:left w:val="single" w:color="000000" w:sz="4"/>
              <w:bottom w:val="single" w:color="000000" w:sz="4"/>
              <w:right w:val="single" w:color="000000" w:sz="4"/>
            </w:tcBorders>
            <w:vAlign w:val="top"/>
          </w:tcPr>
          <w:p>
            <w:pPr>
              <w:ind w:firstLine="200"/>
              <w:jc w:val="both"/>
            </w:pPr>
            <w:r>
              <w:rPr>
                <w:sz w:val="24"/>
              </w:rPr>
              <w:t>总价（元）</w:t>
            </w:r>
          </w:p>
        </w:tc>
        <w:tc>
          <w:tcPr>
            <w:tcW w:type="dxa" w:w="7114"/>
            <w:gridSpan w:val="7"/>
            <w:tcBorders>
              <w:top w:val="none" w:color="000000" w:sz="4"/>
              <w:left w:val="non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第二条合同总额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4"/>
        </w:rPr>
        <w:t>）</w:t>
      </w:r>
      <w:r>
        <w:rPr>
          <w:sz w:val="21"/>
        </w:rPr>
        <w:t xml:space="preserve"> </w:t>
      </w:r>
      <w:r>
        <w:rPr>
          <w:sz w:val="24"/>
        </w:rPr>
        <w:t>乙方交货时间：签订合同后</w:t>
      </w:r>
      <w:r>
        <w:rPr>
          <w:sz w:val="21"/>
          <w:u w:val="single"/>
        </w:rPr>
        <w:t xml:space="preserve"> 4  </w:t>
      </w:r>
      <w:r>
        <w:rPr>
          <w:sz w:val="24"/>
        </w:rPr>
        <w:t>天内。</w:t>
      </w:r>
    </w:p>
    <w:p>
      <w:pPr>
        <w:ind w:firstLine="480"/>
        <w:jc w:val="both"/>
      </w:pPr>
      <w:r>
        <w:rPr>
          <w:sz w:val="24"/>
        </w:rPr>
        <w:t>（</w:t>
      </w:r>
      <w:r>
        <w:rPr>
          <w:sz w:val="24"/>
        </w:rPr>
        <w:t>2</w:t>
      </w:r>
      <w:r>
        <w:rPr>
          <w:sz w:val="24"/>
        </w:rPr>
        <w:t>）</w:t>
      </w:r>
      <w:r>
        <w:rPr>
          <w:sz w:val="21"/>
        </w:rPr>
        <w:t xml:space="preserve"> </w:t>
      </w:r>
      <w:r>
        <w:rPr>
          <w:sz w:val="24"/>
        </w:rPr>
        <w:t>乙方交货地点：甲方指定地点。</w:t>
      </w:r>
    </w:p>
    <w:p>
      <w:pPr>
        <w:ind w:firstLine="480"/>
        <w:jc w:val="both"/>
      </w:pPr>
      <w:r>
        <w:rPr>
          <w:sz w:val="24"/>
        </w:rPr>
        <w:t>3.</w:t>
      </w:r>
      <w:r>
        <w:rPr>
          <w:sz w:val="24"/>
        </w:rPr>
        <w:t>合同设备的安装调试</w:t>
      </w:r>
    </w:p>
    <w:p>
      <w:pPr>
        <w:ind w:firstLine="480"/>
        <w:jc w:val="both"/>
      </w:pPr>
      <w:r>
        <w:rPr>
          <w:sz w:val="24"/>
        </w:rPr>
        <w:t>（</w:t>
      </w:r>
      <w:r>
        <w:rPr>
          <w:sz w:val="24"/>
        </w:rPr>
        <w:t>1</w:t>
      </w:r>
      <w:r>
        <w:rPr>
          <w:sz w:val="24"/>
        </w:rPr>
        <w:t>）</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4"/>
        </w:rPr>
        <w:t>）</w:t>
      </w:r>
      <w:r>
        <w:rPr>
          <w:sz w:val="21"/>
        </w:rPr>
        <w:t xml:space="preserve"> </w:t>
      </w:r>
      <w:r>
        <w:rPr>
          <w:sz w:val="24"/>
        </w:rPr>
        <w:t>乙方安装时须对各安装场地内的其它设备、设施有良好保护措施。</w:t>
      </w:r>
    </w:p>
    <w:p>
      <w:pPr>
        <w:ind w:firstLine="480"/>
        <w:jc w:val="both"/>
      </w:pPr>
      <w:r>
        <w:rPr>
          <w:sz w:val="24"/>
        </w:rPr>
        <w:t>4.</w:t>
      </w:r>
      <w:r>
        <w:rPr>
          <w:sz w:val="24"/>
        </w:rPr>
        <w:t>设备的验收</w:t>
      </w:r>
    </w:p>
    <w:p>
      <w:pPr>
        <w:ind w:firstLine="480"/>
        <w:jc w:val="both"/>
      </w:pPr>
      <w:r>
        <w:rPr>
          <w:sz w:val="24"/>
        </w:rPr>
        <w:t>（</w:t>
      </w:r>
      <w:r>
        <w:rPr>
          <w:sz w:val="24"/>
        </w:rPr>
        <w:t>1</w:t>
      </w:r>
      <w:r>
        <w:rPr>
          <w:sz w:val="24"/>
        </w:rPr>
        <w:t>）合同设备安装调试完成并移交所有资料文档后，经临床科室试用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4"/>
        </w:rPr>
        <w:t>）</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w:t>
      </w:r>
      <w:r>
        <w:rPr>
          <w:sz w:val="24"/>
        </w:rPr>
        <w:t>）国内产品或合资厂的产品必须具备出厂合格证。</w:t>
      </w:r>
    </w:p>
    <w:p>
      <w:pPr>
        <w:ind w:firstLine="480"/>
        <w:jc w:val="both"/>
      </w:pPr>
      <w:r>
        <w:rPr>
          <w:sz w:val="24"/>
        </w:rPr>
        <w:t>（</w:t>
      </w:r>
      <w:r>
        <w:rPr>
          <w:sz w:val="24"/>
        </w:rPr>
        <w:t>5</w:t>
      </w:r>
      <w:r>
        <w:rPr>
          <w:sz w:val="24"/>
        </w:rPr>
        <w:t>）进口产品必须具备省级（或相当于省级）商检部门的检验证明，及正常报关证明。</w:t>
      </w:r>
    </w:p>
    <w:p>
      <w:pPr>
        <w:ind w:firstLine="480"/>
        <w:jc w:val="both"/>
      </w:pPr>
      <w:r>
        <w:rPr>
          <w:sz w:val="24"/>
        </w:rPr>
        <w:t>5.</w:t>
      </w:r>
      <w:r>
        <w:rPr>
          <w:sz w:val="24"/>
        </w:rPr>
        <w:t>如乙方没有及时提供相关证件（如商检证等），有可能影响验收进程，所导致的经济损失，由乙方自行承担。</w:t>
      </w:r>
    </w:p>
    <w:p>
      <w:pPr>
        <w:ind w:firstLine="480"/>
        <w:jc w:val="both"/>
      </w:pPr>
      <w:r>
        <w:rPr>
          <w:sz w:val="24"/>
        </w:rPr>
        <w:t>6.</w:t>
      </w:r>
      <w:r>
        <w:rPr>
          <w:sz w:val="24"/>
        </w:rPr>
        <w:t>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第六条质量保证及售后服务</w:t>
      </w:r>
    </w:p>
    <w:p>
      <w:pPr>
        <w:ind w:firstLine="480"/>
        <w:jc w:val="both"/>
      </w:pPr>
      <w:r>
        <w:rPr>
          <w:sz w:val="24"/>
        </w:rPr>
        <w:t>1.</w:t>
      </w:r>
      <w:r>
        <w:rPr>
          <w:sz w:val="24"/>
        </w:rPr>
        <w:t>乙方保证合同设备是全新、未曾使用过的，其质量、规格及技术特征符合合同附件的要求。</w:t>
      </w:r>
    </w:p>
    <w:p>
      <w:pPr>
        <w:ind w:firstLine="480"/>
        <w:jc w:val="both"/>
      </w:pPr>
      <w:r>
        <w:rPr>
          <w:sz w:val="24"/>
        </w:rPr>
        <w:t>2.</w:t>
      </w:r>
      <w:r>
        <w:rPr>
          <w:sz w:val="24"/>
        </w:rPr>
        <w:t>合同设备保质保用期按生产厂家的标准执行，整机保修期</w:t>
      </w:r>
      <w:r>
        <w:rPr>
          <w:sz w:val="21"/>
          <w:u w:val="single"/>
        </w:rPr>
        <w:t xml:space="preserve"> 1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w:t>
      </w:r>
      <w:r>
        <w:rPr>
          <w:sz w:val="24"/>
        </w:rPr>
        <w:t>货物交付使用后以书面形式承诺维修服务，实行终身维护：</w:t>
      </w:r>
    </w:p>
    <w:p>
      <w:pPr>
        <w:ind w:firstLine="480"/>
        <w:jc w:val="both"/>
      </w:pPr>
      <w:r>
        <w:rPr>
          <w:sz w:val="24"/>
        </w:rPr>
        <w:t>4.</w:t>
      </w:r>
      <w:r>
        <w:rPr>
          <w:sz w:val="24"/>
        </w:rPr>
        <w:t>所有保修服务方式均为乙方上门保修，即由乙方派员到甲方设备使用现场维修，由此产生的一切费用均由乙方承担。</w:t>
      </w:r>
    </w:p>
    <w:p>
      <w:pPr>
        <w:ind w:firstLine="480"/>
        <w:jc w:val="both"/>
      </w:pPr>
      <w:r>
        <w:rPr>
          <w:sz w:val="24"/>
        </w:rPr>
        <w:t>5.</w:t>
      </w:r>
      <w:r>
        <w:rPr>
          <w:sz w:val="24"/>
        </w:rPr>
        <w:t>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w:t>
      </w:r>
      <w:r>
        <w:rPr>
          <w:sz w:val="24"/>
        </w:rPr>
        <w:t>保修期内厂家每年免费回访设备至少</w:t>
      </w:r>
      <w:r>
        <w:rPr>
          <w:sz w:val="21"/>
          <w:u w:val="single"/>
        </w:rPr>
        <w:t xml:space="preserve"> 2  </w:t>
      </w:r>
      <w:r>
        <w:rPr>
          <w:sz w:val="24"/>
        </w:rPr>
        <w:t>次。</w:t>
      </w:r>
    </w:p>
    <w:p>
      <w:pPr>
        <w:ind w:firstLine="480"/>
        <w:jc w:val="both"/>
      </w:pPr>
      <w:r>
        <w:rPr>
          <w:sz w:val="24"/>
        </w:rPr>
        <w:t>8.</w:t>
      </w:r>
      <w:r>
        <w:rPr>
          <w:sz w:val="24"/>
        </w:rPr>
        <w:t>接到报修电话后，厂家工程师</w:t>
      </w:r>
      <w:r>
        <w:rPr>
          <w:sz w:val="21"/>
          <w:u w:val="single"/>
        </w:rPr>
        <w:t xml:space="preserve"> 2 </w:t>
      </w:r>
      <w:r>
        <w:rPr>
          <w:sz w:val="24"/>
        </w:rPr>
        <w:t>小时内响应，</w:t>
      </w:r>
      <w:r>
        <w:rPr>
          <w:sz w:val="21"/>
          <w:u w:val="single"/>
        </w:rPr>
        <w:t xml:space="preserve"> 4  </w:t>
      </w:r>
      <w:r>
        <w:rPr>
          <w:sz w:val="24"/>
        </w:rPr>
        <w:t>小时到达现场，</w:t>
      </w:r>
      <w:r>
        <w:rPr>
          <w:sz w:val="21"/>
          <w:u w:val="single"/>
        </w:rPr>
        <w:t xml:space="preserve"> 24  </w:t>
      </w:r>
      <w:r>
        <w:rPr>
          <w:sz w:val="24"/>
        </w:rPr>
        <w:t>小时内解决问题。</w:t>
      </w:r>
    </w:p>
    <w:p>
      <w:pPr>
        <w:jc w:val="both"/>
      </w:pPr>
    </w:p>
    <w:p>
      <w:pPr>
        <w:jc w:val="both"/>
      </w:pPr>
      <w:r>
        <w:rPr>
          <w:b/>
          <w:sz w:val="24"/>
        </w:rPr>
        <w:t>第七条付款方式及履约保证金</w:t>
      </w:r>
    </w:p>
    <w:p>
      <w:pPr>
        <w:ind w:firstLine="480"/>
        <w:jc w:val="left"/>
      </w:pPr>
      <w:r>
        <w:rPr>
          <w:sz w:val="24"/>
        </w:rPr>
        <w:t>1.</w:t>
      </w:r>
      <w:r>
        <w:rPr>
          <w:sz w:val="24"/>
        </w:rPr>
        <w:t>合同总额支付方式为一次性付款。</w:t>
      </w:r>
    </w:p>
    <w:p>
      <w:pPr>
        <w:ind w:firstLine="480"/>
        <w:jc w:val="left"/>
      </w:pPr>
      <w:r>
        <w:rPr>
          <w:sz w:val="24"/>
        </w:rPr>
        <w:t>2.</w:t>
      </w:r>
      <w:r>
        <w:rPr>
          <w:sz w:val="24"/>
        </w:rPr>
        <w:t>合同签订后</w:t>
      </w:r>
      <w:r>
        <w:rPr>
          <w:sz w:val="21"/>
          <w:u w:val="single"/>
        </w:rPr>
        <w:t xml:space="preserve">    </w:t>
      </w:r>
      <w:r>
        <w:rPr>
          <w:sz w:val="24"/>
        </w:rPr>
        <w:t>日内，乙方向甲方交付合同总额的</w:t>
      </w:r>
      <w:r>
        <w:rPr>
          <w:sz w:val="21"/>
          <w:u w:val="single"/>
        </w:rPr>
        <w:t xml:space="preserve"> 5  </w:t>
      </w:r>
      <w:r>
        <w:rPr>
          <w:sz w:val="24"/>
        </w:rPr>
        <w:t>%</w:t>
      </w:r>
      <w:r>
        <w:rPr>
          <w:sz w:val="24"/>
        </w:rPr>
        <w:t>（即￥</w:t>
      </w:r>
      <w:r>
        <w:rPr>
          <w:sz w:val="21"/>
          <w:u w:val="single"/>
        </w:rPr>
        <w:t xml:space="preserve">     </w:t>
      </w:r>
      <w:r>
        <w:rPr>
          <w:sz w:val="24"/>
        </w:rPr>
        <w:t>）作为履约保证金或提交银行保函。</w:t>
      </w:r>
      <w:r>
        <w:rPr>
          <w:sz w:val="24"/>
        </w:rPr>
        <w:t>履约服务期满</w:t>
      </w:r>
      <w:r>
        <w:rPr>
          <w:sz w:val="24"/>
        </w:rPr>
        <w:t>，经甲方考核合格后，履约保证金不计利息一次性返还。若乙方未按时交付履约保证金或提交银行保函，即视为乙方违约，甲方有权终止合同。</w:t>
      </w:r>
    </w:p>
    <w:p>
      <w:pPr>
        <w:ind w:firstLine="480"/>
        <w:jc w:val="left"/>
      </w:pPr>
      <w:r>
        <w:rPr>
          <w:sz w:val="21"/>
        </w:rPr>
        <w:t xml:space="preserve">    </w:t>
      </w:r>
      <w:r>
        <w:rPr>
          <w:sz w:val="24"/>
        </w:rPr>
        <w:t>3.</w:t>
      </w:r>
      <w:r>
        <w:rPr>
          <w:sz w:val="24"/>
        </w:rPr>
        <w:t>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w:t>
      </w:r>
      <w:r>
        <w:rPr>
          <w:sz w:val="24"/>
        </w:rPr>
        <w:t>的合同费用，即￥</w:t>
      </w:r>
      <w:r>
        <w:rPr>
          <w:sz w:val="21"/>
          <w:u w:val="single"/>
        </w:rPr>
        <w:t xml:space="preserve">      </w:t>
      </w:r>
      <w:r>
        <w:rPr>
          <w:sz w:val="24"/>
        </w:rPr>
        <w:t>。</w:t>
      </w:r>
    </w:p>
    <w:p>
      <w:pPr>
        <w:ind w:firstLine="480"/>
        <w:jc w:val="left"/>
      </w:pPr>
      <w:r>
        <w:rPr>
          <w:sz w:val="21"/>
        </w:rPr>
        <w:t xml:space="preserve">    </w:t>
      </w:r>
      <w:r>
        <w:rPr>
          <w:sz w:val="24"/>
        </w:rPr>
        <w:t>4.</w:t>
      </w:r>
      <w:r>
        <w:rPr>
          <w:sz w:val="24"/>
        </w:rPr>
        <w:t>乙方银行账号信息</w:t>
      </w:r>
    </w:p>
    <w:p>
      <w:pPr>
        <w:ind w:firstLine="480"/>
        <w:jc w:val="left"/>
      </w:pPr>
      <w:r>
        <w:rPr>
          <w:sz w:val="21"/>
        </w:rPr>
        <w:t xml:space="preserve">    </w:t>
      </w:r>
      <w:r>
        <w:rPr>
          <w:sz w:val="24"/>
        </w:rPr>
        <w:t>开户名称：</w:t>
      </w:r>
      <w:r>
        <w:rPr>
          <w:sz w:val="21"/>
          <w:u w:val="single"/>
        </w:rPr>
        <w:t xml:space="preserve">           </w:t>
      </w:r>
    </w:p>
    <w:p>
      <w:pPr>
        <w:ind w:firstLine="480"/>
        <w:jc w:val="left"/>
      </w:pPr>
      <w:r>
        <w:rPr>
          <w:sz w:val="24"/>
        </w:rPr>
        <w:t xml:space="preserve">  </w:t>
      </w:r>
      <w:r>
        <w:rPr>
          <w:sz w:val="24"/>
        </w:rPr>
        <w:t>银行账户：</w:t>
      </w:r>
      <w:r>
        <w:rPr>
          <w:sz w:val="21"/>
          <w:u w:val="single"/>
        </w:rPr>
        <w:t xml:space="preserve">             </w:t>
      </w:r>
    </w:p>
    <w:p>
      <w:pPr>
        <w:ind w:firstLine="480"/>
        <w:jc w:val="left"/>
      </w:pPr>
      <w:r>
        <w:rPr>
          <w:sz w:val="24"/>
        </w:rPr>
        <w:t xml:space="preserve">  </w:t>
      </w:r>
      <w:r>
        <w:rPr>
          <w:sz w:val="24"/>
        </w:rPr>
        <w:t>开户银行：</w:t>
      </w:r>
      <w:r>
        <w:rPr>
          <w:sz w:val="21"/>
        </w:rPr>
        <w:t xml:space="preserve">            </w:t>
      </w:r>
    </w:p>
    <w:p>
      <w:pPr>
        <w:jc w:val="left"/>
      </w:pPr>
      <w:r>
        <w:rPr>
          <w:sz w:val="21"/>
        </w:rPr>
        <w:t xml:space="preserve"> </w:t>
      </w:r>
    </w:p>
    <w:p>
      <w:pPr>
        <w:jc w:val="both"/>
      </w:pPr>
      <w:r>
        <w:rPr>
          <w:b/>
          <w:sz w:val="24"/>
        </w:rPr>
        <w:t>第八条技术服务</w:t>
      </w:r>
    </w:p>
    <w:p>
      <w:pPr>
        <w:ind w:firstLine="480"/>
        <w:jc w:val="both"/>
      </w:pPr>
      <w:r>
        <w:rPr>
          <w:sz w:val="24"/>
        </w:rPr>
        <w:t>1</w:t>
      </w:r>
      <w:r>
        <w:rPr>
          <w:sz w:val="24"/>
        </w:rPr>
        <w:t>乙方应派员到甲方指定地点配合工作。</w:t>
      </w:r>
    </w:p>
    <w:p>
      <w:pPr>
        <w:ind w:firstLine="480"/>
        <w:jc w:val="both"/>
      </w:pPr>
      <w:r>
        <w:rPr>
          <w:sz w:val="24"/>
        </w:rPr>
        <w:t>2</w:t>
      </w:r>
      <w:r>
        <w:rPr>
          <w:sz w:val="24"/>
        </w:rPr>
        <w:t>乙方按甲方提供的合同执行进度计划，再配合甲方及有关单位，以此做好合同执行进度上的配合工作。</w:t>
      </w:r>
    </w:p>
    <w:p>
      <w:pPr>
        <w:jc w:val="both"/>
      </w:pPr>
    </w:p>
    <w:p>
      <w:pPr>
        <w:jc w:val="both"/>
      </w:pPr>
      <w:r>
        <w:rPr>
          <w:b/>
          <w:sz w:val="24"/>
        </w:rPr>
        <w:t>第九条不可抗力</w:t>
      </w:r>
    </w:p>
    <w:p>
      <w:pPr>
        <w:ind w:firstLine="480"/>
        <w:jc w:val="both"/>
      </w:pPr>
      <w:r>
        <w:rPr>
          <w:sz w:val="24"/>
        </w:rPr>
        <w:t>1.</w:t>
      </w:r>
      <w:r>
        <w:rPr>
          <w:sz w:val="24"/>
        </w:rPr>
        <w:t>不可抗力指战争、严重火灾、洪水、台风、地震等或其它双方认定的不可抗力事件。</w:t>
      </w:r>
    </w:p>
    <w:p>
      <w:pPr>
        <w:ind w:firstLine="480"/>
        <w:jc w:val="both"/>
      </w:pP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第十条索赔</w:t>
      </w:r>
    </w:p>
    <w:p>
      <w:pPr>
        <w:ind w:firstLine="436"/>
        <w:jc w:val="both"/>
      </w:pPr>
      <w:r>
        <w:rPr>
          <w:sz w:val="24"/>
        </w:rPr>
        <w:t>1.</w:t>
      </w:r>
      <w:r>
        <w:rPr>
          <w:sz w:val="24"/>
        </w:rPr>
        <w:t>如有异议，甲方有权根据有关政府部门的检验结果向乙方提出索赔。</w:t>
      </w:r>
    </w:p>
    <w:p>
      <w:pPr>
        <w:ind w:firstLine="436"/>
        <w:jc w:val="both"/>
      </w:pPr>
      <w:r>
        <w:rPr>
          <w:sz w:val="24"/>
        </w:rPr>
        <w:t>2.</w:t>
      </w:r>
      <w:r>
        <w:rPr>
          <w:sz w:val="24"/>
        </w:rPr>
        <w:t>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第十一条违约与处罚</w:t>
      </w:r>
    </w:p>
    <w:p>
      <w:pPr>
        <w:ind w:firstLine="436"/>
        <w:jc w:val="both"/>
      </w:pPr>
      <w:r>
        <w:rPr>
          <w:sz w:val="24"/>
        </w:rPr>
        <w:t>1.</w:t>
      </w:r>
      <w:r>
        <w:rPr>
          <w:sz w:val="24"/>
        </w:rPr>
        <w:t>甲方应依合同规定时间内，向乙方支付货款，每拖延一天乙方可向甲方加收合同总额的</w:t>
      </w:r>
      <w:r>
        <w:rPr>
          <w:sz w:val="21"/>
          <w:u w:val="single"/>
        </w:rPr>
        <w:t xml:space="preserve">    </w:t>
      </w:r>
      <w:r>
        <w:rPr>
          <w:sz w:val="24"/>
        </w:rPr>
        <w:t>‰</w:t>
      </w:r>
      <w:r>
        <w:rPr>
          <w:sz w:val="24"/>
        </w:rPr>
        <w:t>的违约金。</w:t>
      </w:r>
    </w:p>
    <w:p>
      <w:pPr>
        <w:ind w:firstLine="436"/>
        <w:jc w:val="both"/>
      </w:pPr>
      <w:r>
        <w:rPr>
          <w:sz w:val="24"/>
        </w:rPr>
        <w:t>2.</w:t>
      </w:r>
      <w:r>
        <w:rPr>
          <w:sz w:val="24"/>
        </w:rPr>
        <w:t>乙方未能按时交货，每拖延一天，须向甲方支付合同总额的</w:t>
      </w:r>
      <w:r>
        <w:rPr>
          <w:sz w:val="21"/>
          <w:u w:val="single"/>
        </w:rPr>
        <w:t xml:space="preserve">    </w:t>
      </w:r>
      <w:r>
        <w:rPr>
          <w:sz w:val="24"/>
        </w:rPr>
        <w:t>‰</w:t>
      </w:r>
      <w:r>
        <w:rPr>
          <w:sz w:val="24"/>
        </w:rPr>
        <w:t>的违约金。</w:t>
      </w:r>
    </w:p>
    <w:p>
      <w:pPr>
        <w:ind w:firstLine="436"/>
        <w:jc w:val="both"/>
      </w:pPr>
      <w:r>
        <w:rPr>
          <w:sz w:val="24"/>
        </w:rPr>
        <w:t>3.</w:t>
      </w:r>
      <w:r>
        <w:rPr>
          <w:sz w:val="24"/>
        </w:rPr>
        <w:t>乙方交付的货物不符合合同规定的，甲方有权拒收，乙方向甲方支付合同总额的</w:t>
      </w:r>
      <w:r>
        <w:rPr>
          <w:sz w:val="24"/>
        </w:rPr>
        <w:t>10</w:t>
      </w:r>
      <w:r>
        <w:rPr>
          <w:sz w:val="24"/>
        </w:rPr>
        <w:t>％的违约金。</w:t>
      </w:r>
    </w:p>
    <w:p>
      <w:pPr>
        <w:ind w:firstLine="436"/>
        <w:jc w:val="both"/>
      </w:pPr>
      <w:r>
        <w:rPr>
          <w:sz w:val="24"/>
        </w:rPr>
        <w:t>4.</w:t>
      </w:r>
      <w:r>
        <w:rPr>
          <w:sz w:val="24"/>
        </w:rPr>
        <w:t>甲方无正当理由拒收货物的，甲方向乙方支付合同总额的</w:t>
      </w:r>
      <w:r>
        <w:rPr>
          <w:sz w:val="24"/>
        </w:rPr>
        <w:t>10</w:t>
      </w:r>
      <w:r>
        <w:rPr>
          <w:sz w:val="24"/>
        </w:rPr>
        <w:t>％的违约金。</w:t>
      </w:r>
    </w:p>
    <w:p>
      <w:pPr>
        <w:ind w:firstLine="436"/>
        <w:jc w:val="both"/>
      </w:pPr>
      <w:r>
        <w:rPr>
          <w:sz w:val="24"/>
        </w:rPr>
        <w:t>5.</w:t>
      </w:r>
      <w:r>
        <w:rPr>
          <w:sz w:val="21"/>
        </w:rPr>
        <w:t xml:space="preserve"> </w:t>
      </w:r>
      <w:r>
        <w:rPr>
          <w:sz w:val="24"/>
        </w:rPr>
        <w:t>乙方未能交付货物，则向甲方支付合同总额的</w:t>
      </w:r>
      <w:r>
        <w:rPr>
          <w:sz w:val="24"/>
        </w:rPr>
        <w:t>10</w:t>
      </w:r>
      <w:r>
        <w:rPr>
          <w:sz w:val="24"/>
        </w:rPr>
        <w:t>％的违约金。</w:t>
      </w:r>
    </w:p>
    <w:p>
      <w:pPr>
        <w:jc w:val="both"/>
      </w:pPr>
    </w:p>
    <w:p>
      <w:pPr>
        <w:jc w:val="both"/>
      </w:pPr>
      <w:r>
        <w:rPr>
          <w:b/>
          <w:sz w:val="24"/>
        </w:rPr>
        <w:t>第十二条合同终止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第十四条其它</w:t>
      </w:r>
    </w:p>
    <w:p>
      <w:pPr>
        <w:ind w:firstLine="436"/>
        <w:jc w:val="both"/>
      </w:pPr>
      <w:r>
        <w:rPr>
          <w:sz w:val="24"/>
        </w:rPr>
        <w:t>1.</w:t>
      </w:r>
      <w:r>
        <w:rPr>
          <w:sz w:val="24"/>
        </w:rPr>
        <w:t>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w:t>
      </w:r>
      <w:r>
        <w:rPr>
          <w:sz w:val="24"/>
        </w:rPr>
        <w:t>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签订日期：年月日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签订日期：年月日</w:t>
            </w:r>
          </w:p>
          <w:p>
            <w:pPr>
              <w:ind w:firstLine="200"/>
              <w:jc w:val="both"/>
            </w:pPr>
          </w:p>
        </w:tc>
      </w:tr>
    </w:tbl>
    <w:p>
      <w:r>
        <w:rPr/>
        <w:t xml:space="preserve"> </w:t>
      </w:r>
    </w:p>
    <w:p>
      <w:r>
        <w:rPr/>
        <w:t xml:space="preserve"> </w:t>
      </w:r>
    </w:p>
    <w:p>
      <w:r>
        <w:rPr/>
        <w:t xml:space="preserve"> </w:t>
      </w:r>
    </w:p>
    <w:p>
      <w:r>
        <w:rPr/>
        <w:t xml:space="preserve"> </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442000-2022-07269</w:t>
      </w:r>
    </w:p>
    <w:p>
      <w:pPr>
        <w:jc w:val="center"/>
      </w:pPr>
      <w:r>
        <w:rPr>
          <w:b/>
          <w:sz w:val="24"/>
        </w:rPr>
        <w:t>采购项目编号：</w:t>
      </w:r>
      <w:r>
        <w:rPr>
          <w:b/>
          <w:sz w:val="24"/>
        </w:rPr>
        <w:t>442000-2022-07269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中山市人民医院四台影像设备（CT、DSA、MR）保修服务及CT球管采购项目</w:t>
      </w:r>
      <w:r>
        <w:rPr>
          <w:u w:val="single"/>
        </w:rPr>
        <w:t>”</w:t>
      </w:r>
      <w:r>
        <w:rPr/>
        <w:t>项目的招标[采购项目编号为：</w:t>
      </w:r>
      <w:r>
        <w:rPr>
          <w:u w:val="single"/>
        </w:rPr>
        <w:t>442000-2022-07269</w:t>
      </w:r>
      <w:r>
        <w:rPr/>
        <w:t>]，我方愿参与投标。</w:t>
      </w:r>
    </w:p>
    <w:p>
      <w:pPr>
        <w:ind w:firstLine="480"/>
      </w:pPr>
      <w:r>
        <w:rPr/>
        <w:t>我方确认收到贵方提供的</w:t>
      </w:r>
      <w:r>
        <w:rPr>
          <w:u w:val="single"/>
        </w:rPr>
        <w:t>“</w:t>
      </w:r>
      <w:r>
        <w:rPr>
          <w:u w:val="single"/>
        </w:rPr>
        <w:t>中山市人民医院四台影像设备（CT、DSA、MR）保修服务及CT球管采购项目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中山市人民医院四台影像设备（CT、DSA、MR）保修服务及CT球管采购项目</w:t>
      </w:r>
      <w:r>
        <w:rPr/>
        <w:t>”项目采购[采购项目编号为</w:t>
      </w:r>
      <w:r>
        <w:rPr/>
        <w:t>442000-2022-07269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中山市人民医院四台影像设备（CT、DSA、MR）保修服务及CT球管采购项目</w:t>
      </w:r>
      <w:r>
        <w:rPr/>
        <w:t>招标中获中标（采购项目编号：</w:t>
      </w:r>
      <w:r>
        <w:rPr/>
        <w:t>442000-2022-07269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中山市人民医院四台影像设备（CT、DSA、MR）保修服务及CT球管采购项目</w:t>
      </w:r>
      <w:r>
        <w:rPr/>
        <w:t>”项目（采购项目编号：</w:t>
      </w:r>
      <w:r>
        <w:rPr/>
        <w:t>442000-2022-07269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