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442000001-2023-00342</w:t>
      </w:r>
    </w:p>
    <w:p>
      <w:pPr>
        <w:jc w:val="center"/>
      </w:pPr>
      <w:r>
        <w:rPr>
          <w:b/>
          <w:sz w:val="24"/>
        </w:rPr>
        <w:t>采购项目编号：</w:t>
      </w:r>
      <w:r>
        <w:rPr>
          <w:b/>
          <w:sz w:val="24"/>
        </w:rPr>
        <w:t>442000001-2023-00342</w:t>
      </w:r>
    </w:p>
    <w:p>
      <w:pPr>
        <w:jc w:val="center"/>
      </w:pPr>
      <w:r>
        <w:rPr>
          <w:b/>
          <w:sz w:val="24"/>
        </w:rPr>
        <w:t>项目名称：</w:t>
      </w:r>
      <w:r>
        <w:rPr>
          <w:b/>
          <w:sz w:val="24"/>
        </w:rPr>
        <w:t>中山市石岐中学田径运动场翻新改造工程</w:t>
      </w:r>
    </w:p>
    <w:p>
      <w:pPr>
        <w:jc w:val="center"/>
      </w:pPr>
      <w:r>
        <w:rPr>
          <w:b/>
          <w:sz w:val="24"/>
        </w:rPr>
        <w:t>采购人：</w:t>
      </w:r>
      <w:r>
        <w:rPr>
          <w:b/>
          <w:sz w:val="24"/>
        </w:rPr>
        <w:t>中山市石岐中学</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中山市石岐中学</w:t>
      </w:r>
      <w:r>
        <w:rPr/>
        <w:t>的委托，采用</w:t>
      </w:r>
      <w:r>
        <w:rPr/>
        <w:t>竞争性磋商</w:t>
      </w:r>
      <w:r>
        <w:rPr/>
        <w:t>方式组织采购</w:t>
      </w:r>
      <w:r>
        <w:rPr/>
        <w:t>中山市石岐中学田径运动场翻新改造工程</w:t>
      </w:r>
      <w:r>
        <w:rPr/>
        <w:t>。欢迎符合资格条件的供应商参加。</w:t>
      </w:r>
    </w:p>
    <w:p>
      <w:r>
        <w:rPr>
          <w:b/>
          <w:sz w:val="28"/>
        </w:rPr>
        <w:t>一.项目概述</w:t>
      </w:r>
    </w:p>
    <w:p>
      <w:r>
        <w:rPr>
          <w:b/>
          <w:sz w:val="24"/>
        </w:rPr>
        <w:t>1.名称与编号</w:t>
      </w:r>
    </w:p>
    <w:p>
      <w:pPr>
        <w:ind w:firstLine="480"/>
      </w:pPr>
      <w:r>
        <w:rPr/>
        <w:t>采购项目名称：</w:t>
      </w:r>
      <w:r>
        <w:rPr/>
        <w:t>中山市石岐中学田径运动场翻新改造工程</w:t>
      </w:r>
    </w:p>
    <w:p>
      <w:pPr>
        <w:ind w:firstLine="480"/>
      </w:pPr>
      <w:r>
        <w:rPr/>
        <w:t>采购计划编号：</w:t>
      </w:r>
      <w:r>
        <w:rPr/>
        <w:t>442000001-2023-00342</w:t>
      </w:r>
    </w:p>
    <w:p>
      <w:pPr>
        <w:ind w:firstLine="480"/>
      </w:pPr>
      <w:r>
        <w:rPr/>
        <w:t>采购项目编号：</w:t>
      </w:r>
      <w:r>
        <w:rPr/>
        <w:t>442000001-2023-00342</w:t>
      </w:r>
    </w:p>
    <w:p>
      <w:pPr>
        <w:ind w:firstLine="480"/>
      </w:pPr>
      <w:r>
        <w:rPr/>
        <w:t>采购方式：</w:t>
      </w:r>
      <w:r>
        <w:rPr/>
        <w:t>竞争性磋商</w:t>
      </w:r>
    </w:p>
    <w:p>
      <w:pPr>
        <w:ind w:firstLine="480"/>
      </w:pPr>
      <w:r>
        <w:rPr/>
        <w:t>预算金额：</w:t>
      </w:r>
      <w:r>
        <w:rPr/>
        <w:t>2,489,747.34</w:t>
      </w:r>
      <w:r>
        <w:rPr/>
        <w:t>元</w:t>
      </w:r>
    </w:p>
    <w:p>
      <w:r>
        <w:rPr>
          <w:b/>
          <w:sz w:val="24"/>
        </w:rPr>
        <w:t>2.项目内容及需求情况（采购项目技术规格、参数及要求）</w:t>
      </w:r>
    </w:p>
    <w:p>
      <w:pPr>
        <w:ind w:firstLine="480"/>
      </w:pPr>
    </w:p>
    <w:p/>
    <w:p>
      <w:r>
        <w:rPr/>
        <w:t>采购包1(中山市石岐中学田径运动场翻新改造工程):</w:t>
      </w:r>
    </w:p>
    <w:p>
      <w:r>
        <w:rPr/>
        <w:t>采购包预算金额：2,489,747.34元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其他建筑工程</w:t>
            </w:r>
          </w:p>
        </w:tc>
        <w:tc>
          <w:tcPr>
            <w:tcW w:type="dxa" w:w="2136"/>
          </w:tcPr>
          <w:p>
            <w:r>
              <w:rPr/>
              <w:t>田径运动场翻新改造工程</w:t>
            </w:r>
          </w:p>
        </w:tc>
        <w:tc>
          <w:tcPr>
            <w:tcW w:type="dxa" w:w="1187"/>
          </w:tcPr>
          <w:p>
            <w:r>
              <w:rPr/>
              <w:t>1.00(宗)</w:t>
            </w:r>
          </w:p>
        </w:tc>
        <w:tc>
          <w:tcPr>
            <w:tcW w:type="dxa" w:w="1187"/>
          </w:tcPr>
          <w:p>
            <w:r>
              <w:rPr/>
              <w:t>详见第二章</w:t>
            </w:r>
          </w:p>
        </w:tc>
        <w:tc>
          <w:tcPr>
            <w:tcW w:type="dxa" w:w="1187"/>
          </w:tcPr>
          <w:p>
            <w:r>
              <w:rPr/>
              <w:t>否</w:t>
            </w:r>
          </w:p>
        </w:tc>
      </w:tr>
    </w:tbl>
    <w:p/>
    <w:p>
      <w:r>
        <w:rPr/>
        <w:t>本采购包不接受联合体响应</w:t>
      </w:r>
    </w:p>
    <w:p/>
    <w:p>
      <w:r>
        <w:rPr/>
        <w:t>合同履行期限：自合同签订后20个日历天内完工（需确保8月22日前完工），具体开工时间以监理单位或采购人签署的开工通知为准）。因成交供应商原因致使工期延误，对成交供应商处以1000元/天的违约金，但违约金总额不超过合同价的10%；由于成交供应商责任造成的拖延工期，成交供应商还应赔偿采购人因此所增加的相关费用。由于采购人原因造成的工期延长，总工期可顺延。</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 。</w:t>
      </w:r>
    </w:p>
    <w:p/>
    <w:p>
      <w:r>
        <w:rPr/>
        <w:t>4）履行合同所必需的设备和专业技术能力：请在响应文件里提供承诺书或说明书。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采购包1（中山市石岐中学田径运动场翻新改造工程）：</w:t>
      </w:r>
      <w:r>
        <w:rPr/>
        <w:t>本项目专门面向中小企业采购，参与的供应商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必须与本项目采购文件中明确的所属行业（建筑业）一致；根据附件2《中小企业划型标准规定》以单位上一年度经济数据自行判定是否属于建筑业中小微企业，符合中小微类型的方可参与本项目的投标。</w:t>
      </w:r>
    </w:p>
    <w:p/>
    <w:p>
      <w:r>
        <w:rPr>
          <w:b/>
          <w:sz w:val="24"/>
        </w:rPr>
        <w:t>3.本项目特定的资格要求：</w:t>
      </w:r>
    </w:p>
    <w:p>
      <w:pPr>
        <w:ind w:firstLine="480"/>
      </w:pPr>
    </w:p>
    <w:p/>
    <w:p>
      <w:r>
        <w:rPr/>
        <w:t>采购包1（中山市石岐中学田径运动场翻新改造工程）：</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3)供应商具备有效期内的建筑工程施工总承包三级（含三级）以上资质或市政公用工程施工总承包三级（含三级）以上资质，提供证书复印件。</w:t>
      </w:r>
    </w:p>
    <w:p/>
    <w:p>
      <w:r>
        <w:rPr/>
        <w:t>4)供应商具有有效期内的安全生产许可证，提供证书复印件。</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中山市石岐中学</w:t>
      </w:r>
    </w:p>
    <w:p>
      <w:pPr>
        <w:ind w:firstLine="480"/>
      </w:pPr>
      <w:r>
        <w:rPr/>
        <w:t>地址：</w:t>
      </w:r>
      <w:r>
        <w:rPr/>
        <w:t>中山市石岐街道康华路1号</w:t>
      </w:r>
    </w:p>
    <w:p>
      <w:pPr>
        <w:ind w:firstLine="480"/>
      </w:pPr>
      <w:r>
        <w:rPr/>
        <w:t>联系方式：</w:t>
      </w:r>
      <w:r>
        <w:rPr/>
        <w:t>0760-88830526</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2"/>
        </w:rPr>
        <w:t>1.项目名称：</w:t>
      </w:r>
      <w:r>
        <w:rPr>
          <w:sz w:val="22"/>
        </w:rPr>
        <w:t>中山市石岐中学田径运动场翻新改造工程</w:t>
      </w:r>
    </w:p>
    <w:p>
      <w:pPr>
        <w:jc w:val="both"/>
      </w:pPr>
      <w:r>
        <w:rPr>
          <w:sz w:val="22"/>
        </w:rPr>
        <w:t>2.项目编号：442000001-2023-00342</w:t>
      </w:r>
    </w:p>
    <w:p>
      <w:pPr>
        <w:jc w:val="left"/>
      </w:pPr>
      <w:r>
        <w:rPr>
          <w:sz w:val="22"/>
        </w:rPr>
        <w:t>3.预算金额：2489747.34</w:t>
      </w:r>
      <w:r>
        <w:rPr>
          <w:sz w:val="22"/>
        </w:rPr>
        <w:t>元</w:t>
      </w:r>
    </w:p>
    <w:p>
      <w:pPr>
        <w:jc w:val="left"/>
      </w:pPr>
      <w:r>
        <w:rPr>
          <w:sz w:val="22"/>
        </w:rPr>
        <w:t>4.预算复核金额：2448449.73元</w:t>
      </w:r>
    </w:p>
    <w:p>
      <w:pPr>
        <w:jc w:val="left"/>
      </w:pPr>
      <w:r>
        <w:rPr>
          <w:b/>
          <w:sz w:val="22"/>
        </w:rPr>
        <w:t>5.</w:t>
      </w:r>
      <w:r>
        <w:rPr>
          <w:b/>
          <w:sz w:val="22"/>
        </w:rPr>
        <w:t>最高限价：</w:t>
      </w:r>
      <w:r>
        <w:rPr>
          <w:b/>
          <w:sz w:val="22"/>
        </w:rPr>
        <w:t>2203604.757元</w:t>
      </w:r>
      <w:r>
        <w:rPr>
          <w:b/>
          <w:sz w:val="22"/>
        </w:rPr>
        <w:t>，</w:t>
      </w:r>
      <w:r>
        <w:rPr>
          <w:b/>
          <w:sz w:val="22"/>
        </w:rPr>
        <w:t>其中绿色施工安全防护措施费（税前）为：</w:t>
      </w:r>
      <w:r>
        <w:rPr>
          <w:b/>
          <w:sz w:val="22"/>
        </w:rPr>
        <w:t>39054.024元</w:t>
      </w:r>
      <w:r>
        <w:rPr>
          <w:b/>
          <w:sz w:val="22"/>
        </w:rPr>
        <w:t>，供应商的响应报价（每次）不得高于最高限价，绿色施工安全防护措施费不得低于</w:t>
      </w:r>
      <w:r>
        <w:rPr>
          <w:b/>
          <w:sz w:val="22"/>
        </w:rPr>
        <w:t>39054.024元</w:t>
      </w:r>
      <w:r>
        <w:rPr>
          <w:b/>
          <w:sz w:val="22"/>
        </w:rPr>
        <w:t>，否则视为无效报价，按无效响应处理。</w:t>
      </w:r>
    </w:p>
    <w:p>
      <w:pPr>
        <w:jc w:val="both"/>
      </w:pPr>
      <w:r>
        <w:rPr>
          <w:sz w:val="22"/>
        </w:rPr>
        <w:t>6</w:t>
      </w:r>
      <w:r>
        <w:rPr>
          <w:sz w:val="22"/>
        </w:rPr>
        <w:t>.采购方式：竞争性磋商</w:t>
      </w:r>
    </w:p>
    <w:p>
      <w:pPr>
        <w:jc w:val="both"/>
      </w:pPr>
      <w:r>
        <w:rPr>
          <w:sz w:val="22"/>
        </w:rPr>
        <w:t>7</w:t>
      </w:r>
      <w:r>
        <w:rPr>
          <w:sz w:val="22"/>
        </w:rPr>
        <w:t>.报价方式：按总价报价。</w:t>
      </w:r>
    </w:p>
    <w:p>
      <w:pPr>
        <w:jc w:val="both"/>
      </w:pPr>
      <w:r>
        <w:rPr>
          <w:sz w:val="22"/>
        </w:rPr>
        <w:t>8.</w:t>
      </w:r>
      <w:r>
        <w:rPr>
          <w:sz w:val="22"/>
        </w:rPr>
        <w:t>项目地点：位于</w:t>
      </w:r>
      <w:r>
        <w:rPr>
          <w:sz w:val="22"/>
        </w:rPr>
        <w:t>中山市石岐中学</w:t>
      </w:r>
      <w:r>
        <w:rPr>
          <w:sz w:val="22"/>
        </w:rPr>
        <w:t>校园内。</w:t>
      </w:r>
    </w:p>
    <w:p>
      <w:pPr>
        <w:jc w:val="both"/>
      </w:pPr>
      <w:r>
        <w:rPr>
          <w:sz w:val="22"/>
        </w:rPr>
        <w:t>9.项目主要内容：运动场改造、给排水工程、监控及电气安装等工程内容，</w:t>
      </w:r>
      <w:r>
        <w:rPr>
          <w:sz w:val="22"/>
        </w:rPr>
        <w:t>具体施工范围及内容详见施工图及中介预算及隐含内容，所有调整和变更项目施工单位不得拒绝承担。如果成交供应商在成交并签署合同后，在施工等工作中出现任何遗漏，均由成交供应商自行承担，采购人将不再支付任何费用。</w:t>
      </w:r>
    </w:p>
    <w:p>
      <w:pPr>
        <w:jc w:val="both"/>
      </w:pPr>
      <w:r>
        <w:rPr>
          <w:b/>
          <w:sz w:val="22"/>
        </w:rPr>
        <w:t>10.总工期：</w:t>
      </w:r>
      <w:r>
        <w:rPr>
          <w:b/>
          <w:sz w:val="21"/>
        </w:rPr>
        <w:t>自合同签订后</w:t>
      </w:r>
      <w:r>
        <w:rPr>
          <w:b/>
          <w:sz w:val="21"/>
        </w:rPr>
        <w:t>20</w:t>
      </w:r>
      <w:r>
        <w:rPr>
          <w:b/>
          <w:sz w:val="21"/>
        </w:rPr>
        <w:t>个日历天内完工</w:t>
      </w:r>
      <w:r>
        <w:rPr>
          <w:b/>
          <w:sz w:val="21"/>
        </w:rPr>
        <w:t>（</w:t>
      </w:r>
      <w:r>
        <w:rPr>
          <w:b/>
          <w:sz w:val="21"/>
        </w:rPr>
        <w:t>需确保</w:t>
      </w:r>
      <w:r>
        <w:rPr>
          <w:b/>
          <w:sz w:val="21"/>
        </w:rPr>
        <w:t>8</w:t>
      </w:r>
      <w:r>
        <w:rPr>
          <w:b/>
          <w:sz w:val="21"/>
        </w:rPr>
        <w:t>月</w:t>
      </w:r>
      <w:r>
        <w:rPr>
          <w:b/>
          <w:sz w:val="21"/>
        </w:rPr>
        <w:t>22</w:t>
      </w:r>
      <w:r>
        <w:rPr>
          <w:b/>
          <w:sz w:val="21"/>
        </w:rPr>
        <w:t>日前完工</w:t>
      </w:r>
      <w:r>
        <w:rPr>
          <w:b/>
          <w:sz w:val="21"/>
        </w:rPr>
        <w:t>），</w:t>
      </w:r>
      <w:r>
        <w:rPr>
          <w:b/>
          <w:sz w:val="21"/>
        </w:rPr>
        <w:t>具体开工时间以监理单位或采购人签署的开工通知为准）。因成交供应商原因致使工期延误，对成交供应商处以</w:t>
      </w:r>
      <w:r>
        <w:rPr>
          <w:b/>
          <w:sz w:val="21"/>
        </w:rPr>
        <w:t>1000</w:t>
      </w:r>
      <w:r>
        <w:rPr>
          <w:b/>
          <w:sz w:val="21"/>
        </w:rPr>
        <w:t>元</w:t>
      </w:r>
      <w:r>
        <w:rPr>
          <w:b/>
          <w:sz w:val="21"/>
        </w:rPr>
        <w:t>/</w:t>
      </w:r>
      <w:r>
        <w:rPr>
          <w:b/>
          <w:sz w:val="21"/>
        </w:rPr>
        <w:t>天的违约金，但违约金总额不超过合同价的</w:t>
      </w:r>
      <w:r>
        <w:rPr>
          <w:b/>
          <w:sz w:val="21"/>
        </w:rPr>
        <w:t>10%</w:t>
      </w:r>
      <w:r>
        <w:rPr>
          <w:b/>
          <w:sz w:val="21"/>
        </w:rPr>
        <w:t>；由于成交供应商责任造成的拖延工期，成交供应商还应赔偿采购人因此所增加的相关费用。由于采购人原因造成的工期延长，总工期可顺延。</w:t>
      </w:r>
    </w:p>
    <w:p>
      <w:pPr>
        <w:jc w:val="both"/>
      </w:pPr>
      <w:r>
        <w:rPr>
          <w:sz w:val="22"/>
        </w:rPr>
        <w:t>11.</w:t>
      </w:r>
      <w:r>
        <w:rPr>
          <w:sz w:val="22"/>
        </w:rPr>
        <w:t>学校只有一个田径运动场，供应商</w:t>
      </w:r>
      <w:r>
        <w:rPr>
          <w:sz w:val="22"/>
        </w:rPr>
        <w:t>须</w:t>
      </w:r>
      <w:r>
        <w:rPr>
          <w:sz w:val="22"/>
        </w:rPr>
        <w:t>合理安排</w:t>
      </w:r>
      <w:r>
        <w:rPr>
          <w:sz w:val="22"/>
        </w:rPr>
        <w:t>施工人员、设备、</w:t>
      </w:r>
      <w:r>
        <w:rPr>
          <w:sz w:val="22"/>
        </w:rPr>
        <w:t>施工进度</w:t>
      </w:r>
      <w:r>
        <w:rPr>
          <w:sz w:val="22"/>
        </w:rPr>
        <w:t>，</w:t>
      </w:r>
      <w:r>
        <w:rPr>
          <w:sz w:val="22"/>
        </w:rPr>
        <w:t>具有</w:t>
      </w:r>
      <w:r>
        <w:rPr>
          <w:sz w:val="22"/>
        </w:rPr>
        <w:t>有效的风险防控和应急措施，保证按时、按质、按量完成本项目。</w:t>
      </w:r>
    </w:p>
    <w:p>
      <w:pPr>
        <w:jc w:val="both"/>
      </w:pPr>
      <w:r>
        <w:rPr>
          <w:sz w:val="22"/>
        </w:rPr>
        <w:t>12.</w:t>
      </w:r>
      <w:r>
        <w:rPr>
          <w:sz w:val="22"/>
        </w:rPr>
        <w:t>成交供应商在施工期间应严格遵守国家、省、市有关防火、爆破和施工安全以及文明施工、深夜施工、环卫和城管等规定，建立规章制度和防护措施。否则，由此造成的损失或被有关部门处罚，均由成交供应商负责。</w:t>
      </w:r>
    </w:p>
    <w:p>
      <w:pPr>
        <w:jc w:val="both"/>
      </w:pPr>
      <w:r>
        <w:rPr>
          <w:sz w:val="22"/>
        </w:rPr>
        <w:t>13</w:t>
      </w:r>
      <w:r>
        <w:rPr>
          <w:sz w:val="22"/>
        </w:rPr>
        <w:t>.本项目由</w:t>
      </w:r>
      <w:r>
        <w:rPr>
          <w:sz w:val="21"/>
        </w:rPr>
        <w:t>成交供应商</w:t>
      </w:r>
      <w:r>
        <w:rPr>
          <w:sz w:val="22"/>
        </w:rPr>
        <w:t>承包及负责磋商文件对</w:t>
      </w:r>
      <w:r>
        <w:rPr>
          <w:sz w:val="21"/>
        </w:rPr>
        <w:t>成交供应商</w:t>
      </w:r>
      <w:r>
        <w:rPr>
          <w:sz w:val="22"/>
        </w:rPr>
        <w:t>要求的一切事宜及责任。</w:t>
      </w:r>
    </w:p>
    <w:p>
      <w:pPr>
        <w:jc w:val="both"/>
      </w:pPr>
      <w:r>
        <w:rPr>
          <w:sz w:val="22"/>
        </w:rPr>
        <w:t>14</w:t>
      </w:r>
      <w:r>
        <w:rPr>
          <w:sz w:val="22"/>
        </w:rPr>
        <w:t>.本项目属于专门面向中小企业采购项目。</w:t>
      </w:r>
    </w:p>
    <w:p>
      <w:pPr>
        <w:jc w:val="both"/>
      </w:pPr>
      <w:r>
        <w:rPr>
          <w:sz w:val="22"/>
        </w:rPr>
        <w:t>1</w:t>
      </w:r>
      <w:r>
        <w:rPr>
          <w:sz w:val="22"/>
        </w:rPr>
        <w:t>5</w:t>
      </w:r>
      <w:r>
        <w:rPr>
          <w:sz w:val="22"/>
        </w:rPr>
        <w:t>.本项目不接受联合体投标。</w:t>
      </w:r>
    </w:p>
    <w:p>
      <w:pPr>
        <w:jc w:val="both"/>
      </w:pPr>
      <w:r>
        <w:rPr>
          <w:sz w:val="22"/>
        </w:rPr>
        <w:t>1</w:t>
      </w:r>
      <w:r>
        <w:rPr>
          <w:sz w:val="22"/>
        </w:rPr>
        <w:t>6</w:t>
      </w:r>
      <w:r>
        <w:rPr>
          <w:sz w:val="22"/>
        </w:rPr>
        <w:t>.</w:t>
      </w:r>
      <w:r>
        <w:rPr>
          <w:sz w:val="21"/>
        </w:rPr>
        <w:t>成交供应商</w:t>
      </w:r>
      <w:r>
        <w:rPr>
          <w:sz w:val="22"/>
        </w:rPr>
        <w:t>未经采购人批准，不得以任何方式转包或分包。必须以直属施工队伍施工，不得使用挂靠施工队伍，若成交供应商违法转包给非直属施工队伍或其他单位施工的，一经发现将视成交供应商违约，追究当事人责任，采购人有权解除合同并追究成交供应商的违约及其它法律责任，所造成的一切损失由成交供应商承担。</w:t>
      </w:r>
    </w:p>
    <w:p>
      <w:pPr>
        <w:jc w:val="both"/>
      </w:pPr>
      <w:r>
        <w:rPr>
          <w:sz w:val="22"/>
        </w:rPr>
        <w:t>1</w:t>
      </w:r>
      <w:r>
        <w:rPr>
          <w:sz w:val="22"/>
        </w:rPr>
        <w:t>7</w:t>
      </w:r>
      <w:r>
        <w:rPr>
          <w:sz w:val="22"/>
        </w:rPr>
        <w:t>.响应文件中提供详细项目综述、质量目标 、项目进度、检查方案、检查方法、安全文明措施方案、应急措施方案等。</w:t>
      </w:r>
    </w:p>
    <w:p>
      <w:pPr>
        <w:jc w:val="both"/>
      </w:pPr>
      <w:r>
        <w:rPr>
          <w:sz w:val="22"/>
        </w:rPr>
        <w:t>1</w:t>
      </w:r>
      <w:r>
        <w:rPr>
          <w:sz w:val="22"/>
        </w:rPr>
        <w:t>8</w:t>
      </w:r>
      <w:r>
        <w:rPr>
          <w:sz w:val="22"/>
        </w:rPr>
        <w:t>.</w:t>
      </w:r>
      <w:r>
        <w:rPr>
          <w:sz w:val="21"/>
        </w:rPr>
        <w:t>成交供应商</w:t>
      </w:r>
      <w:r>
        <w:rPr>
          <w:sz w:val="22"/>
        </w:rPr>
        <w:t>负责其派出的施工、服务、售后等人员的意外保险。</w:t>
      </w:r>
    </w:p>
    <w:p>
      <w:pPr>
        <w:jc w:val="both"/>
      </w:pPr>
      <w:r>
        <w:rPr>
          <w:sz w:val="22"/>
        </w:rPr>
        <w:t>1</w:t>
      </w:r>
      <w:r>
        <w:rPr>
          <w:sz w:val="22"/>
        </w:rPr>
        <w:t>9</w:t>
      </w:r>
      <w:r>
        <w:rPr>
          <w:sz w:val="22"/>
        </w:rPr>
        <w:t>.本项目不统一组织现场踏勘和不组织集中答疑会。</w:t>
      </w:r>
    </w:p>
    <w:p>
      <w:pPr>
        <w:jc w:val="both"/>
      </w:pPr>
      <w:r>
        <w:rPr>
          <w:sz w:val="22"/>
        </w:rPr>
        <w:t>20.</w:t>
      </w:r>
      <w:r>
        <w:rPr>
          <w:sz w:val="22"/>
        </w:rPr>
        <w:t>采购人有权在签订合同时对项目方案作适当修改调整增加或减少。</w:t>
      </w:r>
    </w:p>
    <w:p/>
    <w:p>
      <w:pPr>
        <w:ind w:firstLine="480"/>
      </w:pPr>
    </w:p>
    <w:p/>
    <w:p>
      <w:r>
        <w:rPr/>
        <w:t>采购包1（中山市石岐中学田径运动场翻新改造工程）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后20个日历天内完工（需确保8月22日前完工），具体开工时间以监理单位或采购人签署的开工通知为准）。因成交供应商原因致使工期延误，对成交供应商处以1000元/天的违约金，但违约金总额不超过合同价的10%；由于成交供应商责任造成的拖延工期，成交供应商还应赔偿采购人因此所增加的相关费用。由于采购人原因造成的工期延长，总工期可顺延。</w:t>
            </w:r>
          </w:p>
        </w:tc>
      </w:tr>
      <w:tr>
        <w:tc>
          <w:tcPr>
            <w:tcW w:type="dxa" w:w="4153"/>
          </w:tcPr>
          <w:p>
            <w:r>
              <w:rPr/>
              <w:t>标的提供的地点</w:t>
            </w:r>
          </w:p>
        </w:tc>
        <w:tc>
          <w:tcPr>
            <w:tcW w:type="dxa" w:w="4153"/>
          </w:tcPr>
          <w:p/>
          <w:p>
            <w:r>
              <w:rPr/>
              <w:t>中山市石岐中学校园内</w:t>
            </w:r>
          </w:p>
        </w:tc>
      </w:tr>
      <w:tr>
        <w:tc>
          <w:tcPr>
            <w:tcW w:type="dxa" w:w="4153"/>
          </w:tcPr>
          <w:p>
            <w:r>
              <w:rPr/>
              <w:t>付款方式</w:t>
            </w:r>
          </w:p>
        </w:tc>
        <w:tc>
          <w:tcPr>
            <w:tcW w:type="dxa" w:w="4153"/>
          </w:tcPr>
          <w:p/>
          <w:p/>
          <w:p>
            <w:r>
              <w:rPr/>
              <w:t>1期：支付比例97%,工程竣工验收合格后采购人支付合同价的97%工程款给成交供应商。成交供应商在每次收取工程款时须向采购人出具增值税发票，并自行完税。</w:t>
            </w:r>
          </w:p>
          <w:p/>
          <w:p>
            <w:r>
              <w:rPr/>
              <w:t>2期：支付比例3%,剩余3%作为履约保证金，待质保期满后无息付清。成交供应商在每次收取工程款时须向采购人出具增值税发票，并自行完税。</w:t>
            </w:r>
          </w:p>
        </w:tc>
      </w:tr>
      <w:tr>
        <w:tc>
          <w:tcPr>
            <w:tcW w:type="dxa" w:w="4153"/>
          </w:tcPr>
          <w:p>
            <w:r>
              <w:rPr/>
              <w:t>验收要求</w:t>
            </w:r>
          </w:p>
        </w:tc>
        <w:tc>
          <w:tcPr>
            <w:tcW w:type="dxa" w:w="4153"/>
          </w:tcPr>
          <w:p/>
          <w:p/>
          <w:p/>
          <w:p>
            <w:r>
              <w:rPr/>
              <w:t>1期：塑胶跑道必须按照GB36246-2018《中小学合成材料面层运动场地》标准执行。成交供应商提供材料合格的检测报告，如果过程中提供的材料及施工不符合磋商文件要求或国家有关标准，采购人有权要求停工和返工，成交供应商必须执行，并承担由此而造成的损失。否则，采购人有权终止合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按总价报价，投标报价中应包括工程量清单项目所发生的人工费、材料费、机械费、管理费、利润、项目措施费、规费、税金、配合费以及施工合同包含的所有风险、责任等所发生的一切费用，供应商漏报或不报，采购人将视为有关费用已包括在工程量清单项目的其他单价及合价中而不予支付。除设计变更及采购人增减工程量外，成交价将不予调整。</w:t>
            </w:r>
          </w:p>
        </w:tc>
      </w:tr>
      <w:tr>
        <w:tc>
          <w:tcPr>
            <w:tcW w:type="dxa" w:w="2076"/>
          </w:tcPr>
          <w:p>
            <w:pPr>
              <w:jc w:val="center"/>
            </w:pPr>
          </w:p>
        </w:tc>
        <w:tc>
          <w:tcPr>
            <w:tcW w:type="dxa" w:w="2076"/>
          </w:tcPr>
          <w:p>
            <w:pPr>
              <w:jc w:val="center"/>
            </w:pPr>
            <w:r>
              <w:rPr/>
              <w:t>2</w:t>
            </w:r>
          </w:p>
        </w:tc>
        <w:tc>
          <w:tcPr>
            <w:tcW w:type="dxa" w:w="2076"/>
          </w:tcPr>
          <w:p>
            <w:pPr>
              <w:jc w:val="left"/>
            </w:pPr>
            <w:r>
              <w:rPr/>
              <w:t>质量保证期及售后</w:t>
            </w:r>
          </w:p>
        </w:tc>
        <w:tc>
          <w:tcPr>
            <w:tcW w:type="dxa" w:w="2076"/>
          </w:tcPr>
          <w:p>
            <w:pPr>
              <w:jc w:val="left"/>
            </w:pPr>
            <w:r>
              <w:rPr/>
              <w:t>★1、本项目的质保期不少于2年。质保期自竣工验收合格之日起计算。在质保期内因施工和材料、设备而造成的返修和维修的，所有费用由成交供应商负责。 2、在质保期内成交供应商接到采购人产品出现问题的通知后，2小时内作出响应，8小时内到现场解决出现的质量或者技术问题；发生须紧急抢修事故的,成交供应商在接到事故通知后,应当立即到达事故现场抢修。 3、采购人如遇重大活动，其活动前后成交供应商应帮助采购人对设施进行维修维护，除不可抗力和采购人责任外，费用全部由成交供应商承担。质保期内产品质量经权威机构鉴定不符合质量要求的，按合同约定承担违约责任。</w:t>
            </w:r>
          </w:p>
        </w:tc>
      </w:tr>
      <w:tr>
        <w:tc>
          <w:tcPr>
            <w:tcW w:type="dxa" w:w="2076"/>
          </w:tcPr>
          <w:p>
            <w:pPr>
              <w:jc w:val="center"/>
            </w:pPr>
          </w:p>
        </w:tc>
        <w:tc>
          <w:tcPr>
            <w:tcW w:type="dxa" w:w="2076"/>
          </w:tcPr>
          <w:p>
            <w:pPr>
              <w:jc w:val="center"/>
            </w:pPr>
            <w:r>
              <w:rPr/>
              <w:t>3</w:t>
            </w:r>
          </w:p>
        </w:tc>
        <w:tc>
          <w:tcPr>
            <w:tcW w:type="dxa" w:w="2076"/>
          </w:tcPr>
          <w:p>
            <w:pPr>
              <w:jc w:val="left"/>
            </w:pPr>
            <w:r>
              <w:rPr/>
              <w:t>工程竣工资料要求</w:t>
            </w:r>
          </w:p>
        </w:tc>
        <w:tc>
          <w:tcPr>
            <w:tcW w:type="dxa" w:w="2076"/>
          </w:tcPr>
          <w:p>
            <w:pPr>
              <w:jc w:val="left"/>
            </w:pPr>
            <w:r>
              <w:rPr/>
              <w:t>1、成交供应商应按照城市建设档案管理的有关规定，在工程施工过程中及时做好工程档案的收集、汇总、整理工作。 2、成交供应商在工程竣工验收后30日历天内，应向采购人提供符合中山市档案部门要求，按规格编制成册的完整的工程竣工图及有关的工程技术档案资料一式五份（其中原件一份、复印件四份）提交采购人归档，并同时提交有关归档的证明文件。</w:t>
            </w:r>
          </w:p>
        </w:tc>
      </w:tr>
      <w:tr>
        <w:tc>
          <w:tcPr>
            <w:tcW w:type="dxa" w:w="2076"/>
          </w:tcPr>
          <w:p>
            <w:pPr>
              <w:jc w:val="center"/>
            </w:pPr>
          </w:p>
        </w:tc>
        <w:tc>
          <w:tcPr>
            <w:tcW w:type="dxa" w:w="2076"/>
          </w:tcPr>
          <w:p>
            <w:pPr>
              <w:jc w:val="center"/>
            </w:pPr>
            <w:r>
              <w:rPr/>
              <w:t>4</w:t>
            </w:r>
          </w:p>
        </w:tc>
        <w:tc>
          <w:tcPr>
            <w:tcW w:type="dxa" w:w="2076"/>
          </w:tcPr>
          <w:p>
            <w:pPr>
              <w:jc w:val="left"/>
            </w:pPr>
            <w:r>
              <w:rPr/>
              <w:t>质量要求</w:t>
            </w:r>
          </w:p>
        </w:tc>
        <w:tc>
          <w:tcPr>
            <w:tcW w:type="dxa" w:w="2076"/>
          </w:tcPr>
          <w:p>
            <w:pPr>
              <w:jc w:val="left"/>
            </w:pPr>
            <w:r>
              <w:rPr/>
              <w:t>1、供应商所提供的材料，须注明品牌、产地、品名、规格、性能参数、技术指标，进口产品或设备需提供相应的报关单，手续、证件要齐全。  2、塑胶跑道必须按照GB36246-2018《中小学合成材料面层运动场地》标准进行施工，其他部分按照国家相关标准进行。成交供应商如果提供的材料及实施，不符合磋商文件要求或国家有关标准，采购人有权要求停工和返工，成交供应商必须执行，并承担由此而造成的损失。否则，采购人有权终止合同。  3、该项目须通过采购人验收，如不合格，成交供应商须对项目进行返工，直至合格。</w:t>
            </w:r>
          </w:p>
        </w:tc>
      </w:tr>
      <w:tr>
        <w:tc>
          <w:tcPr>
            <w:tcW w:type="dxa" w:w="2076"/>
          </w:tcPr>
          <w:p>
            <w:pPr>
              <w:jc w:val="center"/>
            </w:pPr>
          </w:p>
        </w:tc>
        <w:tc>
          <w:tcPr>
            <w:tcW w:type="dxa" w:w="2076"/>
          </w:tcPr>
          <w:p>
            <w:pPr>
              <w:jc w:val="center"/>
            </w:pPr>
            <w:r>
              <w:rPr/>
              <w:t>5</w:t>
            </w:r>
          </w:p>
        </w:tc>
        <w:tc>
          <w:tcPr>
            <w:tcW w:type="dxa" w:w="2076"/>
          </w:tcPr>
          <w:p>
            <w:pPr>
              <w:jc w:val="left"/>
            </w:pPr>
            <w:r>
              <w:rPr/>
              <w:t>其他要求</w:t>
            </w:r>
          </w:p>
        </w:tc>
        <w:tc>
          <w:tcPr>
            <w:tcW w:type="dxa" w:w="2076"/>
          </w:tcPr>
          <w:p>
            <w:pPr>
              <w:jc w:val="left"/>
            </w:pPr>
            <w:r>
              <w:rPr/>
              <w:t>1、主材实际采购时其技术参数、质量必须符合磋商文件、国家及省市有关验收规范的要求，且厂家、品牌、规格、型号、颜色应经采购人及有关部门检查合格备案方可使用。如成交供应商在选择的主材和设备的技术参数和质量达不到磋商文件、工程量清单国家及省市有关规范要求时，将取消其成交资格。  2、变更、修改设计的工程内容成交供应商不得拒绝承担，工期不予调整。如施工过程中出现由采购人提出变更所增减的工程，结算时按以下方式进行调整： 1)合同中已有使用于变更工程的单价，按合同已有的单价变更合同价款。 2)合同中已有类似于变更工程的单价，可参照类似单价变更合同价款。 3)合同中没有使用或类似变更工程的单价，按照广东省建设工程计价依据、工程所在地造价管理机构有关规定和发布的价格信息，依据工程变更签证，由成交供应商提出适当的变更价格，按本采购说明的规定作出预算经相关部门审核后结算；结算单价按成交价与中介预算价的相应比例折算执行。变更、修改设计的工程内容成交供应商不得拒绝承担，所增减工程的工程量不超过成交工程量的10%，工期不作调整。如因设计、规划调整变更等原因，采购人有权调整采购范围和内容。</w:t>
            </w:r>
          </w:p>
        </w:tc>
      </w:tr>
      <w:tr>
        <w:tc>
          <w:tcPr>
            <w:tcW w:type="dxa" w:w="2076"/>
          </w:tcPr>
          <w:p>
            <w:pPr>
              <w:jc w:val="center"/>
            </w:pPr>
          </w:p>
        </w:tc>
        <w:tc>
          <w:tcPr>
            <w:tcW w:type="dxa" w:w="2076"/>
          </w:tcPr>
          <w:p>
            <w:pPr>
              <w:jc w:val="center"/>
            </w:pPr>
            <w:r>
              <w:rPr/>
              <w:t>6</w:t>
            </w:r>
          </w:p>
        </w:tc>
        <w:tc>
          <w:tcPr>
            <w:tcW w:type="dxa" w:w="2076"/>
          </w:tcPr>
          <w:p>
            <w:pPr>
              <w:jc w:val="left"/>
            </w:pPr>
            <w:r>
              <w:rPr/>
              <w:t>采购人配合条件</w:t>
            </w:r>
          </w:p>
        </w:tc>
        <w:tc>
          <w:tcPr>
            <w:tcW w:type="dxa" w:w="2076"/>
          </w:tcPr>
          <w:p>
            <w:pPr>
              <w:jc w:val="left"/>
            </w:pPr>
            <w:r>
              <w:rPr/>
              <w:t>供应商可在响应文件中列明需由采购人配合的内容，所列配合内容采购人将尽量配合解决，但不代表采购人全部接受，采购人有权全部或部分拒绝供应商提出的配合条件。（如有）</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其他建筑工程</w:t>
            </w:r>
          </w:p>
        </w:tc>
        <w:tc>
          <w:tcPr>
            <w:tcW w:type="dxa" w:w="933"/>
          </w:tcPr>
          <w:p>
            <w:pPr>
              <w:jc w:val="left"/>
            </w:pPr>
            <w:r>
              <w:rPr/>
              <w:t>田径运动场翻新改造工程</w:t>
            </w:r>
          </w:p>
        </w:tc>
        <w:tc>
          <w:tcPr>
            <w:tcW w:type="dxa" w:w="933"/>
          </w:tcPr>
          <w:p>
            <w:pPr>
              <w:jc w:val="left"/>
            </w:pPr>
            <w:r>
              <w:rPr/>
              <w:t>宗</w:t>
            </w:r>
          </w:p>
        </w:tc>
        <w:tc>
          <w:tcPr>
            <w:tcW w:type="dxa" w:w="933"/>
          </w:tcPr>
          <w:p>
            <w:pPr>
              <w:jc w:val="right"/>
            </w:pPr>
            <w:r>
              <w:rPr/>
              <w:t>1.00</w:t>
            </w:r>
          </w:p>
        </w:tc>
        <w:tc>
          <w:tcPr>
            <w:tcW w:type="dxa" w:w="933"/>
          </w:tcPr>
          <w:p>
            <w:pPr>
              <w:jc w:val="right"/>
            </w:pPr>
            <w:r>
              <w:rPr/>
              <w:t>2,489,747.34</w:t>
            </w:r>
          </w:p>
        </w:tc>
        <w:tc>
          <w:tcPr>
            <w:tcW w:type="dxa" w:w="933"/>
          </w:tcPr>
          <w:p>
            <w:pPr>
              <w:jc w:val="right"/>
            </w:pPr>
            <w:r>
              <w:rPr/>
              <w:t>2,489,747.34</w:t>
            </w:r>
          </w:p>
        </w:tc>
        <w:tc>
          <w:tcPr>
            <w:tcW w:type="dxa" w:w="840"/>
          </w:tcPr>
          <w:p>
            <w:r>
              <w:rPr/>
              <w:t>建筑业</w:t>
            </w:r>
          </w:p>
        </w:tc>
        <w:tc>
          <w:tcPr>
            <w:tcW w:type="dxa" w:w="933"/>
          </w:tcPr>
          <w:p>
            <w:r>
              <w:rPr/>
              <w:t>详见附表一</w:t>
            </w:r>
          </w:p>
        </w:tc>
      </w:tr>
    </w:tbl>
    <w:p/>
    <w:p>
      <w:r>
        <w:rPr>
          <w:b/>
        </w:rPr>
        <w:t>附表</w:t>
      </w:r>
      <w:r>
        <w:rPr>
          <w:b/>
        </w:rPr>
        <w:t>一</w:t>
      </w:r>
      <w:r>
        <w:rPr>
          <w:b/>
        </w:rPr>
        <w:t>：</w:t>
      </w:r>
      <w:r>
        <w:rPr>
          <w:b/>
        </w:rPr>
        <w:t>田径运动场翻新改造工程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1、</w:t>
            </w:r>
            <w:r>
              <w:rPr>
                <w:b/>
                <w:sz w:val="24"/>
              </w:rPr>
              <w:t>全塑型子自结纹塑胶</w:t>
            </w:r>
            <w:r>
              <w:rPr>
                <w:b/>
                <w:sz w:val="24"/>
              </w:rPr>
              <w:t>跑道</w:t>
            </w:r>
            <w:r>
              <w:rPr>
                <w:b/>
                <w:sz w:val="24"/>
              </w:rPr>
              <w:t>要求：</w:t>
            </w:r>
          </w:p>
          <w:p>
            <w:pPr>
              <w:jc w:val="both"/>
            </w:pPr>
            <w:r>
              <w:rPr>
                <w:b/>
                <w:sz w:val="24"/>
              </w:rPr>
              <w:t>依据</w:t>
            </w:r>
            <w:r>
              <w:rPr>
                <w:b/>
                <w:sz w:val="24"/>
              </w:rPr>
              <w:t>GB36246-2018《中小学合成材料面层运动场地》标准，塑胶跑道须满足以下要求：</w:t>
            </w:r>
          </w:p>
          <w:p>
            <w:pPr>
              <w:jc w:val="both"/>
            </w:pPr>
            <w:r>
              <w:rPr>
                <w:sz w:val="24"/>
              </w:rPr>
              <w:t>（</w:t>
            </w:r>
            <w:r>
              <w:rPr>
                <w:sz w:val="24"/>
              </w:rPr>
              <w:t>1）塑胶跑道材质环保性能：为确保塑胶面层质量，保护学生的身心健康，聚氨酯跑道底胶，面胶达到环保指标（执行标准：GB 36246-2018）</w:t>
            </w:r>
          </w:p>
          <w:tbl>
            <w:tblPr>
              <w:tblBorders>
                <w:top w:val="none" w:color="000000" w:sz="4"/>
                <w:left w:val="none" w:color="000000" w:sz="4"/>
                <w:bottom w:val="none" w:color="000000" w:sz="4"/>
                <w:right w:val="none" w:color="000000" w:sz="4"/>
                <w:insideH w:val="none"/>
                <w:insideV w:val="none"/>
              </w:tblBorders>
            </w:tblPr>
            <w:tblGrid>
              <w:gridCol w:w="295"/>
              <w:gridCol w:w="3843"/>
              <w:gridCol w:w="1448"/>
            </w:tblGrid>
            <w:tr>
              <w:tc>
                <w:tcPr>
                  <w:tcW w:type="dxa" w:w="295"/>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3843"/>
                  <w:tcBorders>
                    <w:top w:val="single" w:color="000000" w:sz="4"/>
                    <w:left w:val="none" w:color="000000" w:sz="4"/>
                    <w:bottom w:val="single" w:color="000000" w:sz="4"/>
                    <w:right w:val="single" w:color="000000" w:sz="4"/>
                  </w:tcBorders>
                  <w:vAlign w:val="top"/>
                </w:tcPr>
                <w:p>
                  <w:pPr>
                    <w:jc w:val="center"/>
                  </w:pPr>
                  <w:r>
                    <w:rPr>
                      <w:sz w:val="24"/>
                    </w:rPr>
                    <w:t>项目</w:t>
                  </w:r>
                </w:p>
              </w:tc>
              <w:tc>
                <w:tcPr>
                  <w:tcW w:type="dxa" w:w="1448"/>
                  <w:tcBorders>
                    <w:top w:val="single" w:color="000000" w:sz="4"/>
                    <w:left w:val="none" w:color="000000" w:sz="4"/>
                    <w:bottom w:val="single" w:color="000000" w:sz="4"/>
                    <w:right w:val="single" w:color="000000" w:sz="4"/>
                  </w:tcBorders>
                  <w:vAlign w:val="top"/>
                </w:tcPr>
                <w:p>
                  <w:pPr>
                    <w:jc w:val="center"/>
                  </w:pPr>
                  <w:r>
                    <w:rPr>
                      <w:sz w:val="24"/>
                    </w:rPr>
                    <w:t>技术要求</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1</w:t>
                  </w:r>
                </w:p>
              </w:tc>
              <w:tc>
                <w:tcPr>
                  <w:tcW w:type="dxa" w:w="3843"/>
                  <w:tcBorders>
                    <w:top w:val="none" w:color="000000" w:sz="4"/>
                    <w:left w:val="none" w:color="000000" w:sz="4"/>
                    <w:bottom w:val="single" w:color="000000" w:sz="4"/>
                    <w:right w:val="single" w:color="000000" w:sz="4"/>
                  </w:tcBorders>
                  <w:vAlign w:val="top"/>
                </w:tcPr>
                <w:p>
                  <w:pPr>
                    <w:jc w:val="both"/>
                  </w:pPr>
                  <w:r>
                    <w:rPr>
                      <w:sz w:val="24"/>
                    </w:rPr>
                    <w:t>3种邻苯二甲酸酯类化合物（DBP、BBP、DEHP）总和</w:t>
                  </w:r>
                  <w:r>
                    <w:rPr>
                      <w:sz w:val="24"/>
                    </w:rPr>
                    <w:t>/</w:t>
                  </w:r>
                  <w:r>
                    <w:rPr>
                      <w:sz w:val="24"/>
                    </w:rPr>
                    <w:t>（</w:t>
                  </w:r>
                  <w:r>
                    <w:rPr>
                      <w:sz w:val="24"/>
                    </w:rPr>
                    <w:t>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2</w:t>
                  </w:r>
                </w:p>
              </w:tc>
              <w:tc>
                <w:tcPr>
                  <w:tcW w:type="dxa" w:w="3843"/>
                  <w:tcBorders>
                    <w:top w:val="none" w:color="000000" w:sz="4"/>
                    <w:left w:val="none" w:color="000000" w:sz="4"/>
                    <w:bottom w:val="single" w:color="000000" w:sz="4"/>
                    <w:right w:val="single" w:color="000000" w:sz="4"/>
                  </w:tcBorders>
                  <w:vAlign w:val="top"/>
                </w:tcPr>
                <w:p>
                  <w:pPr>
                    <w:jc w:val="both"/>
                  </w:pPr>
                  <w:r>
                    <w:rPr>
                      <w:sz w:val="24"/>
                    </w:rPr>
                    <w:t>3种邻苯二甲酸酯类化合物（DNOP、DINP、DIDP）总和/（g/kg）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3</w:t>
                  </w:r>
                </w:p>
              </w:tc>
              <w:tc>
                <w:tcPr>
                  <w:tcW w:type="dxa" w:w="3843"/>
                  <w:tcBorders>
                    <w:top w:val="none" w:color="000000" w:sz="4"/>
                    <w:left w:val="none" w:color="000000" w:sz="4"/>
                    <w:bottom w:val="single" w:color="000000" w:sz="4"/>
                    <w:right w:val="single" w:color="000000" w:sz="4"/>
                  </w:tcBorders>
                  <w:vAlign w:val="top"/>
                </w:tcPr>
                <w:p>
                  <w:pPr>
                    <w:jc w:val="both"/>
                  </w:pPr>
                  <w:r>
                    <w:rPr>
                      <w:sz w:val="24"/>
                    </w:rPr>
                    <w:t>短链氯化石蜡（</w:t>
                  </w:r>
                  <w:r>
                    <w:rPr>
                      <w:sz w:val="24"/>
                    </w:rPr>
                    <w:t>C</w:t>
                  </w:r>
                  <w:r>
                    <w:rPr>
                      <w:sz w:val="24"/>
                      <w:vertAlign w:val="subscript"/>
                    </w:rPr>
                    <w:t>10</w:t>
                  </w:r>
                  <w:r>
                    <w:rPr>
                      <w:sz w:val="24"/>
                    </w:rPr>
                    <w:t>-C</w:t>
                  </w:r>
                  <w:r>
                    <w:rPr>
                      <w:sz w:val="24"/>
                      <w:vertAlign w:val="subscript"/>
                    </w:rPr>
                    <w:t>13</w:t>
                  </w:r>
                  <w:r>
                    <w:rPr>
                      <w:sz w:val="24"/>
                    </w:rPr>
                    <w:t>）</w:t>
                  </w:r>
                  <w:r>
                    <w:rPr>
                      <w:sz w:val="24"/>
                    </w:rPr>
                    <w:t>/（g/kg）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≤1.5</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4</w:t>
                  </w:r>
                </w:p>
              </w:tc>
              <w:tc>
                <w:tcPr>
                  <w:tcW w:type="dxa" w:w="3843"/>
                  <w:tcBorders>
                    <w:top w:val="none" w:color="000000" w:sz="4"/>
                    <w:left w:val="none" w:color="000000" w:sz="4"/>
                    <w:bottom w:val="single" w:color="000000" w:sz="4"/>
                    <w:right w:val="single" w:color="000000" w:sz="4"/>
                  </w:tcBorders>
                  <w:vAlign w:val="top"/>
                </w:tcPr>
                <w:p>
                  <w:pPr>
                    <w:jc w:val="both"/>
                  </w:pPr>
                  <w:r>
                    <w:rPr>
                      <w:sz w:val="24"/>
                    </w:rPr>
                    <w:t>游离甲苯二异氰酸酯（</w:t>
                  </w:r>
                  <w:r>
                    <w:rPr>
                      <w:sz w:val="24"/>
                    </w:rPr>
                    <w:t>TDI）和游离六亚甲基二异氰酸酯（HDI）总和 /（g/kg）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5</w:t>
                  </w:r>
                </w:p>
              </w:tc>
              <w:tc>
                <w:tcPr>
                  <w:tcW w:type="dxa" w:w="3843"/>
                  <w:tcBorders>
                    <w:top w:val="none" w:color="000000" w:sz="4"/>
                    <w:left w:val="none" w:color="000000" w:sz="4"/>
                    <w:bottom w:val="single" w:color="000000" w:sz="4"/>
                    <w:right w:val="single" w:color="000000" w:sz="4"/>
                  </w:tcBorders>
                  <w:vAlign w:val="top"/>
                </w:tcPr>
                <w:p>
                  <w:pPr>
                    <w:jc w:val="both"/>
                  </w:pPr>
                  <w:r>
                    <w:rPr>
                      <w:sz w:val="24"/>
                    </w:rPr>
                    <w:t>挥发性有机化合物</w:t>
                  </w:r>
                  <w:r>
                    <w:rPr>
                      <w:sz w:val="24"/>
                    </w:rPr>
                    <w:t>/（g/L）</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6</w:t>
                  </w:r>
                </w:p>
              </w:tc>
              <w:tc>
                <w:tcPr>
                  <w:tcW w:type="dxa" w:w="3843"/>
                  <w:tcBorders>
                    <w:top w:val="none" w:color="000000" w:sz="4"/>
                    <w:left w:val="none" w:color="000000" w:sz="4"/>
                    <w:bottom w:val="single" w:color="000000" w:sz="4"/>
                    <w:right w:val="single" w:color="000000" w:sz="4"/>
                  </w:tcBorders>
                  <w:vAlign w:val="top"/>
                </w:tcPr>
                <w:p>
                  <w:pPr>
                    <w:jc w:val="both"/>
                  </w:pPr>
                  <w:r>
                    <w:rPr>
                      <w:sz w:val="24"/>
                    </w:rPr>
                    <w:t>游离甲醛</w:t>
                  </w:r>
                  <w:r>
                    <w:rPr>
                      <w:sz w:val="24"/>
                    </w:rPr>
                    <w:t>/（g/kg）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≤0.50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7</w:t>
                  </w:r>
                </w:p>
              </w:tc>
              <w:tc>
                <w:tcPr>
                  <w:tcW w:type="dxa" w:w="3843"/>
                  <w:tcBorders>
                    <w:top w:val="none" w:color="000000" w:sz="4"/>
                    <w:left w:val="none" w:color="000000" w:sz="4"/>
                    <w:bottom w:val="single" w:color="000000" w:sz="4"/>
                    <w:right w:val="single" w:color="000000" w:sz="4"/>
                  </w:tcBorders>
                  <w:vAlign w:val="top"/>
                </w:tcPr>
                <w:p>
                  <w:pPr>
                    <w:jc w:val="both"/>
                  </w:pPr>
                  <w:r>
                    <w:rPr>
                      <w:sz w:val="24"/>
                    </w:rPr>
                    <w:t>苯</w:t>
                  </w:r>
                  <w:r>
                    <w:rPr>
                      <w:sz w:val="24"/>
                    </w:rPr>
                    <w:t>/（g/kg）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≤0.05</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8</w:t>
                  </w:r>
                </w:p>
              </w:tc>
              <w:tc>
                <w:tcPr>
                  <w:tcW w:type="dxa" w:w="3843"/>
                  <w:tcBorders>
                    <w:top w:val="none" w:color="000000" w:sz="4"/>
                    <w:left w:val="none" w:color="000000" w:sz="4"/>
                    <w:bottom w:val="single" w:color="000000" w:sz="4"/>
                    <w:right w:val="single" w:color="000000" w:sz="4"/>
                  </w:tcBorders>
                  <w:vAlign w:val="top"/>
                </w:tcPr>
                <w:p>
                  <w:pPr>
                    <w:jc w:val="both"/>
                  </w:pPr>
                  <w:r>
                    <w:rPr>
                      <w:sz w:val="24"/>
                    </w:rPr>
                    <w:t>甲苯、二甲苯和乙苯总和</w:t>
                  </w:r>
                  <w:r>
                    <w:rPr>
                      <w:sz w:val="24"/>
                    </w:rPr>
                    <w:t>/（g/kg）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9</w:t>
                  </w:r>
                </w:p>
              </w:tc>
              <w:tc>
                <w:tcPr>
                  <w:tcW w:type="dxa" w:w="3843"/>
                  <w:tcBorders>
                    <w:top w:val="none" w:color="000000" w:sz="4"/>
                    <w:left w:val="none" w:color="000000" w:sz="4"/>
                    <w:bottom w:val="single" w:color="000000" w:sz="4"/>
                    <w:right w:val="single" w:color="000000" w:sz="4"/>
                  </w:tcBorders>
                  <w:vAlign w:val="top"/>
                </w:tcPr>
                <w:p>
                  <w:pPr>
                    <w:jc w:val="both"/>
                  </w:pPr>
                  <w:r>
                    <w:rPr>
                      <w:sz w:val="24"/>
                    </w:rPr>
                    <w:t>可溶性铅</w:t>
                  </w:r>
                  <w:r>
                    <w:rPr>
                      <w:sz w:val="24"/>
                    </w:rPr>
                    <w:t>/（mg/kg）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3843"/>
                  <w:tcBorders>
                    <w:top w:val="none" w:color="000000" w:sz="4"/>
                    <w:left w:val="none" w:color="000000" w:sz="4"/>
                    <w:bottom w:val="single" w:color="000000" w:sz="4"/>
                    <w:right w:val="single" w:color="000000" w:sz="4"/>
                  </w:tcBorders>
                  <w:vAlign w:val="top"/>
                </w:tcPr>
                <w:p>
                  <w:pPr>
                    <w:jc w:val="both"/>
                  </w:pPr>
                  <w:r>
                    <w:rPr>
                      <w:sz w:val="24"/>
                    </w:rPr>
                    <w:t>可溶性镉</w:t>
                  </w:r>
                  <w:r>
                    <w:rPr>
                      <w:sz w:val="24"/>
                    </w:rPr>
                    <w:t>/（mg/kg）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3843"/>
                  <w:tcBorders>
                    <w:top w:val="none" w:color="000000" w:sz="4"/>
                    <w:left w:val="none" w:color="000000" w:sz="4"/>
                    <w:bottom w:val="single" w:color="000000" w:sz="4"/>
                    <w:right w:val="single" w:color="000000" w:sz="4"/>
                  </w:tcBorders>
                  <w:vAlign w:val="top"/>
                </w:tcPr>
                <w:p>
                  <w:pPr>
                    <w:jc w:val="both"/>
                  </w:pPr>
                  <w:r>
                    <w:rPr>
                      <w:sz w:val="24"/>
                    </w:rPr>
                    <w:t>可溶性铬</w:t>
                  </w:r>
                  <w:r>
                    <w:rPr>
                      <w:sz w:val="24"/>
                    </w:rPr>
                    <w:t>/（mg/kg）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295"/>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3843"/>
                  <w:tcBorders>
                    <w:top w:val="none" w:color="000000" w:sz="4"/>
                    <w:left w:val="none" w:color="000000" w:sz="4"/>
                    <w:bottom w:val="single" w:color="000000" w:sz="4"/>
                    <w:right w:val="single" w:color="000000" w:sz="4"/>
                  </w:tcBorders>
                  <w:vAlign w:val="top"/>
                </w:tcPr>
                <w:p>
                  <w:pPr>
                    <w:jc w:val="both"/>
                  </w:pPr>
                  <w:r>
                    <w:rPr>
                      <w:sz w:val="24"/>
                    </w:rPr>
                    <w:t>可溶性汞</w:t>
                  </w:r>
                  <w:r>
                    <w:rPr>
                      <w:sz w:val="24"/>
                    </w:rPr>
                    <w:t>/（mg/kg）</w:t>
                  </w:r>
                </w:p>
              </w:tc>
              <w:tc>
                <w:tcPr>
                  <w:tcW w:type="dxa" w:w="1448"/>
                  <w:tcBorders>
                    <w:top w:val="none" w:color="000000" w:sz="4"/>
                    <w:left w:val="none" w:color="000000" w:sz="4"/>
                    <w:bottom w:val="single" w:color="000000" w:sz="4"/>
                    <w:right w:val="single" w:color="000000" w:sz="4"/>
                  </w:tcBorders>
                  <w:vAlign w:val="top"/>
                </w:tcPr>
                <w:p>
                  <w:pPr>
                    <w:jc w:val="center"/>
                  </w:pPr>
                  <w:r>
                    <w:rPr>
                      <w:sz w:val="24"/>
                    </w:rPr>
                    <w:t>≤2</w:t>
                  </w:r>
                </w:p>
              </w:tc>
            </w:tr>
          </w:tbl>
          <w:p>
            <w:pPr>
              <w:jc w:val="both"/>
            </w:pPr>
            <w:r>
              <w:rPr>
                <w:sz w:val="24"/>
              </w:rPr>
              <w:t>（</w:t>
            </w:r>
            <w:r>
              <w:rPr>
                <w:sz w:val="24"/>
              </w:rPr>
              <w:t>2）塑胶跑道面层厚度、物理、老化、无机填料、气味和环保指标（执行标准：GB 36246-2018）</w:t>
            </w:r>
          </w:p>
          <w:tbl>
            <w:tblPr>
              <w:tblBorders>
                <w:top w:val="none" w:color="000000" w:sz="4"/>
                <w:left w:val="none" w:color="000000" w:sz="4"/>
                <w:bottom w:val="none" w:color="000000" w:sz="4"/>
                <w:right w:val="none" w:color="000000" w:sz="4"/>
                <w:insideH w:val="none"/>
                <w:insideV w:val="none"/>
              </w:tblBorders>
            </w:tblPr>
            <w:tblGrid>
              <w:gridCol w:w="354"/>
              <w:gridCol w:w="737"/>
              <w:gridCol w:w="1013"/>
              <w:gridCol w:w="2046"/>
              <w:gridCol w:w="1426"/>
            </w:tblGrid>
            <w:tr>
              <w:tc>
                <w:tcPr>
                  <w:tcW w:type="dxa" w:w="354"/>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3796"/>
                  <w:gridSpan w:val="3"/>
                  <w:tcBorders>
                    <w:top w:val="single" w:color="000000" w:sz="4"/>
                    <w:left w:val="none" w:color="000000" w:sz="4"/>
                    <w:bottom w:val="single" w:color="000000" w:sz="4"/>
                    <w:right w:val="single" w:color="000000" w:sz="4"/>
                  </w:tcBorders>
                  <w:vAlign w:val="top"/>
                </w:tcPr>
                <w:p>
                  <w:pPr>
                    <w:jc w:val="center"/>
                  </w:pPr>
                  <w:r>
                    <w:rPr>
                      <w:sz w:val="24"/>
                    </w:rPr>
                    <w:t>项目</w:t>
                  </w:r>
                </w:p>
              </w:tc>
              <w:tc>
                <w:tcPr>
                  <w:tcW w:type="dxa" w:w="1426"/>
                  <w:tcBorders>
                    <w:top w:val="single" w:color="000000" w:sz="4"/>
                    <w:left w:val="none" w:color="000000" w:sz="4"/>
                    <w:bottom w:val="single" w:color="000000" w:sz="4"/>
                    <w:right w:val="single" w:color="000000" w:sz="4"/>
                  </w:tcBorders>
                  <w:vAlign w:val="top"/>
                </w:tcPr>
                <w:p>
                  <w:pPr>
                    <w:jc w:val="center"/>
                  </w:pPr>
                  <w:r>
                    <w:rPr>
                      <w:sz w:val="24"/>
                    </w:rPr>
                    <w:t>技术要求</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737"/>
                  <w:vMerge w:val="restart"/>
                  <w:tcBorders>
                    <w:top w:val="none" w:color="000000" w:sz="4"/>
                    <w:left w:val="none" w:color="000000" w:sz="4"/>
                    <w:bottom w:val="single" w:color="000000" w:sz="4"/>
                    <w:right w:val="single" w:color="000000" w:sz="4"/>
                  </w:tcBorders>
                  <w:vAlign w:val="top"/>
                </w:tcPr>
                <w:p>
                  <w:pPr>
                    <w:jc w:val="center"/>
                  </w:pPr>
                  <w:r>
                    <w:rPr>
                      <w:sz w:val="24"/>
                    </w:rPr>
                    <w:t>厚度</w:t>
                  </w: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球类场地</w:t>
                  </w:r>
                </w:p>
              </w:tc>
              <w:tc>
                <w:tcPr>
                  <w:tcW w:type="dxa" w:w="1426"/>
                  <w:tcBorders>
                    <w:top w:val="single" w:color="000000" w:sz="4"/>
                    <w:left w:val="none" w:color="000000" w:sz="4"/>
                    <w:bottom w:val="single" w:color="000000" w:sz="4"/>
                    <w:right w:val="single" w:color="000000" w:sz="4"/>
                  </w:tcBorders>
                  <w:vAlign w:val="top"/>
                </w:tcPr>
                <w:p>
                  <w:pPr>
                    <w:jc w:val="center"/>
                  </w:pPr>
                  <w:r>
                    <w:rPr>
                      <w:sz w:val="24"/>
                    </w:rPr>
                    <w:t>平均厚度</w:t>
                  </w:r>
                  <w:r>
                    <w:rPr>
                      <w:sz w:val="24"/>
                    </w:rPr>
                    <w:t>≥</w:t>
                  </w:r>
                  <w:r>
                    <w:rPr>
                      <w:sz w:val="24"/>
                    </w:rPr>
                    <w:t>8mm</w:t>
                  </w:r>
                </w:p>
              </w:tc>
            </w:tr>
            <w:tr>
              <w:tc>
                <w:tcPr>
                  <w:tcW w:type="dxa" w:w="354"/>
                  <w:tcBorders>
                    <w:top w:val="none" w:color="000000" w:sz="4"/>
                    <w:left w:val="single" w:color="000000" w:sz="4"/>
                    <w:bottom w:val="single" w:color="000000" w:sz="4"/>
                    <w:right w:val="single" w:color="000000" w:sz="4"/>
                  </w:tcBorders>
                  <w:vAlign w:val="top"/>
                </w:tcPr>
                <w:p>
                  <w:pPr>
                    <w:jc w:val="both"/>
                  </w:pPr>
                  <w:r>
                    <w:rPr>
                      <w:sz w:val="24"/>
                    </w:rPr>
                    <w:t xml:space="preserve"> 2</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田径场地</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平均厚度</w:t>
                  </w:r>
                  <w:r>
                    <w:rPr>
                      <w:sz w:val="24"/>
                    </w:rPr>
                    <w:t>≥</w:t>
                  </w:r>
                  <w:r>
                    <w:rPr>
                      <w:sz w:val="24"/>
                    </w:rPr>
                    <w:t>13mm</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3</w:t>
                  </w:r>
                </w:p>
              </w:tc>
              <w:tc>
                <w:tcPr>
                  <w:tcW w:type="dxa" w:w="737"/>
                  <w:vMerge w:val="restart"/>
                  <w:tcBorders>
                    <w:top w:val="none" w:color="000000" w:sz="4"/>
                    <w:left w:val="none" w:color="000000" w:sz="4"/>
                    <w:bottom w:val="single" w:color="000000" w:sz="4"/>
                    <w:right w:val="single" w:color="000000" w:sz="4"/>
                  </w:tcBorders>
                  <w:vAlign w:val="top"/>
                </w:tcPr>
                <w:p>
                  <w:pPr>
                    <w:jc w:val="center"/>
                  </w:pPr>
                  <w:r>
                    <w:rPr>
                      <w:sz w:val="24"/>
                    </w:rPr>
                    <w:t>现浇型物理机械性能</w:t>
                  </w:r>
                </w:p>
              </w:tc>
              <w:tc>
                <w:tcPr>
                  <w:tcW w:type="dxa" w:w="1013"/>
                  <w:vMerge w:val="restart"/>
                  <w:tcBorders>
                    <w:top w:val="none" w:color="000000" w:sz="4"/>
                    <w:left w:val="none" w:color="000000" w:sz="4"/>
                    <w:bottom w:val="none" w:color="000000" w:sz="4"/>
                    <w:right w:val="single" w:color="000000" w:sz="4"/>
                  </w:tcBorders>
                  <w:vAlign w:val="top"/>
                </w:tcPr>
                <w:p>
                  <w:pPr>
                    <w:jc w:val="center"/>
                  </w:pPr>
                  <w:r>
                    <w:rPr>
                      <w:sz w:val="24"/>
                    </w:rPr>
                    <w:t>冲击吸收</w:t>
                  </w:r>
                  <w:r>
                    <w:rPr>
                      <w:sz w:val="24"/>
                    </w:rPr>
                    <w:t>/（%）</w:t>
                  </w:r>
                </w:p>
              </w:tc>
              <w:tc>
                <w:tcPr>
                  <w:tcW w:type="dxa" w:w="2046"/>
                  <w:tcBorders>
                    <w:top w:val="none" w:color="000000" w:sz="4"/>
                    <w:left w:val="none" w:color="000000" w:sz="4"/>
                    <w:bottom w:val="single" w:color="000000" w:sz="4"/>
                    <w:right w:val="single" w:color="000000" w:sz="4"/>
                  </w:tcBorders>
                  <w:vAlign w:val="top"/>
                </w:tcPr>
                <w:p>
                  <w:pPr>
                    <w:jc w:val="both"/>
                  </w:pPr>
                  <w:r>
                    <w:rPr>
                      <w:sz w:val="24"/>
                    </w:rPr>
                    <w:t>球类场地</w:t>
                  </w:r>
                </w:p>
              </w:tc>
              <w:tc>
                <w:tcPr>
                  <w:tcW w:type="dxa" w:w="1426"/>
                  <w:tcBorders>
                    <w:top w:val="single" w:color="000000" w:sz="4"/>
                    <w:left w:val="none" w:color="000000" w:sz="4"/>
                    <w:bottom w:val="single" w:color="000000" w:sz="4"/>
                    <w:right w:val="single" w:color="000000" w:sz="4"/>
                  </w:tcBorders>
                  <w:vAlign w:val="top"/>
                </w:tcPr>
                <w:p>
                  <w:pPr>
                    <w:jc w:val="center"/>
                  </w:pPr>
                  <w:r>
                    <w:rPr>
                      <w:sz w:val="24"/>
                    </w:rPr>
                    <w:t>20～50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4</w:t>
                  </w:r>
                </w:p>
              </w:tc>
              <w:tc>
                <w:tcPr>
                  <w:tcW w:type="dxa" w:w="737"/>
                  <w:vMerge/>
                  <w:tcBorders>
                    <w:top w:val="none" w:color="000000" w:sz="4"/>
                    <w:left w:val="none" w:color="000000" w:sz="4"/>
                    <w:bottom w:val="single" w:color="000000" w:sz="4"/>
                    <w:right w:val="single" w:color="000000" w:sz="4"/>
                  </w:tcBorders>
                </w:tcPr>
                <w:p/>
              </w:tc>
              <w:tc>
                <w:tcPr>
                  <w:tcW w:type="dxa" w:w="1013"/>
                  <w:vMerge/>
                  <w:tcBorders>
                    <w:top w:val="none" w:color="000000" w:sz="4"/>
                    <w:left w:val="none" w:color="000000" w:sz="4"/>
                    <w:bottom w:val="none" w:color="000000" w:sz="4"/>
                    <w:right w:val="single" w:color="000000" w:sz="4"/>
                  </w:tcBorders>
                </w:tcPr>
                <w:p/>
              </w:tc>
              <w:tc>
                <w:tcPr>
                  <w:tcW w:type="dxa" w:w="2046"/>
                  <w:tcBorders>
                    <w:top w:val="none" w:color="000000" w:sz="4"/>
                    <w:left w:val="none" w:color="000000" w:sz="4"/>
                    <w:bottom w:val="single" w:color="000000" w:sz="4"/>
                    <w:right w:val="single" w:color="000000" w:sz="4"/>
                  </w:tcBorders>
                  <w:vAlign w:val="top"/>
                </w:tcPr>
                <w:p>
                  <w:pPr>
                    <w:jc w:val="both"/>
                  </w:pPr>
                  <w:r>
                    <w:rPr>
                      <w:sz w:val="24"/>
                    </w:rPr>
                    <w:t>田径场地</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35～50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5</w:t>
                  </w:r>
                </w:p>
              </w:tc>
              <w:tc>
                <w:tcPr>
                  <w:tcW w:type="dxa" w:w="737"/>
                  <w:vMerge/>
                  <w:tcBorders>
                    <w:top w:val="none" w:color="000000" w:sz="4"/>
                    <w:left w:val="none" w:color="000000" w:sz="4"/>
                    <w:bottom w:val="single" w:color="000000" w:sz="4"/>
                    <w:right w:val="single" w:color="000000" w:sz="4"/>
                  </w:tcBorders>
                </w:tcPr>
                <w:p/>
              </w:tc>
              <w:tc>
                <w:tcPr>
                  <w:tcW w:type="dxa" w:w="1013"/>
                  <w:vMerge/>
                  <w:tcBorders>
                    <w:top w:val="none" w:color="000000" w:sz="4"/>
                    <w:left w:val="none" w:color="000000" w:sz="4"/>
                    <w:bottom w:val="none" w:color="000000" w:sz="4"/>
                    <w:right w:val="single" w:color="000000" w:sz="4"/>
                  </w:tcBorders>
                </w:tcPr>
                <w:p/>
              </w:tc>
              <w:tc>
                <w:tcPr>
                  <w:tcW w:type="dxa" w:w="2046"/>
                  <w:tcBorders>
                    <w:top w:val="none" w:color="000000" w:sz="4"/>
                    <w:left w:val="none" w:color="000000" w:sz="4"/>
                    <w:bottom w:val="single" w:color="000000" w:sz="4"/>
                    <w:right w:val="single" w:color="000000" w:sz="4"/>
                  </w:tcBorders>
                  <w:vAlign w:val="top"/>
                </w:tcPr>
                <w:p>
                  <w:pPr>
                    <w:jc w:val="both"/>
                  </w:pPr>
                  <w:r>
                    <w:rPr>
                      <w:sz w:val="24"/>
                    </w:rPr>
                    <w:t>其他活动场地</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25</w:t>
                  </w:r>
                  <w:r>
                    <w:rPr>
                      <w:sz w:val="24"/>
                    </w:rPr>
                    <w:t>～</w:t>
                  </w:r>
                  <w:r>
                    <w:rPr>
                      <w:sz w:val="24"/>
                    </w:rPr>
                    <w:t>50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6</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垂直变形</w:t>
                  </w:r>
                  <w:r>
                    <w:rPr>
                      <w:sz w:val="24"/>
                    </w:rPr>
                    <w:t>/（mm）</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0.6～3.0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7</w:t>
                  </w:r>
                </w:p>
              </w:tc>
              <w:tc>
                <w:tcPr>
                  <w:tcW w:type="dxa" w:w="737"/>
                  <w:vMerge/>
                  <w:tcBorders>
                    <w:top w:val="none" w:color="000000" w:sz="4"/>
                    <w:left w:val="none" w:color="000000" w:sz="4"/>
                    <w:bottom w:val="single" w:color="000000" w:sz="4"/>
                    <w:right w:val="single" w:color="000000" w:sz="4"/>
                  </w:tcBorders>
                </w:tcPr>
                <w:p/>
              </w:tc>
              <w:tc>
                <w:tcPr>
                  <w:tcW w:type="dxa" w:w="1013"/>
                  <w:vMerge w:val="restart"/>
                  <w:tcBorders>
                    <w:top w:val="none" w:color="000000" w:sz="4"/>
                    <w:left w:val="none" w:color="000000" w:sz="4"/>
                    <w:bottom w:val="single" w:color="000000" w:sz="4"/>
                    <w:right w:val="single" w:color="000000" w:sz="4"/>
                  </w:tcBorders>
                  <w:vAlign w:val="top"/>
                </w:tcPr>
                <w:p>
                  <w:pPr>
                    <w:jc w:val="left"/>
                  </w:pPr>
                  <w:r>
                    <w:rPr>
                      <w:sz w:val="24"/>
                    </w:rPr>
                    <w:t>抗滑值</w:t>
                  </w:r>
                  <w:r>
                    <w:rPr>
                      <w:sz w:val="24"/>
                    </w:rPr>
                    <w:t>（</w:t>
                  </w:r>
                  <w:r>
                    <w:rPr>
                      <w:sz w:val="24"/>
                    </w:rPr>
                    <w:t>20 ℃</w:t>
                  </w:r>
                  <w:r>
                    <w:rPr>
                      <w:sz w:val="24"/>
                    </w:rPr>
                    <w:t>）</w:t>
                  </w:r>
                  <w:r>
                    <w:rPr>
                      <w:sz w:val="24"/>
                    </w:rPr>
                    <w:t>/BPN</w:t>
                  </w:r>
                </w:p>
              </w:tc>
              <w:tc>
                <w:tcPr>
                  <w:tcW w:type="dxa" w:w="2046"/>
                  <w:tcBorders>
                    <w:top w:val="none" w:color="000000" w:sz="4"/>
                    <w:left w:val="none" w:color="000000" w:sz="4"/>
                    <w:bottom w:val="single" w:color="000000" w:sz="4"/>
                    <w:right w:val="single" w:color="000000" w:sz="4"/>
                  </w:tcBorders>
                  <w:vAlign w:val="top"/>
                </w:tcPr>
                <w:p>
                  <w:pPr>
                    <w:jc w:val="both"/>
                  </w:pPr>
                  <w:r>
                    <w:rPr>
                      <w:sz w:val="24"/>
                    </w:rPr>
                    <w:t>球类场地及其他活动场地</w:t>
                  </w:r>
                </w:p>
              </w:tc>
              <w:tc>
                <w:tcPr>
                  <w:tcW w:type="dxa" w:w="1426"/>
                  <w:tcBorders>
                    <w:top w:val="single" w:color="000000" w:sz="4"/>
                    <w:left w:val="none" w:color="000000" w:sz="4"/>
                    <w:bottom w:val="single" w:color="000000" w:sz="4"/>
                    <w:right w:val="single" w:color="000000" w:sz="4"/>
                  </w:tcBorders>
                  <w:vAlign w:val="top"/>
                </w:tcPr>
                <w:p>
                  <w:pPr>
                    <w:jc w:val="center"/>
                  </w:pPr>
                  <w:r>
                    <w:rPr>
                      <w:sz w:val="24"/>
                    </w:rPr>
                    <w:t>80～110（干测）</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8</w:t>
                  </w:r>
                </w:p>
              </w:tc>
              <w:tc>
                <w:tcPr>
                  <w:tcW w:type="dxa" w:w="737"/>
                  <w:vMerge/>
                  <w:tcBorders>
                    <w:top w:val="none" w:color="000000" w:sz="4"/>
                    <w:left w:val="none" w:color="000000" w:sz="4"/>
                    <w:bottom w:val="single" w:color="000000" w:sz="4"/>
                    <w:right w:val="single" w:color="000000" w:sz="4"/>
                  </w:tcBorders>
                </w:tcPr>
                <w:p/>
              </w:tc>
              <w:tc>
                <w:tcPr>
                  <w:tcW w:type="dxa" w:w="1013"/>
                  <w:vMerge/>
                  <w:tcBorders>
                    <w:top w:val="none" w:color="000000" w:sz="4"/>
                    <w:left w:val="none" w:color="000000" w:sz="4"/>
                    <w:bottom w:val="single" w:color="000000" w:sz="4"/>
                    <w:right w:val="single" w:color="000000" w:sz="4"/>
                  </w:tcBorders>
                </w:tcPr>
                <w:p/>
              </w:tc>
              <w:tc>
                <w:tcPr>
                  <w:tcW w:type="dxa" w:w="2046"/>
                  <w:tcBorders>
                    <w:top w:val="none" w:color="000000" w:sz="4"/>
                    <w:left w:val="none" w:color="000000" w:sz="4"/>
                    <w:bottom w:val="single" w:color="000000" w:sz="4"/>
                    <w:right w:val="single" w:color="000000" w:sz="4"/>
                  </w:tcBorders>
                  <w:vAlign w:val="top"/>
                </w:tcPr>
                <w:p>
                  <w:pPr>
                    <w:jc w:val="both"/>
                  </w:pPr>
                  <w:r>
                    <w:rPr>
                      <w:sz w:val="24"/>
                    </w:rPr>
                    <w:t>田径场地</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≥47(湿测)</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9</w:t>
                  </w:r>
                </w:p>
              </w:tc>
              <w:tc>
                <w:tcPr>
                  <w:tcW w:type="dxa" w:w="737"/>
                  <w:vMerge/>
                  <w:tcBorders>
                    <w:top w:val="none" w:color="000000" w:sz="4"/>
                    <w:left w:val="none" w:color="000000" w:sz="4"/>
                    <w:bottom w:val="single" w:color="000000" w:sz="4"/>
                    <w:right w:val="single" w:color="000000" w:sz="4"/>
                  </w:tcBorders>
                </w:tcPr>
                <w:p/>
              </w:tc>
              <w:tc>
                <w:tcPr>
                  <w:tcW w:type="dxa" w:w="1013"/>
                  <w:vMerge w:val="restart"/>
                  <w:tcBorders>
                    <w:top w:val="none" w:color="000000" w:sz="4"/>
                    <w:left w:val="none" w:color="000000" w:sz="4"/>
                    <w:bottom w:val="single" w:color="000000" w:sz="4"/>
                    <w:right w:val="single" w:color="000000" w:sz="4"/>
                  </w:tcBorders>
                  <w:vAlign w:val="top"/>
                </w:tcPr>
                <w:p>
                  <w:pPr>
                    <w:jc w:val="both"/>
                  </w:pPr>
                  <w:r>
                    <w:rPr>
                      <w:sz w:val="24"/>
                    </w:rPr>
                    <w:t>拉伸强度</w:t>
                  </w:r>
                  <w:r>
                    <w:rPr>
                      <w:sz w:val="24"/>
                    </w:rPr>
                    <w:t>/MPa</w:t>
                  </w:r>
                </w:p>
              </w:tc>
              <w:tc>
                <w:tcPr>
                  <w:tcW w:type="dxa" w:w="2046"/>
                  <w:tcBorders>
                    <w:top w:val="none" w:color="000000" w:sz="4"/>
                    <w:left w:val="none" w:color="000000" w:sz="4"/>
                    <w:bottom w:val="single" w:color="000000" w:sz="4"/>
                    <w:right w:val="single" w:color="000000" w:sz="4"/>
                  </w:tcBorders>
                  <w:vAlign w:val="top"/>
                </w:tcPr>
                <w:p>
                  <w:pPr>
                    <w:jc w:val="both"/>
                  </w:pPr>
                  <w:r>
                    <w:rPr>
                      <w:sz w:val="24"/>
                    </w:rPr>
                    <w:t>渗水型面层</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≥0.4</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737"/>
                  <w:vMerge/>
                  <w:tcBorders>
                    <w:top w:val="none" w:color="000000" w:sz="4"/>
                    <w:left w:val="none" w:color="000000" w:sz="4"/>
                    <w:bottom w:val="single" w:color="000000" w:sz="4"/>
                    <w:right w:val="single" w:color="000000" w:sz="4"/>
                  </w:tcBorders>
                </w:tcPr>
                <w:p/>
              </w:tc>
              <w:tc>
                <w:tcPr>
                  <w:tcW w:type="dxa" w:w="1013"/>
                  <w:vMerge/>
                  <w:tcBorders>
                    <w:top w:val="none" w:color="000000" w:sz="4"/>
                    <w:left w:val="none" w:color="000000" w:sz="4"/>
                    <w:bottom w:val="single" w:color="000000" w:sz="4"/>
                    <w:right w:val="single" w:color="000000" w:sz="4"/>
                  </w:tcBorders>
                </w:tcPr>
                <w:p/>
              </w:tc>
              <w:tc>
                <w:tcPr>
                  <w:tcW w:type="dxa" w:w="2046"/>
                  <w:tcBorders>
                    <w:top w:val="none" w:color="000000" w:sz="4"/>
                    <w:left w:val="none" w:color="000000" w:sz="4"/>
                    <w:bottom w:val="single" w:color="000000" w:sz="4"/>
                    <w:right w:val="single" w:color="000000" w:sz="4"/>
                  </w:tcBorders>
                  <w:vAlign w:val="top"/>
                </w:tcPr>
                <w:p>
                  <w:pPr>
                    <w:jc w:val="both"/>
                  </w:pPr>
                  <w:r>
                    <w:rPr>
                      <w:sz w:val="24"/>
                    </w:rPr>
                    <w:t>非渗水型面层</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≥0.5</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拉断伸长率</w:t>
                  </w:r>
                  <w:r>
                    <w:rPr>
                      <w:sz w:val="24"/>
                    </w:rPr>
                    <w:t>/（%）</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阻燃性能</w:t>
                  </w:r>
                  <w:r>
                    <w:rPr>
                      <w:sz w:val="24"/>
                    </w:rPr>
                    <w:t>/（级）</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Ⅰ</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13</w:t>
                  </w:r>
                </w:p>
              </w:tc>
              <w:tc>
                <w:tcPr>
                  <w:tcW w:type="dxa" w:w="737"/>
                  <w:vMerge w:val="restart"/>
                  <w:tcBorders>
                    <w:top w:val="none" w:color="000000" w:sz="4"/>
                    <w:left w:val="none" w:color="000000" w:sz="4"/>
                    <w:bottom w:val="single" w:color="000000" w:sz="4"/>
                    <w:right w:val="single" w:color="000000" w:sz="4"/>
                  </w:tcBorders>
                  <w:vAlign w:val="top"/>
                </w:tcPr>
                <w:p>
                  <w:pPr>
                    <w:jc w:val="left"/>
                  </w:pPr>
                  <w:r>
                    <w:rPr>
                      <w:sz w:val="24"/>
                    </w:rPr>
                    <w:t>耐人工气候老化（</w:t>
                  </w:r>
                  <w:r>
                    <w:rPr>
                      <w:sz w:val="24"/>
                    </w:rPr>
                    <w:t>500h后）</w:t>
                  </w:r>
                </w:p>
              </w:tc>
              <w:tc>
                <w:tcPr>
                  <w:tcW w:type="dxa" w:w="1013"/>
                  <w:vMerge w:val="restart"/>
                  <w:tcBorders>
                    <w:top w:val="none" w:color="000000" w:sz="4"/>
                    <w:left w:val="none" w:color="000000" w:sz="4"/>
                    <w:bottom w:val="single" w:color="000000" w:sz="4"/>
                    <w:right w:val="single" w:color="000000" w:sz="4"/>
                  </w:tcBorders>
                  <w:vAlign w:val="top"/>
                </w:tcPr>
                <w:p>
                  <w:pPr>
                    <w:jc w:val="both"/>
                  </w:pPr>
                  <w:r>
                    <w:rPr>
                      <w:sz w:val="24"/>
                    </w:rPr>
                    <w:t>拉伸强度</w:t>
                  </w:r>
                  <w:r>
                    <w:rPr>
                      <w:sz w:val="24"/>
                    </w:rPr>
                    <w:t>/（MPa）</w:t>
                  </w:r>
                </w:p>
              </w:tc>
              <w:tc>
                <w:tcPr>
                  <w:tcW w:type="dxa" w:w="2046"/>
                  <w:tcBorders>
                    <w:top w:val="none" w:color="000000" w:sz="4"/>
                    <w:left w:val="none" w:color="000000" w:sz="4"/>
                    <w:bottom w:val="single" w:color="000000" w:sz="4"/>
                    <w:right w:val="single" w:color="000000" w:sz="4"/>
                  </w:tcBorders>
                  <w:vAlign w:val="top"/>
                </w:tcPr>
                <w:p>
                  <w:pPr>
                    <w:jc w:val="both"/>
                  </w:pPr>
                  <w:r>
                    <w:rPr>
                      <w:sz w:val="24"/>
                    </w:rPr>
                    <w:t>渗水型面层</w:t>
                  </w:r>
                </w:p>
              </w:tc>
              <w:tc>
                <w:tcPr>
                  <w:tcW w:type="dxa" w:w="1426"/>
                  <w:tcBorders>
                    <w:top w:val="single" w:color="000000" w:sz="4"/>
                    <w:left w:val="none" w:color="000000" w:sz="4"/>
                    <w:bottom w:val="single" w:color="000000" w:sz="4"/>
                    <w:right w:val="single" w:color="000000" w:sz="4"/>
                  </w:tcBorders>
                  <w:vAlign w:val="top"/>
                </w:tcPr>
                <w:p>
                  <w:pPr>
                    <w:jc w:val="center"/>
                  </w:pPr>
                  <w:r>
                    <w:rPr>
                      <w:sz w:val="24"/>
                    </w:rPr>
                    <w:t>≥0.4</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14</w:t>
                  </w:r>
                </w:p>
              </w:tc>
              <w:tc>
                <w:tcPr>
                  <w:tcW w:type="dxa" w:w="737"/>
                  <w:vMerge/>
                  <w:tcBorders>
                    <w:top w:val="none" w:color="000000" w:sz="4"/>
                    <w:left w:val="none" w:color="000000" w:sz="4"/>
                    <w:bottom w:val="single" w:color="000000" w:sz="4"/>
                    <w:right w:val="single" w:color="000000" w:sz="4"/>
                  </w:tcBorders>
                </w:tcPr>
                <w:p/>
              </w:tc>
              <w:tc>
                <w:tcPr>
                  <w:tcW w:type="dxa" w:w="1013"/>
                  <w:vMerge/>
                  <w:tcBorders>
                    <w:top w:val="none" w:color="000000" w:sz="4"/>
                    <w:left w:val="none" w:color="000000" w:sz="4"/>
                    <w:bottom w:val="single" w:color="000000" w:sz="4"/>
                    <w:right w:val="single" w:color="000000" w:sz="4"/>
                  </w:tcBorders>
                </w:tcPr>
                <w:p/>
              </w:tc>
              <w:tc>
                <w:tcPr>
                  <w:tcW w:type="dxa" w:w="2046"/>
                  <w:tcBorders>
                    <w:top w:val="none" w:color="000000" w:sz="4"/>
                    <w:left w:val="none" w:color="000000" w:sz="4"/>
                    <w:bottom w:val="single" w:color="000000" w:sz="4"/>
                    <w:right w:val="single" w:color="000000" w:sz="4"/>
                  </w:tcBorders>
                  <w:vAlign w:val="top"/>
                </w:tcPr>
                <w:p>
                  <w:pPr>
                    <w:jc w:val="both"/>
                  </w:pPr>
                  <w:r>
                    <w:rPr>
                      <w:sz w:val="24"/>
                    </w:rPr>
                    <w:t>非渗水型面层</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≥0.5</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15</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拉断伸长率</w:t>
                  </w:r>
                  <w:r>
                    <w:rPr>
                      <w:sz w:val="24"/>
                    </w:rPr>
                    <w:t>/（%）</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w:t>
                  </w:r>
                  <w:r>
                    <w:rPr>
                      <w:sz w:val="24"/>
                    </w:rPr>
                    <w:t>6</w:t>
                  </w:r>
                </w:p>
              </w:tc>
              <w:tc>
                <w:tcPr>
                  <w:tcW w:type="dxa" w:w="3796"/>
                  <w:gridSpan w:val="3"/>
                  <w:tcBorders>
                    <w:top w:val="none" w:color="000000" w:sz="4"/>
                    <w:left w:val="none" w:color="000000" w:sz="4"/>
                    <w:bottom w:val="single" w:color="000000" w:sz="4"/>
                    <w:right w:val="single" w:color="000000" w:sz="4"/>
                  </w:tcBorders>
                  <w:vAlign w:val="top"/>
                </w:tcPr>
                <w:p>
                  <w:pPr>
                    <w:jc w:val="both"/>
                  </w:pPr>
                  <w:r>
                    <w:rPr>
                      <w:sz w:val="24"/>
                    </w:rPr>
                    <w:t>无机填料含量</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≤65%</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w:t>
                  </w:r>
                  <w:r>
                    <w:rPr>
                      <w:sz w:val="24"/>
                    </w:rPr>
                    <w:t>7</w:t>
                  </w:r>
                </w:p>
              </w:tc>
              <w:tc>
                <w:tcPr>
                  <w:tcW w:type="dxa" w:w="737"/>
                  <w:vMerge w:val="restart"/>
                  <w:tcBorders>
                    <w:top w:val="none" w:color="000000" w:sz="4"/>
                    <w:left w:val="none" w:color="000000" w:sz="4"/>
                    <w:bottom w:val="single" w:color="000000" w:sz="4"/>
                    <w:right w:val="single" w:color="000000" w:sz="4"/>
                  </w:tcBorders>
                  <w:vAlign w:val="top"/>
                </w:tcPr>
                <w:p>
                  <w:pPr>
                    <w:jc w:val="center"/>
                  </w:pPr>
                  <w:r>
                    <w:rPr>
                      <w:sz w:val="24"/>
                    </w:rPr>
                    <w:t>有害物质含量</w:t>
                  </w: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3种邻苯二甲酸酯类化合物（DBP、BBP、DEHP）总和/（g/kg）</w:t>
                  </w:r>
                </w:p>
              </w:tc>
              <w:tc>
                <w:tcPr>
                  <w:tcW w:type="dxa" w:w="1426"/>
                  <w:tcBorders>
                    <w:top w:val="single" w:color="000000" w:sz="4"/>
                    <w:left w:val="none" w:color="000000" w:sz="4"/>
                    <w:bottom w:val="single" w:color="000000" w:sz="4"/>
                    <w:right w:val="single" w:color="000000" w:sz="4"/>
                  </w:tcBorders>
                  <w:vAlign w:val="top"/>
                </w:tcPr>
                <w:p>
                  <w:pPr>
                    <w:jc w:val="center"/>
                  </w:pPr>
                  <w:r>
                    <w:rPr>
                      <w:sz w:val="24"/>
                    </w:rPr>
                    <w:t>≤1.0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w:t>
                  </w:r>
                  <w:r>
                    <w:rPr>
                      <w:sz w:val="24"/>
                    </w:rPr>
                    <w:t>8</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3 种邻苯二甲酸酯类化合物（DNOP、DINP、DIDP）总和/（g/kg）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19</w:t>
                  </w:r>
                </w:p>
              </w:tc>
              <w:tc>
                <w:tcPr>
                  <w:tcW w:type="dxa" w:w="737"/>
                  <w:vMerge/>
                  <w:tcBorders>
                    <w:top w:val="none" w:color="000000" w:sz="4"/>
                    <w:left w:val="none" w:color="000000" w:sz="4"/>
                    <w:bottom w:val="single" w:color="000000" w:sz="4"/>
                    <w:right w:val="single" w:color="000000" w:sz="4"/>
                  </w:tcBorders>
                </w:tcPr>
                <w:p/>
              </w:tc>
              <w:tc>
                <w:tcPr>
                  <w:tcW w:type="dxa" w:w="3059"/>
                  <w:gridSpan w:val="2"/>
                  <w:vMerge w:val="restart"/>
                  <w:tcBorders>
                    <w:top w:val="none" w:color="000000" w:sz="4"/>
                    <w:left w:val="none" w:color="000000" w:sz="4"/>
                    <w:bottom w:val="single" w:color="000000" w:sz="4"/>
                    <w:right w:val="single" w:color="000000" w:sz="4"/>
                  </w:tcBorders>
                  <w:vAlign w:val="top"/>
                </w:tcPr>
                <w:p>
                  <w:pPr>
                    <w:jc w:val="both"/>
                  </w:pPr>
                  <w:r>
                    <w:rPr>
                      <w:sz w:val="24"/>
                    </w:rPr>
                    <w:t>18 种多环芳烃总和/（mg/kg）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20</w:t>
                  </w:r>
                </w:p>
              </w:tc>
              <w:tc>
                <w:tcPr>
                  <w:tcW w:type="dxa" w:w="737"/>
                  <w:vMerge/>
                  <w:tcBorders>
                    <w:top w:val="none" w:color="000000" w:sz="4"/>
                    <w:left w:val="none" w:color="000000" w:sz="4"/>
                    <w:bottom w:val="single" w:color="000000" w:sz="4"/>
                    <w:right w:val="single" w:color="000000" w:sz="4"/>
                  </w:tcBorders>
                </w:tcPr>
                <w:p/>
              </w:tc>
              <w:tc>
                <w:tcPr>
                  <w:tcW w:type="dxa" w:w="3059"/>
                  <w:gridSpan w:val="2"/>
                  <w:vMerge/>
                  <w:tcBorders>
                    <w:top w:val="none" w:color="000000" w:sz="4"/>
                    <w:left w:val="non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vAlign w:val="top"/>
                </w:tcPr>
                <w:p>
                  <w:pPr>
                    <w:jc w:val="center"/>
                  </w:pPr>
                  <w:r>
                    <w:rPr>
                      <w:sz w:val="24"/>
                    </w:rPr>
                    <w:t>≤20</w:t>
                  </w:r>
                  <w:r>
                    <w:rPr>
                      <w:sz w:val="24"/>
                      <w:vertAlign w:val="superscript"/>
                    </w:rPr>
                    <w:t>C</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21</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苯并</w:t>
                  </w:r>
                  <w:r>
                    <w:rPr>
                      <w:sz w:val="24"/>
                    </w:rPr>
                    <w:t>[a]芘/（mg/kg）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22</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短链氯化石蜡（</w:t>
                  </w:r>
                  <w:r>
                    <w:rPr>
                      <w:sz w:val="24"/>
                    </w:rPr>
                    <w:t>C</w:t>
                  </w:r>
                  <w:r>
                    <w:rPr>
                      <w:sz w:val="24"/>
                      <w:vertAlign w:val="subscript"/>
                    </w:rPr>
                    <w:t>10</w:t>
                  </w:r>
                  <w:r>
                    <w:rPr>
                      <w:sz w:val="24"/>
                    </w:rPr>
                    <w:t>-C</w:t>
                  </w:r>
                  <w:r>
                    <w:rPr>
                      <w:sz w:val="24"/>
                      <w:vertAlign w:val="subscript"/>
                    </w:rPr>
                    <w:t>13</w:t>
                  </w:r>
                  <w:r>
                    <w:rPr>
                      <w:sz w:val="24"/>
                    </w:rPr>
                    <w:t>）</w:t>
                  </w:r>
                  <w:r>
                    <w:rPr>
                      <w:sz w:val="24"/>
                    </w:rPr>
                    <w:t>/（g/kg）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≤1.5</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23</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4,4'-二氨基-3,3'-二氯二苯甲烷（MOCA）/（g/kg）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24</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游离甲苯二异氰酸酯（</w:t>
                  </w:r>
                  <w:r>
                    <w:rPr>
                      <w:sz w:val="24"/>
                    </w:rPr>
                    <w:t>TDI）和游离六亚甲基二异氰酸酯（HDI）总和/（g/kg）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≤0.2</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25</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游离二苯基甲烷二异氰酸酯（</w:t>
                  </w:r>
                  <w:r>
                    <w:rPr>
                      <w:sz w:val="24"/>
                    </w:rPr>
                    <w:t>MDI）/（g/kg）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26</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可溶性铅</w:t>
                  </w:r>
                  <w:r>
                    <w:rPr>
                      <w:sz w:val="24"/>
                    </w:rPr>
                    <w:t>/（mg/kg）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w:t>
                  </w:r>
                  <w:r>
                    <w:rPr>
                      <w:sz w:val="24"/>
                    </w:rPr>
                    <w:t>7</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可溶性镉</w:t>
                  </w:r>
                  <w:r>
                    <w:rPr>
                      <w:sz w:val="24"/>
                    </w:rPr>
                    <w:t>/（mg/kg）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w:t>
                  </w:r>
                  <w:r>
                    <w:rPr>
                      <w:sz w:val="24"/>
                    </w:rPr>
                    <w:t>8</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可溶性铬</w:t>
                  </w:r>
                  <w:r>
                    <w:rPr>
                      <w:sz w:val="24"/>
                    </w:rPr>
                    <w:t>/（mg/kg）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w:t>
                  </w:r>
                  <w:r>
                    <w:rPr>
                      <w:sz w:val="24"/>
                    </w:rPr>
                    <w:t>9</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可溶性汞</w:t>
                  </w:r>
                  <w:r>
                    <w:rPr>
                      <w:sz w:val="24"/>
                    </w:rPr>
                    <w:t>/（mg/kg）</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≤2</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30</w:t>
                  </w:r>
                </w:p>
              </w:tc>
              <w:tc>
                <w:tcPr>
                  <w:tcW w:type="dxa" w:w="737"/>
                  <w:vMerge w:val="restart"/>
                  <w:tcBorders>
                    <w:top w:val="none" w:color="000000" w:sz="4"/>
                    <w:left w:val="none" w:color="000000" w:sz="4"/>
                    <w:bottom w:val="single" w:color="000000" w:sz="4"/>
                    <w:right w:val="single" w:color="000000" w:sz="4"/>
                  </w:tcBorders>
                  <w:vAlign w:val="top"/>
                </w:tcPr>
                <w:p>
                  <w:pPr>
                    <w:jc w:val="center"/>
                  </w:pPr>
                  <w:r>
                    <w:rPr>
                      <w:sz w:val="24"/>
                    </w:rPr>
                    <w:t>有害物质释放量</w:t>
                  </w: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总挥发性有机化合物（</w:t>
                  </w:r>
                  <w:r>
                    <w:rPr>
                      <w:sz w:val="24"/>
                    </w:rPr>
                    <w:t>TVOC）/（mg/（㎡•h））</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31</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甲醛</w:t>
                  </w:r>
                  <w:r>
                    <w:rPr>
                      <w:sz w:val="24"/>
                    </w:rPr>
                    <w:t>/（mg/（㎡•h））</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≤0.4</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32</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苯</w:t>
                  </w:r>
                  <w:r>
                    <w:rPr>
                      <w:sz w:val="24"/>
                    </w:rPr>
                    <w:t>/（mg/（㎡•h））</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≤0.1</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33</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甲苯、二甲苯和乙苯总和</w:t>
                  </w:r>
                  <w:r>
                    <w:rPr>
                      <w:sz w:val="24"/>
                    </w:rPr>
                    <w:t>/（mg/（㎡•h））</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34</w:t>
                  </w:r>
                </w:p>
              </w:tc>
              <w:tc>
                <w:tcPr>
                  <w:tcW w:type="dxa" w:w="737"/>
                  <w:vMerge/>
                  <w:tcBorders>
                    <w:top w:val="none" w:color="000000" w:sz="4"/>
                    <w:left w:val="none" w:color="000000" w:sz="4"/>
                    <w:bottom w:val="single" w:color="000000" w:sz="4"/>
                    <w:right w:val="single" w:color="000000" w:sz="4"/>
                  </w:tcBorders>
                </w:tcP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二硫化碳</w:t>
                  </w:r>
                  <w:r>
                    <w:rPr>
                      <w:sz w:val="24"/>
                    </w:rPr>
                    <w:t>/（mg/（㎡•h））</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35</w:t>
                  </w:r>
                </w:p>
              </w:tc>
              <w:tc>
                <w:tcPr>
                  <w:tcW w:type="dxa" w:w="737"/>
                  <w:tcBorders>
                    <w:top w:val="none" w:color="000000" w:sz="4"/>
                    <w:left w:val="none" w:color="000000" w:sz="4"/>
                    <w:bottom w:val="single" w:color="000000" w:sz="4"/>
                    <w:right w:val="single" w:color="000000" w:sz="4"/>
                  </w:tcBorders>
                  <w:vAlign w:val="top"/>
                </w:tcPr>
                <w:p>
                  <w:pPr>
                    <w:jc w:val="center"/>
                  </w:pPr>
                  <w:r>
                    <w:rPr>
                      <w:sz w:val="24"/>
                    </w:rPr>
                    <w:t>气味</w:t>
                  </w:r>
                </w:p>
              </w:tc>
              <w:tc>
                <w:tcPr>
                  <w:tcW w:type="dxa" w:w="3059"/>
                  <w:gridSpan w:val="2"/>
                  <w:tcBorders>
                    <w:top w:val="none" w:color="000000" w:sz="4"/>
                    <w:left w:val="none" w:color="000000" w:sz="4"/>
                    <w:bottom w:val="single" w:color="000000" w:sz="4"/>
                    <w:right w:val="single" w:color="000000" w:sz="4"/>
                  </w:tcBorders>
                  <w:vAlign w:val="top"/>
                </w:tcPr>
                <w:p>
                  <w:pPr>
                    <w:jc w:val="both"/>
                  </w:pPr>
                  <w:r>
                    <w:rPr>
                      <w:sz w:val="24"/>
                    </w:rPr>
                    <w:t>气味等级</w:t>
                  </w:r>
                  <w:r>
                    <w:rPr>
                      <w:sz w:val="24"/>
                    </w:rPr>
                    <w:t>/级</w:t>
                  </w:r>
                </w:p>
              </w:tc>
              <w:tc>
                <w:tcPr>
                  <w:tcW w:type="dxa" w:w="1426"/>
                  <w:tcBorders>
                    <w:top w:val="none" w:color="000000" w:sz="4"/>
                    <w:left w:val="none" w:color="000000" w:sz="4"/>
                    <w:bottom w:val="single" w:color="000000" w:sz="4"/>
                    <w:right w:val="single" w:color="000000" w:sz="4"/>
                  </w:tcBorders>
                  <w:vAlign w:val="top"/>
                </w:tcPr>
                <w:p>
                  <w:pPr>
                    <w:jc w:val="center"/>
                  </w:pPr>
                  <w:r>
                    <w:rPr>
                      <w:sz w:val="24"/>
                    </w:rPr>
                    <w:t>≤3</w:t>
                  </w:r>
                </w:p>
              </w:tc>
            </w:tr>
          </w:tbl>
          <w:p>
            <w:pPr>
              <w:jc w:val="both"/>
            </w:pPr>
            <w:r>
              <w:rPr>
                <w:b/>
                <w:sz w:val="24"/>
              </w:rPr>
              <w:t>2</w:t>
            </w:r>
            <w:r>
              <w:rPr>
                <w:b/>
                <w:sz w:val="24"/>
              </w:rPr>
              <w:t>、施工要求</w:t>
            </w:r>
          </w:p>
          <w:p>
            <w:pPr>
              <w:jc w:val="both"/>
            </w:pPr>
            <w:r>
              <w:rPr>
                <w:sz w:val="24"/>
              </w:rPr>
              <w:t>2.</w:t>
            </w:r>
            <w:r>
              <w:rPr>
                <w:sz w:val="24"/>
              </w:rPr>
              <w:t>1、必须严格按照施工规范的要求根据施工图进行施工。</w:t>
            </w:r>
          </w:p>
          <w:p>
            <w:pPr>
              <w:jc w:val="both"/>
            </w:pPr>
            <w:r>
              <w:rPr>
                <w:sz w:val="24"/>
              </w:rPr>
              <w:t>2.</w:t>
            </w:r>
            <w:r>
              <w:rPr>
                <w:sz w:val="24"/>
              </w:rPr>
              <w:t>2、施工前必须核查原运动场情况，如现状情况与设计不符，应及时通报采购人，以便调整设计。</w:t>
            </w:r>
          </w:p>
          <w:p>
            <w:pPr>
              <w:jc w:val="both"/>
            </w:pPr>
            <w:r>
              <w:rPr>
                <w:sz w:val="24"/>
              </w:rPr>
              <w:t>2.</w:t>
            </w:r>
            <w:r>
              <w:rPr>
                <w:sz w:val="24"/>
              </w:rPr>
              <w:t>3、新增斜坡跑道施工前应在路基两侧开挖临时排水沟。</w:t>
            </w:r>
          </w:p>
          <w:p>
            <w:pPr>
              <w:jc w:val="both"/>
            </w:pPr>
            <w:r>
              <w:rPr>
                <w:sz w:val="24"/>
              </w:rPr>
              <w:t>2.</w:t>
            </w:r>
            <w:r>
              <w:rPr>
                <w:sz w:val="24"/>
              </w:rPr>
              <w:t>4、压路机不得在新做沥青砼面上调头，转向，或突然刹车。工作完毕后，压路机不得停放在当天完成的沥青砼面上。</w:t>
            </w:r>
          </w:p>
          <w:p>
            <w:pPr>
              <w:jc w:val="both"/>
            </w:pPr>
            <w:r>
              <w:rPr>
                <w:sz w:val="24"/>
              </w:rPr>
              <w:t>2.</w:t>
            </w:r>
            <w:r>
              <w:rPr>
                <w:sz w:val="24"/>
              </w:rPr>
              <w:t>5、为保证沥青的施工质量，沥青面层必须严格遵照《公路沥青路面施工技术规范》（JTGF40-2004)中的二级公路要求进行施工。水泥混凝土路面施工按《公路水泥混凝土路面施工技术规范》（JTGF30-2003)有关规定执行，路面水泥混凝土性能指标按二级公路的指标执行。</w:t>
            </w:r>
          </w:p>
          <w:p>
            <w:pPr>
              <w:jc w:val="both"/>
            </w:pPr>
            <w:r>
              <w:rPr>
                <w:sz w:val="24"/>
              </w:rPr>
              <w:t>2.</w:t>
            </w:r>
            <w:r>
              <w:rPr>
                <w:sz w:val="24"/>
              </w:rPr>
              <w:t>6、施工过程严格按照国家、省、市安全文明施工要求施工。施工期内不发生重伤和死亡事故、轻伤事故。</w:t>
            </w:r>
          </w:p>
          <w:p>
            <w:pPr>
              <w:jc w:val="both"/>
            </w:pPr>
            <w:r>
              <w:rPr>
                <w:sz w:val="24"/>
              </w:rPr>
              <w:t>2.</w:t>
            </w:r>
            <w:r>
              <w:rPr>
                <w:sz w:val="24"/>
              </w:rPr>
              <w:t>7、在政府行政主管部门的检查中, 成交供应商的施工场地被评为不合格工地的或者被通报批评的,或者被新闻媒体曝光的,成交供应商必须承担违约责任,并立即采取切实有效措施予以整改，拒不采取有效措施整改的或整改效果不明显的,采购人有权全部解除合同,并要求成交供应商赔偿由此造成的损失。</w:t>
            </w:r>
          </w:p>
          <w:p>
            <w:pPr>
              <w:jc w:val="both"/>
            </w:pPr>
            <w:r>
              <w:rPr>
                <w:sz w:val="24"/>
              </w:rPr>
              <w:t>2.</w:t>
            </w:r>
            <w:r>
              <w:rPr>
                <w:sz w:val="24"/>
              </w:rPr>
              <w:t>8、采购人、监理按照有关规定对成交供应商文明施工措施进行对照检查。经检查发现成交供应商因自身原因未能落实的,成交供应商必须承担违约责任并扣罚违约金</w:t>
            </w:r>
            <w:r>
              <w:rPr>
                <w:sz w:val="24"/>
              </w:rPr>
              <w:t>1000</w:t>
            </w:r>
            <w:r>
              <w:rPr>
                <w:sz w:val="24"/>
              </w:rPr>
              <w:t>元</w:t>
            </w:r>
            <w:r>
              <w:rPr>
                <w:sz w:val="24"/>
              </w:rPr>
              <w:t xml:space="preserve">/次。       </w:t>
            </w:r>
          </w:p>
          <w:p>
            <w:pPr>
              <w:jc w:val="both"/>
            </w:pPr>
            <w:r>
              <w:rPr>
                <w:sz w:val="24"/>
              </w:rPr>
              <w:t>2.</w:t>
            </w:r>
            <w:r>
              <w:rPr>
                <w:sz w:val="24"/>
              </w:rPr>
              <w:t>9、开工前签订《施工安全责任书》。</w:t>
            </w:r>
          </w:p>
          <w:p>
            <w:pPr>
              <w:jc w:val="both"/>
            </w:pPr>
            <w:r>
              <w:rPr>
                <w:sz w:val="24"/>
              </w:rPr>
              <w:t>2.</w:t>
            </w:r>
            <w:r>
              <w:rPr>
                <w:sz w:val="24"/>
              </w:rPr>
              <w:t xml:space="preserve">10、成交供应商在施工中如果工程质量不符合施工设计图要求的有关规定，经监理或质监部门评定工程质量不合格者，采购人可以要求停工和返工，成交供应商必须立即执行，并承担由此产生的各种费用。    </w:t>
            </w:r>
          </w:p>
          <w:p>
            <w:pPr>
              <w:jc w:val="both"/>
            </w:pPr>
            <w:r>
              <w:rPr>
                <w:sz w:val="24"/>
              </w:rPr>
              <w:t>2.</w:t>
            </w:r>
            <w:r>
              <w:rPr>
                <w:sz w:val="24"/>
              </w:rPr>
              <w:t xml:space="preserve">11、成交供应商必须严格按照已经确认的施工方案组织施工，并应接受监理单位对工程质量、工期、安全、文明施工、环保及工地纪律的管制。  </w:t>
            </w:r>
          </w:p>
          <w:p>
            <w:pPr>
              <w:jc w:val="both"/>
            </w:pPr>
            <w:r>
              <w:rPr>
                <w:sz w:val="24"/>
              </w:rPr>
              <w:t>2.</w:t>
            </w:r>
            <w:r>
              <w:rPr>
                <w:sz w:val="24"/>
              </w:rPr>
              <w:t>12、成交供应商在项目施工期间，须严格遵守当地政府职能部门的各项规章制度，由于管理不善，导致政府职能部门的罚款和停工整改，由其发生的费</w:t>
            </w:r>
            <w:r>
              <w:rPr>
                <w:sz w:val="24"/>
              </w:rPr>
              <w:t>用与损失由成交供应商自行承担，且采购人保留暂缓支付工程款的权利，以确保文明施工有效实行。</w:t>
            </w:r>
          </w:p>
          <w:p>
            <w:pPr>
              <w:jc w:val="both"/>
            </w:pPr>
            <w:r>
              <w:rPr>
                <w:sz w:val="24"/>
              </w:rPr>
              <w:t>2.</w:t>
            </w:r>
            <w:r>
              <w:rPr>
                <w:sz w:val="24"/>
              </w:rPr>
              <w:t>13、成交供应商在项目施工期间，必须配备专职安全员，建立健全动火申请批准制度，配置一定数量的消防器材，并报送采购人核准，提交监理单位备案。</w:t>
            </w:r>
          </w:p>
          <w:p>
            <w:pPr>
              <w:jc w:val="both"/>
            </w:pPr>
            <w:r>
              <w:rPr>
                <w:sz w:val="24"/>
              </w:rPr>
              <w:t>2.</w:t>
            </w:r>
            <w:r>
              <w:rPr>
                <w:sz w:val="24"/>
              </w:rPr>
              <w:t>14、成交供应商在施工期间，必须建立施工安全用电制度，确保施工用电设备的完好无损，并设置漏电保护装置。</w:t>
            </w:r>
          </w:p>
          <w:p>
            <w:pPr>
              <w:jc w:val="both"/>
            </w:pPr>
            <w:r>
              <w:rPr>
                <w:sz w:val="24"/>
              </w:rPr>
              <w:t>2.</w:t>
            </w:r>
            <w:r>
              <w:rPr>
                <w:sz w:val="24"/>
              </w:rPr>
              <w:t>15、验收合格前的施工现场的所有安全责任及因此产生的经济损失由成交供应商负责。</w:t>
            </w:r>
          </w:p>
          <w:p>
            <w:pPr>
              <w:jc w:val="both"/>
            </w:pPr>
            <w:r>
              <w:rPr>
                <w:sz w:val="24"/>
              </w:rPr>
              <w:t>2.</w:t>
            </w:r>
            <w:r>
              <w:rPr>
                <w:sz w:val="24"/>
              </w:rPr>
              <w:t>16、采购人不提供临设及材料加工场地，临时设施及材料加工由成交供应商自行解决，其费用由成交供应商自理。</w:t>
            </w:r>
          </w:p>
          <w:p>
            <w:pPr>
              <w:jc w:val="both"/>
            </w:pPr>
            <w:r>
              <w:rPr>
                <w:sz w:val="24"/>
              </w:rPr>
              <w:t>2.</w:t>
            </w:r>
            <w:r>
              <w:rPr>
                <w:sz w:val="24"/>
              </w:rPr>
              <w:t>17、采购人施工场地有限，无法提供校内工人住宿场所，成交供应商须自行考虑住宿。另由于交通条件限制，有可能出现二次运输而产生的租金和交通等费用，需自行考虑，合同价不予增加。</w:t>
            </w:r>
          </w:p>
          <w:p>
            <w:pPr>
              <w:jc w:val="both"/>
            </w:pPr>
            <w:r>
              <w:rPr>
                <w:sz w:val="24"/>
              </w:rPr>
              <w:t>2.</w:t>
            </w:r>
            <w:r>
              <w:rPr>
                <w:sz w:val="24"/>
              </w:rPr>
              <w:t>18、施工用水：成交供应商须负责现场施工所需水、电开户、接驳等手续的办理和费用支出。所产生的费用须自行考虑在投标报价中。</w:t>
            </w:r>
          </w:p>
          <w:p>
            <w:pPr>
              <w:jc w:val="both"/>
            </w:pPr>
            <w:r>
              <w:rPr>
                <w:sz w:val="24"/>
              </w:rPr>
              <w:t>2.</w:t>
            </w:r>
            <w:r>
              <w:rPr>
                <w:sz w:val="24"/>
              </w:rPr>
              <w:t>19、进场施工人员必须严格遵守相关规章制度。进入施工现场人员必须佩戴出入证，并自觉接受检查。</w:t>
            </w:r>
          </w:p>
          <w:p>
            <w:pPr>
              <w:jc w:val="both"/>
            </w:pPr>
            <w:r>
              <w:rPr>
                <w:sz w:val="24"/>
              </w:rPr>
              <w:t>2.</w:t>
            </w:r>
            <w:r>
              <w:rPr>
                <w:sz w:val="24"/>
              </w:rPr>
              <w:t>20、成交供应商应确保施工现场的清洁卫生，施工垃圾必须清理干净。</w:t>
            </w:r>
          </w:p>
          <w:p>
            <w:pPr>
              <w:jc w:val="both"/>
            </w:pPr>
            <w:r>
              <w:rPr>
                <w:sz w:val="24"/>
              </w:rPr>
              <w:t>2.</w:t>
            </w:r>
            <w:r>
              <w:rPr>
                <w:sz w:val="24"/>
              </w:rPr>
              <w:t>21、车辆出入校园，须服从指挥，减速慢行，注意安全。施工人员名册等相关资料（如身份证等）须报采购人备案（必要时须报派出所）并办理出入校园手续。</w:t>
            </w:r>
          </w:p>
          <w:p>
            <w:pPr>
              <w:jc w:val="both"/>
            </w:pPr>
            <w:r>
              <w:rPr>
                <w:sz w:val="24"/>
              </w:rPr>
              <w:t>2.</w:t>
            </w:r>
            <w:r>
              <w:rPr>
                <w:sz w:val="24"/>
              </w:rPr>
              <w:t>22、校园施工，成交供应商应做好噪音污染保障措施工作。</w:t>
            </w:r>
          </w:p>
          <w:p>
            <w:pPr>
              <w:jc w:val="both"/>
            </w:pPr>
            <w:r>
              <w:rPr>
                <w:b/>
                <w:sz w:val="21"/>
              </w:rPr>
              <w:t xml:space="preserve"> </w:t>
            </w:r>
            <w:r>
              <w:rPr>
                <w:b/>
                <w:sz w:val="24"/>
              </w:rPr>
              <w:t>3</w:t>
            </w:r>
            <w:r>
              <w:rPr>
                <w:b/>
                <w:sz w:val="24"/>
              </w:rPr>
              <w:t>、</w:t>
            </w:r>
            <w:r>
              <w:rPr>
                <w:b/>
                <w:sz w:val="24"/>
              </w:rPr>
              <w:t>人员要求</w:t>
            </w:r>
          </w:p>
          <w:p>
            <w:pPr>
              <w:jc w:val="both"/>
            </w:pPr>
            <w:r>
              <w:rPr>
                <w:sz w:val="24"/>
              </w:rPr>
              <w:t>3.</w:t>
            </w:r>
            <w:r>
              <w:rPr>
                <w:sz w:val="24"/>
              </w:rPr>
              <w:t>1、成交供应商全面负责项目的技术工作,对本次项目负全部的责任。</w:t>
            </w:r>
          </w:p>
          <w:p>
            <w:pPr>
              <w:jc w:val="both"/>
            </w:pPr>
            <w:r>
              <w:rPr>
                <w:sz w:val="24"/>
              </w:rPr>
              <w:t>3.</w:t>
            </w:r>
            <w:r>
              <w:rPr>
                <w:sz w:val="24"/>
              </w:rPr>
              <w:t>2、为使项目按质、按量、按时及有序实施,拟派施工管理架构人员的设置必须满足工程施工需要,配备项目负责人、技术负责人,拟委派的施工架构人员必须是本公司的正式员工。</w:t>
            </w:r>
          </w:p>
          <w:p>
            <w:pPr>
              <w:jc w:val="both"/>
            </w:pPr>
            <w:r>
              <w:rPr>
                <w:sz w:val="24"/>
              </w:rPr>
              <w:t>3.</w:t>
            </w:r>
            <w:r>
              <w:rPr>
                <w:sz w:val="24"/>
              </w:rPr>
              <w:t>3、项目负责人必须执行经办所有与本项目相关的事项。</w:t>
            </w:r>
          </w:p>
          <w:p>
            <w:pPr>
              <w:jc w:val="both"/>
            </w:pPr>
            <w:r>
              <w:rPr>
                <w:sz w:val="24"/>
              </w:rPr>
              <w:t>3.</w:t>
            </w:r>
            <w:r>
              <w:rPr>
                <w:sz w:val="24"/>
              </w:rPr>
              <w:t>4、人员安全:</w:t>
            </w:r>
          </w:p>
          <w:p>
            <w:pPr>
              <w:jc w:val="both"/>
            </w:pPr>
            <w:r>
              <w:rPr>
                <w:sz w:val="24"/>
              </w:rPr>
              <w:t>3.</w:t>
            </w:r>
            <w:r>
              <w:rPr>
                <w:sz w:val="24"/>
              </w:rPr>
              <w:t>4.1、成交供应商须对自身的人员安全负完全责任,采购人不对成交供应商的人员安全负任何责任。</w:t>
            </w:r>
          </w:p>
          <w:p>
            <w:pPr>
              <w:jc w:val="both"/>
            </w:pPr>
            <w:r>
              <w:rPr>
                <w:sz w:val="24"/>
              </w:rPr>
              <w:t>3.</w:t>
            </w:r>
            <w:r>
              <w:rPr>
                <w:sz w:val="24"/>
              </w:rPr>
              <w:t>4.2、成交供应商须根据相关规范制定人员安全措施,须为参与本项目的工作人员购买人身意外保险,保险期须涵盖整个项目工期。</w:t>
            </w:r>
          </w:p>
          <w:p>
            <w:pPr>
              <w:jc w:val="both"/>
            </w:pPr>
            <w:r>
              <w:rPr>
                <w:sz w:val="24"/>
              </w:rPr>
              <w:t>3.</w:t>
            </w:r>
            <w:r>
              <w:rPr>
                <w:sz w:val="24"/>
              </w:rPr>
              <w:t>4.3、若成交供应商发生安全事故,期间因发生安全整顿而带来的工期延误或无法按期完成的责任由成交供应商负责,因此而造成的损失由成交供应商赔偿。</w:t>
            </w:r>
          </w:p>
          <w:p>
            <w:pPr>
              <w:jc w:val="both"/>
            </w:pPr>
            <w:r>
              <w:rPr>
                <w:sz w:val="24"/>
              </w:rPr>
              <w:t>3.</w:t>
            </w:r>
            <w:r>
              <w:rPr>
                <w:sz w:val="24"/>
              </w:rPr>
              <w:t>4.4、成交供应商在作业期间造成人员伤亡事故(包括成交供应商自身人员和其它人员伤亡等)以及财产损害的,由成交供应商负责事故上报、经济赔偿和善后处理。由于事故所造成的损失和善后处理费用均由成交供应商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中山市石岐中学</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857号）及《关于进一步放开建设项目专业服务价格的通知》（发改价格〔2015〕299号）标准的98%收取。若招标代理服务费不足人民币5000元的，按人民币5000元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三、采购标的对应的中小企业划分标准所属行业，建筑业。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中山市石岐中学田径运动场翻新改造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采购包1（中山市石岐中学田径运动场翻新改造工程）：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采购包1（中山市石岐中学田径运动场翻新改造工程）：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请在响应文件里提供承诺书或说明书。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特定资质要求（1）</w:t>
            </w:r>
          </w:p>
        </w:tc>
        <w:tc>
          <w:tcPr>
            <w:tcW w:type="dxa" w:w="4238"/>
          </w:tcPr>
          <w:p>
            <w:r>
              <w:rPr/>
              <w:t>供应商具备有效期内的建筑工程施工总承包三级（含三级）以上资质或市政公用工程施工总承包三级（含三级）以上资质，提供证书复印件。</w:t>
            </w:r>
          </w:p>
        </w:tc>
      </w:tr>
      <w:tr>
        <w:tc>
          <w:tcPr>
            <w:tcW w:type="dxa" w:w="890"/>
          </w:tcPr>
          <w:p>
            <w:r>
              <w:rPr/>
              <w:t>9</w:t>
            </w:r>
          </w:p>
        </w:tc>
        <w:tc>
          <w:tcPr>
            <w:tcW w:type="dxa" w:w="3178"/>
          </w:tcPr>
          <w:p>
            <w:r>
              <w:rPr/>
              <w:t>特定资质要求（2）</w:t>
            </w:r>
          </w:p>
        </w:tc>
        <w:tc>
          <w:tcPr>
            <w:tcW w:type="dxa" w:w="4238"/>
          </w:tcPr>
          <w:p>
            <w:r>
              <w:rPr/>
              <w:t>供应商具有有效期内的安全生产许可证，提供证书复印件。</w:t>
            </w:r>
          </w:p>
        </w:tc>
      </w:tr>
      <w:tr>
        <w:tc>
          <w:tcPr>
            <w:tcW w:type="dxa" w:w="890"/>
          </w:tcPr>
          <w:p>
            <w:r>
              <w:rPr/>
              <w:t>10</w:t>
            </w:r>
          </w:p>
        </w:tc>
        <w:tc>
          <w:tcPr>
            <w:tcW w:type="dxa" w:w="3178"/>
          </w:tcPr>
          <w:p>
            <w:r>
              <w:rPr/>
              <w:t>本采购包专门面向中小企业采购</w:t>
            </w:r>
          </w:p>
        </w:tc>
        <w:tc>
          <w:tcPr>
            <w:tcW w:type="dxa" w:w="4238"/>
          </w:tcPr>
          <w:p>
            <w:r>
              <w:rPr/>
              <w:t>本项目专门面向中小企业采购，参与的供应商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必须与本项目采购文件中明确的所属行业（建筑业）一致；根据附件2《中小企业划型标准规定》以单位上一年度经济数据自行判定是否属于建筑业中小微企业，符合中小微类型的方可参与本项目的投标。</w:t>
            </w:r>
          </w:p>
        </w:tc>
      </w:tr>
    </w:tbl>
    <w:p/>
    <w:p>
      <w:pPr>
        <w:ind w:firstLine="480"/>
      </w:pPr>
      <w:r>
        <w:rPr/>
        <w:t>表二符合性审查表：</w:t>
      </w:r>
    </w:p>
    <w:p>
      <w:pPr>
        <w:ind w:firstLine="480"/>
      </w:pPr>
    </w:p>
    <w:p/>
    <w:p>
      <w:r>
        <w:rPr/>
        <w:t>采购包1（中山市石岐中学田径运动场翻新改造工程）：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响应文件的制作</w:t>
            </w:r>
          </w:p>
        </w:tc>
        <w:tc>
          <w:tcPr>
            <w:tcW w:type="dxa" w:w="4238"/>
          </w:tcPr>
          <w:p>
            <w:r>
              <w:rPr/>
              <w:t>提交了响应承诺函，响应文件按要求签署、盖章。</w:t>
            </w:r>
          </w:p>
        </w:tc>
      </w:tr>
      <w:tr>
        <w:tc>
          <w:tcPr>
            <w:tcW w:type="dxa" w:w="890"/>
          </w:tcPr>
          <w:p>
            <w:r>
              <w:rPr/>
              <w:t>2</w:t>
            </w:r>
          </w:p>
        </w:tc>
        <w:tc>
          <w:tcPr>
            <w:tcW w:type="dxa" w:w="3178"/>
          </w:tcPr>
          <w:p>
            <w:r>
              <w:rPr/>
              <w:t>响应文件的有效期</w:t>
            </w:r>
          </w:p>
        </w:tc>
        <w:tc>
          <w:tcPr>
            <w:tcW w:type="dxa" w:w="4238"/>
          </w:tcPr>
          <w:p>
            <w:r>
              <w:rPr/>
              <w:t>响应文件的有效期为从提交投标 (响应) 文件的截止之日起90日历天。</w:t>
            </w:r>
          </w:p>
        </w:tc>
      </w:tr>
      <w:tr>
        <w:tc>
          <w:tcPr>
            <w:tcW w:type="dxa" w:w="890"/>
          </w:tcPr>
          <w:p>
            <w:r>
              <w:rPr/>
              <w:t>3</w:t>
            </w:r>
          </w:p>
        </w:tc>
        <w:tc>
          <w:tcPr>
            <w:tcW w:type="dxa" w:w="3178"/>
          </w:tcPr>
          <w:p>
            <w:r>
              <w:rPr/>
              <w:t>资格证明书及授权委托书</w:t>
            </w:r>
          </w:p>
        </w:tc>
        <w:tc>
          <w:tcPr>
            <w:tcW w:type="dxa" w:w="4238"/>
          </w:tcPr>
          <w:p>
            <w:r>
              <w:rPr/>
              <w:t>法定代表人/负责人资格证明书及授权委托书，按对应格式文件签署、盖章。</w:t>
            </w:r>
          </w:p>
        </w:tc>
      </w:tr>
      <w:tr>
        <w:tc>
          <w:tcPr>
            <w:tcW w:type="dxa" w:w="890"/>
          </w:tcPr>
          <w:p>
            <w:r>
              <w:rPr/>
              <w:t>4</w:t>
            </w:r>
          </w:p>
        </w:tc>
        <w:tc>
          <w:tcPr>
            <w:tcW w:type="dxa" w:w="3178"/>
          </w:tcPr>
          <w:p>
            <w:r>
              <w:rPr/>
              <w:t>投标报价</w:t>
            </w:r>
          </w:p>
        </w:tc>
        <w:tc>
          <w:tcPr>
            <w:tcW w:type="dxa" w:w="4238"/>
          </w:tcPr>
          <w:p>
            <w:r>
              <w:rPr/>
              <w:t>投标（报价）总金额是固定价且是唯一的，未超过本项目最高限价；绿色施工安全防护措施费报价符合文件要求。</w:t>
            </w:r>
          </w:p>
        </w:tc>
      </w:tr>
      <w:tr>
        <w:tc>
          <w:tcPr>
            <w:tcW w:type="dxa" w:w="890"/>
          </w:tcPr>
          <w:p>
            <w:r>
              <w:rPr/>
              <w:t>5</w:t>
            </w:r>
          </w:p>
        </w:tc>
        <w:tc>
          <w:tcPr>
            <w:tcW w:type="dxa" w:w="3178"/>
          </w:tcPr>
          <w:p>
            <w:r>
              <w:rPr/>
              <w:t>“★”号条款响应</w:t>
            </w:r>
          </w:p>
        </w:tc>
        <w:tc>
          <w:tcPr>
            <w:tcW w:type="dxa" w:w="4238"/>
          </w:tcPr>
          <w:p>
            <w:r>
              <w:rPr/>
              <w:t>“★”号条款全部实质性响应无偏离。</w:t>
            </w:r>
          </w:p>
        </w:tc>
      </w:tr>
      <w:tr>
        <w:tc>
          <w:tcPr>
            <w:tcW w:type="dxa" w:w="890"/>
          </w:tcPr>
          <w:p>
            <w:r>
              <w:rPr/>
              <w:t>6</w:t>
            </w:r>
          </w:p>
        </w:tc>
        <w:tc>
          <w:tcPr>
            <w:tcW w:type="dxa" w:w="3178"/>
          </w:tcPr>
          <w:p>
            <w:r>
              <w:rPr/>
              <w:t>其他</w:t>
            </w:r>
          </w:p>
        </w:tc>
        <w:tc>
          <w:tcPr>
            <w:tcW w:type="dxa" w:w="4238"/>
          </w:tcPr>
          <w:p>
            <w:r>
              <w:rPr/>
              <w:t>无采购文件或法规明确规定可以废标的其他情形。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采购包1(中山市石岐中学田径运动场翻新改造工程):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商务部分22.0分</w:t>
            </w:r>
          </w:p>
          <w:p>
            <w:r>
              <w:rPr/>
              <w:t>技术部分68.0分</w:t>
            </w:r>
          </w:p>
          <w:p>
            <w:r>
              <w:rPr/>
              <w:t>报价得分10.0分</w:t>
            </w:r>
          </w:p>
        </w:tc>
      </w:tr>
      <w:tr>
        <w:tc>
          <w:tcPr>
            <w:tcW w:type="dxa" w:w="922"/>
            <w:gridSpan w:val="2"/>
            <w:vMerge w:val="restart"/>
          </w:tcPr>
          <w:p>
            <w:pPr>
              <w:jc w:val="center"/>
            </w:pPr>
            <w:r>
              <w:rPr/>
              <w:t>技术部分</w:t>
            </w:r>
          </w:p>
        </w:tc>
        <w:tc>
          <w:tcPr>
            <w:tcW w:type="dxa" w:w="2307"/>
          </w:tcPr>
          <w:p>
            <w:pPr>
              <w:jc w:val="left"/>
            </w:pPr>
            <w:r>
              <w:rPr/>
              <w:t>对磋商文件第二章《采购需求》 中的“具体技术(参数)要求”条款的响应情况 (20.0分)</w:t>
            </w:r>
          </w:p>
        </w:tc>
        <w:tc>
          <w:tcPr>
            <w:tcW w:type="dxa" w:w="5076"/>
          </w:tcPr>
          <w:p>
            <w:pPr>
              <w:jc w:val="left"/>
            </w:pPr>
            <w:r>
              <w:rPr/>
              <w:t>考核投标人对磋商文件第二章《采购需求》中“具体技术(参数)要求（★号条款除外）”中所有条款的响应程度（每条条款最小一级序号均以一项计算）：  1.完全响应技术要求的得20分；  2.本项目共101条参数。按量化指标，评审分数按以下公式进行计算：  优于或完全响应的参数数量/参数总数量*20分=参数得分（得分按四舍五入保留两位小数）；本小项共20分；  注：1)评审依据以供应商响应文件中《技术和服务要求响应表》填写内容为准，未填写的视为负偏离；2)如采购需求中有明确要求提供具体证明资料的，必须按采购需求单独（额外）提供，如磋商小组会无法从所提供资料中判断其响应内容是否符合要求的，视为负偏离；3）以上两款要求，供应商无提供或未按要求提供材料的不得分。</w:t>
            </w:r>
          </w:p>
        </w:tc>
      </w:tr>
      <w:tr>
        <w:tc>
          <w:tcPr>
            <w:tcW w:type="dxa" w:w="922"/>
            <w:gridSpan w:val="2"/>
            <w:vMerge/>
          </w:tcPr>
          <w:p/>
        </w:tc>
        <w:tc>
          <w:tcPr>
            <w:tcW w:type="dxa" w:w="2307"/>
          </w:tcPr>
          <w:p>
            <w:pPr>
              <w:jc w:val="left"/>
            </w:pPr>
            <w:r>
              <w:rPr/>
              <w:t>施工实施方案 (13.0分)</w:t>
            </w:r>
            <w:r>
              <w:rPr/>
              <w:t>，（等次分值选择：</w:t>
            </w:r>
            <w:r>
              <w:rPr/>
              <w:t>0.0;</w:t>
            </w:r>
            <w:r>
              <w:rPr/>
              <w:t>1.0;</w:t>
            </w:r>
            <w:r>
              <w:rPr/>
              <w:t>5.0;</w:t>
            </w:r>
            <w:r>
              <w:rPr/>
              <w:t>9.0;</w:t>
            </w:r>
            <w:r>
              <w:rPr/>
              <w:t>13.0;</w:t>
            </w:r>
            <w:r>
              <w:rPr/>
              <w:t>）</w:t>
            </w:r>
          </w:p>
        </w:tc>
        <w:tc>
          <w:tcPr>
            <w:tcW w:type="dxa" w:w="5076"/>
          </w:tcPr>
          <w:p>
            <w:pPr>
              <w:jc w:val="left"/>
            </w:pPr>
            <w:r>
              <w:rPr/>
              <w:t>磋商小组根据供应商提供的施工实施方案（包括但不限于安全、质量、进度、环境影响控制措施，含施工实施目标、施工实施内容及流程、设备及工具配置、人员配置等）进行评审。 1、方案内容详尽，流程清晰，配置充分，可行性很高，完全满足或优于采购需求的，得13分；   2、方案内容较详尽，流程较清晰，配置较充分，可行性较高，较满足采购需求的，得9分；   3、方案内容基本详尽，流程基本清晰，配置基本充分，基本可行，基本满足采购需求的，得5分；   4、方案内容较不太详尽，流程不太清晰，配置简单，不太可行，不太满足采购需求的，得1分；  5、未提供相应内容，得0分。</w:t>
            </w:r>
          </w:p>
        </w:tc>
      </w:tr>
      <w:tr>
        <w:tc>
          <w:tcPr>
            <w:tcW w:type="dxa" w:w="922"/>
            <w:gridSpan w:val="2"/>
            <w:vMerge/>
          </w:tcPr>
          <w:p/>
        </w:tc>
        <w:tc>
          <w:tcPr>
            <w:tcW w:type="dxa" w:w="2307"/>
          </w:tcPr>
          <w:p>
            <w:pPr>
              <w:jc w:val="left"/>
            </w:pPr>
            <w:r>
              <w:rPr/>
              <w:t>施工进度计划及工期保证措施 (13.0分)</w:t>
            </w:r>
            <w:r>
              <w:rPr/>
              <w:t>，（等次分值选择：</w:t>
            </w:r>
            <w:r>
              <w:rPr/>
              <w:t>0.0;</w:t>
            </w:r>
            <w:r>
              <w:rPr/>
              <w:t>1.0;</w:t>
            </w:r>
            <w:r>
              <w:rPr/>
              <w:t>5.0;</w:t>
            </w:r>
            <w:r>
              <w:rPr/>
              <w:t>9.0;</w:t>
            </w:r>
            <w:r>
              <w:rPr/>
              <w:t>13.0;</w:t>
            </w:r>
            <w:r>
              <w:rPr/>
              <w:t>）</w:t>
            </w:r>
          </w:p>
        </w:tc>
        <w:tc>
          <w:tcPr>
            <w:tcW w:type="dxa" w:w="5076"/>
          </w:tcPr>
          <w:p>
            <w:pPr>
              <w:jc w:val="left"/>
            </w:pPr>
            <w:r>
              <w:rPr/>
              <w:t>磋商小组根据供应商针对本工程的工期目标及项目的特点而制定的施工进度计划和工期保证措施进行评审：  1、根据总工期要求及施工进度要求，在人员、材料、机械及资金等方面的投入满足开工竣工以及磋商文件规定的基础上制定科学可靠、完善、可行的施工进度计划及保障措施，完全满足或优于采购需求的，得13分；   2、根据总工期要求及施工进度要求，在人员、材料、机械及资金等方面的投入较能满足开工、竣工以及磋商文件规定的基础上制定科学可靠、完善、较为可行的施工进度计划及保障措施，较满足采购需求的，得9分；   3、根据总工期要求及施工进度要求，在人员、材料、机械及资金等方面的投入基本满足开工、竣工以及磋商文件规定的基础上制定施工进度计划及保障措施，基本可行，基本满足采购需求的，得5分；  4、根据总工期要求及施工进度要求，在人员、材料、机械及资金等方面的投入不太满足开工、竣工以及磋商文件规定的基础上制定施工进度计划及保障措施，不太可行，不太满足采购需求的，得1分；  5、未提供相应内容的，得0分。</w:t>
            </w:r>
          </w:p>
        </w:tc>
      </w:tr>
      <w:tr>
        <w:tc>
          <w:tcPr>
            <w:tcW w:type="dxa" w:w="922"/>
            <w:gridSpan w:val="2"/>
            <w:vMerge/>
          </w:tcPr>
          <w:p/>
        </w:tc>
        <w:tc>
          <w:tcPr>
            <w:tcW w:type="dxa" w:w="2307"/>
          </w:tcPr>
          <w:p>
            <w:pPr>
              <w:jc w:val="left"/>
            </w:pPr>
            <w:r>
              <w:rPr/>
              <w:t>安全文明措施 (13.0分)</w:t>
            </w:r>
            <w:r>
              <w:rPr/>
              <w:t>，（等次分值选择：</w:t>
            </w:r>
            <w:r>
              <w:rPr/>
              <w:t>0.0;</w:t>
            </w:r>
            <w:r>
              <w:rPr/>
              <w:t>1.0;</w:t>
            </w:r>
            <w:r>
              <w:rPr/>
              <w:t>5.0;</w:t>
            </w:r>
            <w:r>
              <w:rPr/>
              <w:t>9.0;</w:t>
            </w:r>
            <w:r>
              <w:rPr/>
              <w:t>13.0;</w:t>
            </w:r>
            <w:r>
              <w:rPr/>
              <w:t>）</w:t>
            </w:r>
          </w:p>
        </w:tc>
        <w:tc>
          <w:tcPr>
            <w:tcW w:type="dxa" w:w="5076"/>
          </w:tcPr>
          <w:p>
            <w:pPr>
              <w:jc w:val="left"/>
            </w:pPr>
            <w:r>
              <w:rPr/>
              <w:t>磋商小组根据供应商提供的安全文明措施进行评审。 1、安全文明施工措施明确、具体、针对性强、可行性强，满足或优于采购需求的得13分；  2、安全文明施工措施较明确、针对性较强、可行性较强，满足采购需求的，得9分；  3、安全文明施工措施基本明确、具有基本针对性，基本满足采购需求的，得5分；  4、安全文明施工措施针对性不太可行，不太满足采购需求的，得1分；  5、未提供相应内容的，得0分。</w:t>
            </w:r>
          </w:p>
        </w:tc>
      </w:tr>
      <w:tr>
        <w:tc>
          <w:tcPr>
            <w:tcW w:type="dxa" w:w="922"/>
            <w:gridSpan w:val="2"/>
            <w:vMerge/>
          </w:tcPr>
          <w:p/>
        </w:tc>
        <w:tc>
          <w:tcPr>
            <w:tcW w:type="dxa" w:w="2307"/>
          </w:tcPr>
          <w:p>
            <w:pPr>
              <w:jc w:val="left"/>
            </w:pPr>
            <w:r>
              <w:rPr/>
              <w:t>应急措施方案 (9.0分)</w:t>
            </w:r>
            <w:r>
              <w:rPr/>
              <w:t>，（等次分值选择：</w:t>
            </w:r>
            <w:r>
              <w:rPr/>
              <w:t>0.0;</w:t>
            </w:r>
            <w:r>
              <w:rPr/>
              <w:t>1.0;</w:t>
            </w:r>
            <w:r>
              <w:rPr/>
              <w:t>5.0;</w:t>
            </w:r>
            <w:r>
              <w:rPr/>
              <w:t>9.0;</w:t>
            </w:r>
            <w:r>
              <w:rPr/>
              <w:t>）</w:t>
            </w:r>
          </w:p>
        </w:tc>
        <w:tc>
          <w:tcPr>
            <w:tcW w:type="dxa" w:w="5076"/>
          </w:tcPr>
          <w:p>
            <w:pPr>
              <w:jc w:val="left"/>
            </w:pPr>
            <w:r>
              <w:rPr/>
              <w:t>磋商小组根据供应商提供的突发应急措施方案（包括但不限于不可控事件突发处理、危险用工情况处理、项目拟投入人员的意外保险、技术支持措施计划和承诺、应急方案等）进行评审。   1、有详细具体可行的突发应急措施计划和承诺，处理问题能力强，应急措施方案非常周全、详尽、可行，得 9分；  2、有比较详细具体可行的突发应急措施计划和承诺，处理问题能力较强，应急措施方案比较周全、详尽、可行，得5分；    3、突发应急措施计划和承诺一般，处理问题能力一般；应急措施方案可行性一般，得1分；  4、未提供相应内容的，得0分。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考核对采购需求中“主要商务要求（包括其他商务需求）”所有小点（星号条款除外）的响应程度。   1.完全响应要求的得8分；    2.每无偏离或正偏离一项得1分，本项最高得8分。</w:t>
            </w:r>
          </w:p>
        </w:tc>
      </w:tr>
      <w:tr>
        <w:tc>
          <w:tcPr>
            <w:tcW w:type="dxa" w:w="922"/>
            <w:gridSpan w:val="2"/>
            <w:vMerge/>
          </w:tcPr>
          <w:p/>
        </w:tc>
        <w:tc>
          <w:tcPr>
            <w:tcW w:type="dxa" w:w="2307"/>
          </w:tcPr>
          <w:p>
            <w:pPr>
              <w:jc w:val="left"/>
            </w:pPr>
            <w:r>
              <w:rPr/>
              <w:t>所投产品检测报告 (6.0分)</w:t>
            </w:r>
          </w:p>
        </w:tc>
        <w:tc>
          <w:tcPr>
            <w:tcW w:type="dxa" w:w="5076"/>
          </w:tcPr>
          <w:p>
            <w:pPr>
              <w:jc w:val="left"/>
            </w:pPr>
            <w:r>
              <w:rPr/>
              <w:t>1、全塑型子自结纹塑胶地面参数及要求全部满足GB36246-2018《中小学合成材料面层运动场地》标准，提供具有资质的第三方检测机构出具的检测报告复印件并加盖供应商公章，得1.5分，不提供不得分。 2、全塑型子自结纹塑胶地面具备优秀的运动缓冲吸收功能，提供具有资质的第三方检测机构出具的能量恢复检测报告复印件并加盖供应商公章，得1.5分，不提供不得分。 3、全塑型子自结纹塑胶地面材料符合 GB/T1771-2007耐中性盐雾3000h无起泡、无开裂的检测，并提供具有资质的第三方检测机构出具的检测报告复印件并加盖供应商公章，得1.5分，不提供不得分。 4、为了保证塑胶跑道质量的稳定性，延长使用寿命，全塑型子自结纹跑道材料应在高温80℃，低温-40℃，各6小时，分别循环12次及以上，漆膜表面无气泡、剥落、变色等现象（执行标准：GB /T 22374-2018）。提供具有资质的第三方检测机构出具的检测报告复印件并加盖供应商公章，得1.5分，不提供不得分。</w:t>
            </w:r>
          </w:p>
        </w:tc>
      </w:tr>
      <w:tr>
        <w:tc>
          <w:tcPr>
            <w:tcW w:type="dxa" w:w="922"/>
            <w:gridSpan w:val="2"/>
            <w:vMerge/>
          </w:tcPr>
          <w:p/>
        </w:tc>
        <w:tc>
          <w:tcPr>
            <w:tcW w:type="dxa" w:w="2307"/>
          </w:tcPr>
          <w:p>
            <w:pPr>
              <w:jc w:val="left"/>
            </w:pPr>
            <w:r>
              <w:rPr/>
              <w:t>售后服务 (8.0分)</w:t>
            </w:r>
            <w:r>
              <w:rPr/>
              <w:t>，（等次分值选择：</w:t>
            </w:r>
            <w:r>
              <w:rPr/>
              <w:t>0.0;</w:t>
            </w:r>
            <w:r>
              <w:rPr/>
              <w:t>2.0;</w:t>
            </w:r>
            <w:r>
              <w:rPr/>
              <w:t>4.0;</w:t>
            </w:r>
            <w:r>
              <w:rPr/>
              <w:t>6.0;</w:t>
            </w:r>
            <w:r>
              <w:rPr/>
              <w:t>8.0;</w:t>
            </w:r>
            <w:r>
              <w:rPr/>
              <w:t>）</w:t>
            </w:r>
          </w:p>
        </w:tc>
        <w:tc>
          <w:tcPr>
            <w:tcW w:type="dxa" w:w="5076"/>
          </w:tcPr>
          <w:p>
            <w:pPr>
              <w:jc w:val="left"/>
            </w:pPr>
            <w:r>
              <w:rPr/>
              <w:t>根据供应商提供的售后服务方案（包括但不限于服务体系、服务内容、故障解决方案、故障响应、专业技术人员保障等）进行评审：  1.服务方案详细、针对性强，可行性高，能满足采购需求的，得8分；  2.服务方案较详细、针对性较强，可行性较强，较满足采购需求的，得6分；  3.服务方案基本详细、针对性一般，基本可行，基本满足采购需求的，得4分；  4.服务方案差，不太可行，不太满足采购需求的，得2分； 5.未提供相应内容，得0分。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p>
      <w:pPr>
        <w:jc w:val="center"/>
      </w:pPr>
      <w:r>
        <w:rPr>
          <w:b/>
        </w:rPr>
        <w:t xml:space="preserve"> </w:t>
      </w:r>
    </w:p>
    <w:p>
      <w:pPr>
        <w:jc w:val="center"/>
      </w:pPr>
      <w:r>
        <w:rPr/>
        <w:t xml:space="preserve"> </w:t>
      </w:r>
    </w:p>
    <w:p>
      <w:pPr>
        <w:jc w:val="center"/>
      </w:pPr>
      <w:r>
        <w:rPr>
          <w:b/>
          <w:sz w:val="28"/>
        </w:rPr>
        <w:t>广东省政府采购</w:t>
      </w:r>
    </w:p>
    <w:p>
      <w:pPr>
        <w:jc w:val="both"/>
      </w:pPr>
      <w:r>
        <w:rPr>
          <w:sz w:val="21"/>
        </w:rPr>
        <w:t xml:space="preserve"> </w:t>
      </w:r>
    </w:p>
    <w:p>
      <w:pPr>
        <w:jc w:val="center"/>
      </w:pPr>
      <w:r>
        <w:rPr>
          <w:b/>
          <w:sz w:val="28"/>
        </w:rPr>
        <w:t>合　同　书</w:t>
      </w:r>
      <w:r>
        <w:br/>
      </w:r>
      <w:r>
        <w:br/>
      </w:r>
      <w:r>
        <w:rPr>
          <w:b/>
          <w:sz w:val="28"/>
        </w:rPr>
        <w:t>（本合同范本仅供参考，中标人与采购人可根据双方的具体要求进行修订，双方所签订的合同不得对招标文件确定的事项和中标人投标文件作实质性修改。）</w:t>
      </w:r>
    </w:p>
    <w:p>
      <w:pPr>
        <w:jc w:val="center"/>
      </w:pPr>
      <w:r>
        <w:br/>
      </w:r>
      <w:r>
        <w:rPr>
          <w:color w:val="222222"/>
          <w:sz w:val="28"/>
        </w:rPr>
        <w:t>采购计划编号：</w:t>
      </w:r>
      <w:r>
        <w:rPr>
          <w:sz w:val="21"/>
          <w:u w:val="single"/>
        </w:rPr>
        <w:t xml:space="preserve">                          </w:t>
      </w:r>
    </w:p>
    <w:p>
      <w:pPr>
        <w:jc w:val="both"/>
      </w:pPr>
      <w:r>
        <w:rPr>
          <w:sz w:val="21"/>
        </w:rPr>
        <w:t xml:space="preserve"> </w:t>
      </w:r>
    </w:p>
    <w:p>
      <w:pPr>
        <w:jc w:val="center"/>
      </w:pPr>
      <w:r>
        <w:rPr>
          <w:color w:val="222222"/>
          <w:sz w:val="28"/>
        </w:rPr>
        <w:t>项目编号：</w:t>
      </w:r>
      <w:r>
        <w:rPr>
          <w:sz w:val="21"/>
          <w:u w:val="single"/>
        </w:rPr>
        <w:t xml:space="preserve">                              </w:t>
      </w:r>
    </w:p>
    <w:p>
      <w:pPr>
        <w:jc w:val="both"/>
      </w:pPr>
      <w:r>
        <w:rPr>
          <w:sz w:val="21"/>
        </w:rPr>
        <w:t xml:space="preserve"> </w:t>
      </w:r>
    </w:p>
    <w:p>
      <w:pPr>
        <w:jc w:val="center"/>
      </w:pPr>
      <w:r>
        <w:rPr>
          <w:color w:val="222222"/>
          <w:sz w:val="28"/>
        </w:rPr>
        <w:t>项目名称：</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br/>
      </w:r>
      <w:r>
        <w:rPr>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b/>
          <w:sz w:val="24"/>
        </w:rPr>
        <w:t>甲方：</w:t>
      </w:r>
      <w:r>
        <w:rPr>
          <w:sz w:val="24"/>
          <w:u w:val="single"/>
        </w:rPr>
        <w:t xml:space="preserve"> </w:t>
      </w:r>
    </w:p>
    <w:p>
      <w:pPr>
        <w:jc w:val="both"/>
      </w:pPr>
      <w:r>
        <w:rPr>
          <w:color w:val="222222"/>
          <w:sz w:val="27"/>
        </w:rPr>
        <w:t>电话：</w:t>
      </w:r>
      <w:r>
        <w:rPr>
          <w:sz w:val="21"/>
          <w:u w:val="single"/>
        </w:rPr>
        <w:t xml:space="preserve"> </w:t>
      </w:r>
      <w:r>
        <w:rPr>
          <w:color w:val="222222"/>
          <w:sz w:val="27"/>
        </w:rPr>
        <w:t>传真</w:t>
      </w:r>
      <w:r>
        <w:rPr>
          <w:color w:val="222222"/>
          <w:sz w:val="27"/>
        </w:rPr>
        <w:t>：</w:t>
      </w:r>
      <w:r>
        <w:rPr>
          <w:sz w:val="21"/>
          <w:u w:val="single"/>
        </w:rPr>
        <w:t xml:space="preserve"> </w:t>
      </w:r>
      <w:r>
        <w:rPr>
          <w:color w:val="222222"/>
          <w:sz w:val="27"/>
        </w:rPr>
        <w:t>地址：</w:t>
      </w:r>
      <w:r>
        <w:rPr>
          <w:sz w:val="21"/>
          <w:u w:val="single"/>
        </w:rPr>
        <w:t xml:space="preserve">  </w:t>
      </w:r>
    </w:p>
    <w:p>
      <w:pPr>
        <w:jc w:val="both"/>
      </w:pPr>
      <w:r>
        <w:rPr>
          <w:b/>
          <w:sz w:val="24"/>
        </w:rPr>
        <w:t>乙方：</w:t>
      </w:r>
      <w:r>
        <w:rPr>
          <w:sz w:val="24"/>
          <w:u w:val="single"/>
        </w:rPr>
        <w:t xml:space="preserve"> </w:t>
      </w:r>
    </w:p>
    <w:p>
      <w:pPr>
        <w:jc w:val="both"/>
      </w:pPr>
      <w:r>
        <w:rPr>
          <w:color w:val="222222"/>
          <w:sz w:val="27"/>
        </w:rPr>
        <w:t>电话：</w:t>
      </w:r>
      <w:r>
        <w:rPr>
          <w:sz w:val="21"/>
          <w:u w:val="single"/>
        </w:rPr>
        <w:t xml:space="preserve">  </w:t>
      </w:r>
      <w:r>
        <w:rPr>
          <w:color w:val="222222"/>
          <w:sz w:val="27"/>
        </w:rPr>
        <w:t>传真：</w:t>
      </w:r>
      <w:r>
        <w:rPr>
          <w:sz w:val="21"/>
          <w:u w:val="single"/>
        </w:rPr>
        <w:t xml:space="preserve">  </w:t>
      </w:r>
      <w:r>
        <w:rPr>
          <w:color w:val="222222"/>
          <w:sz w:val="27"/>
        </w:rPr>
        <w:t>地址：</w:t>
      </w:r>
      <w:r>
        <w:rPr>
          <w:sz w:val="21"/>
          <w:u w:val="single"/>
        </w:rPr>
        <w:t xml:space="preserve">  </w:t>
      </w:r>
    </w:p>
    <w:p>
      <w:pPr>
        <w:jc w:val="both"/>
      </w:pPr>
      <w:r>
        <w:rPr>
          <w:sz w:val="21"/>
        </w:rPr>
        <w:t xml:space="preserve"> </w:t>
      </w:r>
    </w:p>
    <w:p>
      <w:pPr>
        <w:jc w:val="both"/>
      </w:pPr>
      <w:r>
        <w:rPr>
          <w:sz w:val="21"/>
        </w:rPr>
        <w:t xml:space="preserve"> </w:t>
      </w:r>
    </w:p>
    <w:p>
      <w:pPr>
        <w:jc w:val="both"/>
      </w:pPr>
      <w:r>
        <w:rPr>
          <w:color w:val="222222"/>
          <w:sz w:val="24"/>
        </w:rPr>
        <w:t xml:space="preserve">  </w:t>
      </w:r>
      <w:r>
        <w:rPr>
          <w:color w:val="222222"/>
          <w:sz w:val="24"/>
        </w:rPr>
        <w:t>根据</w:t>
      </w:r>
      <w:r>
        <w:rPr>
          <w:sz w:val="24"/>
          <w:u w:val="single"/>
        </w:rPr>
        <w:t xml:space="preserve">         </w:t>
      </w:r>
      <w:r>
        <w:rPr>
          <w:sz w:val="24"/>
          <w:u w:val="single"/>
        </w:rPr>
        <w:t>项目</w:t>
      </w:r>
      <w:r>
        <w:rPr>
          <w:color w:val="222222"/>
          <w:sz w:val="24"/>
        </w:rPr>
        <w:t>的采购结果，按照《中华人民共和国政府采购法》，《中华人民共和国民法典</w:t>
      </w:r>
      <w:r>
        <w:rPr>
          <w:color w:val="222222"/>
          <w:sz w:val="24"/>
        </w:rPr>
        <w:t>(合同编)》的规定，经双方协商，本着平等互利和诚实信用的原则，一致同意遵守本合同如下。</w:t>
      </w:r>
    </w:p>
    <w:p>
      <w:pPr>
        <w:jc w:val="both"/>
      </w:pPr>
      <w:r>
        <w:rPr>
          <w:b/>
          <w:sz w:val="24"/>
        </w:rPr>
        <w:t>一、项目范围及内容</w:t>
      </w:r>
    </w:p>
    <w:p>
      <w:pPr>
        <w:ind w:firstLine="440"/>
        <w:jc w:val="both"/>
      </w:pPr>
      <w:r>
        <w:rPr>
          <w:sz w:val="24"/>
        </w:rPr>
        <w:t>1</w:t>
      </w:r>
      <w:r>
        <w:rPr>
          <w:sz w:val="24"/>
        </w:rPr>
        <w:t>、工程地点：甲方指定地点</w:t>
      </w:r>
    </w:p>
    <w:p>
      <w:pPr>
        <w:ind w:firstLine="440"/>
        <w:jc w:val="both"/>
      </w:pPr>
      <w:r>
        <w:rPr>
          <w:sz w:val="24"/>
        </w:rPr>
        <w:t>2</w:t>
      </w:r>
      <w:r>
        <w:rPr>
          <w:sz w:val="24"/>
        </w:rPr>
        <w:t>、工程内容：</w:t>
      </w:r>
      <w:r>
        <w:rPr>
          <w:sz w:val="24"/>
        </w:rPr>
        <w:t>运动场改造、给排水工程、监控及电气安装等工程内容，具体施工范围及内容详见施工图及中介预算及隐含内容，所有调整和变更项目施工单位不得拒绝承担。如果</w:t>
      </w:r>
      <w:r>
        <w:rPr>
          <w:sz w:val="24"/>
        </w:rPr>
        <w:t>乙方</w:t>
      </w:r>
      <w:r>
        <w:rPr>
          <w:sz w:val="24"/>
        </w:rPr>
        <w:t>在成交并签署合同后，在施工等工作中出现任何遗漏，均由</w:t>
      </w:r>
      <w:r>
        <w:rPr>
          <w:sz w:val="24"/>
        </w:rPr>
        <w:t>乙方</w:t>
      </w:r>
      <w:r>
        <w:rPr>
          <w:sz w:val="24"/>
        </w:rPr>
        <w:t>自行承担，</w:t>
      </w:r>
      <w:r>
        <w:rPr>
          <w:sz w:val="24"/>
        </w:rPr>
        <w:t>甲方</w:t>
      </w:r>
      <w:r>
        <w:rPr>
          <w:sz w:val="24"/>
        </w:rPr>
        <w:t>将不再支付任何费用。</w:t>
      </w:r>
    </w:p>
    <w:p>
      <w:pPr>
        <w:jc w:val="both"/>
      </w:pPr>
      <w:r>
        <w:rPr>
          <w:b/>
          <w:sz w:val="24"/>
        </w:rPr>
        <w:t>二、工期</w:t>
      </w:r>
      <w:r>
        <w:rPr>
          <w:sz w:val="24"/>
        </w:rPr>
        <w:t>：</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 xml:space="preserve"> </w:t>
      </w:r>
      <w:r>
        <w:rPr>
          <w:sz w:val="24"/>
        </w:rPr>
        <w:t>年</w:t>
      </w:r>
      <w:r>
        <w:rPr>
          <w:sz w:val="21"/>
          <w:u w:val="single"/>
        </w:rPr>
        <w:t xml:space="preserve">      </w:t>
      </w:r>
      <w:r>
        <w:rPr>
          <w:sz w:val="24"/>
        </w:rPr>
        <w:t>月</w:t>
      </w:r>
      <w:r>
        <w:rPr>
          <w:sz w:val="21"/>
          <w:u w:val="single"/>
        </w:rPr>
        <w:t xml:space="preserve">      </w:t>
      </w:r>
      <w:r>
        <w:rPr>
          <w:sz w:val="24"/>
        </w:rPr>
        <w:t>日。</w:t>
      </w:r>
    </w:p>
    <w:p>
      <w:pPr>
        <w:jc w:val="both"/>
      </w:pPr>
      <w:r>
        <w:rPr>
          <w:b/>
          <w:sz w:val="24"/>
        </w:rPr>
        <w:t>三、工程合同金额</w:t>
      </w:r>
    </w:p>
    <w:p>
      <w:pPr>
        <w:ind w:firstLine="440"/>
        <w:jc w:val="both"/>
      </w:pPr>
      <w:r>
        <w:rPr>
          <w:sz w:val="24"/>
        </w:rPr>
        <w:t>1</w:t>
      </w:r>
      <w:r>
        <w:rPr>
          <w:sz w:val="24"/>
        </w:rPr>
        <w:t>、本工程采用总价承包方式。报价包括工程项目所包含的所有费用以及由乙方承担的义务、责任和风险等所发生的一切费用。除设计变更及甲方增减工程量外，合同金额将不予调整</w:t>
      </w:r>
    </w:p>
    <w:p>
      <w:pPr>
        <w:ind w:firstLine="440"/>
        <w:jc w:val="both"/>
      </w:pPr>
      <w:r>
        <w:rPr>
          <w:sz w:val="24"/>
        </w:rPr>
        <w:t>2</w:t>
      </w:r>
      <w:r>
        <w:rPr>
          <w:sz w:val="24"/>
        </w:rPr>
        <w:t>、合同金额：￥</w:t>
      </w:r>
      <w:r>
        <w:rPr>
          <w:sz w:val="21"/>
          <w:u w:val="single"/>
        </w:rPr>
        <w:t xml:space="preserve">             </w:t>
      </w:r>
      <w:r>
        <w:rPr>
          <w:sz w:val="24"/>
        </w:rPr>
        <w:t>元，人民币大写：</w:t>
      </w:r>
      <w:r>
        <w:rPr>
          <w:sz w:val="21"/>
          <w:u w:val="single"/>
        </w:rPr>
        <w:t xml:space="preserve">                          </w:t>
      </w:r>
      <w:r>
        <w:rPr>
          <w:sz w:val="24"/>
        </w:rPr>
        <w:t>。</w:t>
      </w:r>
      <w:r>
        <w:rPr>
          <w:sz w:val="24"/>
        </w:rPr>
        <w:t xml:space="preserve">    </w:t>
      </w:r>
    </w:p>
    <w:p>
      <w:pPr>
        <w:jc w:val="both"/>
      </w:pPr>
      <w:r>
        <w:rPr>
          <w:b/>
          <w:sz w:val="24"/>
        </w:rPr>
        <w:t>四、权利与义务</w:t>
      </w:r>
    </w:p>
    <w:p>
      <w:pPr>
        <w:jc w:val="both"/>
      </w:pPr>
      <w:r>
        <w:rPr>
          <w:b/>
          <w:sz w:val="21"/>
        </w:rPr>
        <w:t xml:space="preserve">  </w:t>
      </w:r>
      <w:r>
        <w:rPr>
          <w:sz w:val="24"/>
        </w:rPr>
        <w:t xml:space="preserve"> 1</w:t>
      </w:r>
      <w:r>
        <w:rPr>
          <w:sz w:val="24"/>
        </w:rPr>
        <w:t>、甲方的权利与义务：</w:t>
      </w:r>
      <w:r>
        <w:rPr>
          <w:sz w:val="24"/>
        </w:rPr>
        <w:t>……</w:t>
      </w:r>
    </w:p>
    <w:p>
      <w:pPr>
        <w:jc w:val="both"/>
      </w:pPr>
      <w:r>
        <w:rPr>
          <w:b/>
          <w:sz w:val="21"/>
        </w:rPr>
        <w:t xml:space="preserve">  </w:t>
      </w:r>
      <w:r>
        <w:rPr>
          <w:sz w:val="24"/>
        </w:rPr>
        <w:t xml:space="preserve"> 2</w:t>
      </w:r>
      <w:r>
        <w:rPr>
          <w:sz w:val="24"/>
        </w:rPr>
        <w:t>、乙方的权利与义务：</w:t>
      </w:r>
      <w:r>
        <w:rPr>
          <w:sz w:val="24"/>
        </w:rPr>
        <w:t>……</w:t>
      </w:r>
    </w:p>
    <w:p>
      <w:pPr>
        <w:jc w:val="both"/>
      </w:pPr>
      <w:r>
        <w:rPr>
          <w:b/>
          <w:sz w:val="24"/>
        </w:rPr>
        <w:t>五、项目施工要求</w:t>
      </w:r>
    </w:p>
    <w:p>
      <w:pPr>
        <w:ind w:firstLine="480"/>
        <w:jc w:val="left"/>
      </w:pPr>
      <w:r>
        <w:rPr>
          <w:sz w:val="24"/>
        </w:rPr>
        <w:t>1、必须严格按照施工规范的要求根据施工图进行施工。</w:t>
      </w:r>
    </w:p>
    <w:p>
      <w:pPr>
        <w:ind w:firstLine="480"/>
        <w:jc w:val="left"/>
      </w:pPr>
      <w:r>
        <w:rPr>
          <w:sz w:val="24"/>
        </w:rPr>
        <w:t>2、施工前必须核查原运动场情况，如现状情况与设计不符，应及时通报采购人，以便调整设计。</w:t>
      </w:r>
    </w:p>
    <w:p>
      <w:pPr>
        <w:ind w:firstLine="480"/>
        <w:jc w:val="left"/>
      </w:pPr>
      <w:r>
        <w:rPr>
          <w:sz w:val="24"/>
        </w:rPr>
        <w:t>3、新增斜坡跑道施工前应在路基两侧开挖临时排水沟。</w:t>
      </w:r>
    </w:p>
    <w:p>
      <w:pPr>
        <w:ind w:firstLine="480"/>
        <w:jc w:val="left"/>
      </w:pPr>
      <w:r>
        <w:rPr>
          <w:sz w:val="24"/>
        </w:rPr>
        <w:t>4、压路机不得在新做沥青砼面上调头，转向，或突然刹车。工作完毕后，压路机不得停放在当天完成的沥青砼面上。</w:t>
      </w:r>
    </w:p>
    <w:p>
      <w:pPr>
        <w:ind w:firstLine="480"/>
        <w:jc w:val="left"/>
      </w:pPr>
      <w:r>
        <w:rPr>
          <w:sz w:val="24"/>
        </w:rPr>
        <w:t>5、为保证沥青的施工质量，沥青面层必须严格遵照《公路沥青路面施工技术规范》（JTGF40-2004)中的二级公路要求进行施工。水泥混凝土路面施工按《公路水泥混凝土路面施工技术规范》（JTGF30-2003)有关规定执行，路面水泥混凝土性能指标按二级公路的指标执行。</w:t>
      </w:r>
    </w:p>
    <w:p>
      <w:pPr>
        <w:ind w:firstLine="480"/>
        <w:jc w:val="left"/>
      </w:pPr>
      <w:r>
        <w:rPr>
          <w:sz w:val="24"/>
        </w:rPr>
        <w:t>6、施工过程严格按照国家、省、市安全文明施工要求施工。施工期内不发生重伤和死亡事故，轻伤事故率。</w:t>
      </w:r>
    </w:p>
    <w:p>
      <w:pPr>
        <w:ind w:firstLine="480"/>
        <w:jc w:val="left"/>
      </w:pPr>
      <w:r>
        <w:rPr>
          <w:sz w:val="24"/>
        </w:rPr>
        <w:t>7、在政府行政主管部门的检查中, 成交供应商的施工场地被评为不合格工地的或者被通报批评的,或者被新闻媒体曝光的,成交供应商必须承担违约责任,并立即采取切实有效措施予以整改，拒不采取有效措施整改的或整改效果不明显的,采购人有权全部解除合同,并要求成交供应商赔偿由此造成的损失。</w:t>
      </w:r>
    </w:p>
    <w:p>
      <w:pPr>
        <w:ind w:firstLine="480"/>
        <w:jc w:val="left"/>
      </w:pPr>
      <w:r>
        <w:rPr>
          <w:sz w:val="24"/>
        </w:rPr>
        <w:t>8、采购人、监理按照有关规定对成交供应商文明施工措施进行对照检查。经检查发现成交供应商因自身原因未能落实的,成交供应商必须承担违约责任并扣罚违约金</w:t>
      </w:r>
      <w:r>
        <w:rPr>
          <w:sz w:val="24"/>
        </w:rPr>
        <w:t>1000</w:t>
      </w:r>
      <w:r>
        <w:rPr>
          <w:sz w:val="24"/>
        </w:rPr>
        <w:t>元</w:t>
      </w:r>
      <w:r>
        <w:rPr>
          <w:sz w:val="24"/>
        </w:rPr>
        <w:t xml:space="preserve">/次。       </w:t>
      </w:r>
    </w:p>
    <w:p>
      <w:pPr>
        <w:ind w:firstLine="480"/>
        <w:jc w:val="left"/>
      </w:pPr>
      <w:r>
        <w:rPr>
          <w:sz w:val="24"/>
        </w:rPr>
        <w:t>9、开工前签订《施工安全责任书》。</w:t>
      </w:r>
    </w:p>
    <w:p>
      <w:pPr>
        <w:ind w:firstLine="480"/>
        <w:jc w:val="left"/>
      </w:pPr>
      <w:r>
        <w:rPr>
          <w:sz w:val="24"/>
        </w:rPr>
        <w:t xml:space="preserve">10、成交供应商在施工中如果工程质量不符合施工设计图要求的有关规定，经监理或质监部门评定工程质量不合格者，采购人可以要求停工和返工，成交供应商必须立即执行，并承担由此产生的各种费用。    </w:t>
      </w:r>
    </w:p>
    <w:p>
      <w:pPr>
        <w:ind w:firstLine="480"/>
        <w:jc w:val="left"/>
      </w:pPr>
      <w:r>
        <w:rPr>
          <w:sz w:val="24"/>
        </w:rPr>
        <w:t xml:space="preserve">11、成交供应商必须严格按照已经确认的施工方案组织施工，并应接受监理单位对工程质量、工期、安全、文明施工、环保及工地纪律的管制。  </w:t>
      </w:r>
    </w:p>
    <w:p>
      <w:pPr>
        <w:ind w:firstLine="480"/>
        <w:jc w:val="left"/>
      </w:pPr>
      <w:r>
        <w:rPr>
          <w:sz w:val="24"/>
        </w:rPr>
        <w:t>12、成交供应商在项目施工期间，须严格遵守当地政府职能部门的各项规章制度，由于管理不善，导致政府职能部门的罚款和停工整改，由其发生的费</w:t>
      </w:r>
      <w:r>
        <w:rPr>
          <w:sz w:val="24"/>
        </w:rPr>
        <w:t>用与损失由成交供应商自行承担，且采购人保留暂缓支付工程款的权利，以确保文明施工有效实行。</w:t>
      </w:r>
    </w:p>
    <w:p>
      <w:pPr>
        <w:ind w:firstLine="480"/>
        <w:jc w:val="left"/>
      </w:pPr>
      <w:r>
        <w:rPr>
          <w:sz w:val="24"/>
        </w:rPr>
        <w:t>13、成交供应商在项目施工期间，必须配备专职安全员，建立健全动火申请批准制度，配置一定数量的消防器材，并报送采购人核准，提交监理单位备案。</w:t>
      </w:r>
    </w:p>
    <w:p>
      <w:pPr>
        <w:ind w:firstLine="480"/>
        <w:jc w:val="left"/>
      </w:pPr>
      <w:r>
        <w:rPr>
          <w:sz w:val="24"/>
        </w:rPr>
        <w:t>14、成交供应商在施工期间，必须建立施工安全用电制度，确保施工用电设备的完好无损，并设置漏电保护装置。</w:t>
      </w:r>
    </w:p>
    <w:p>
      <w:pPr>
        <w:ind w:firstLine="480"/>
        <w:jc w:val="left"/>
      </w:pPr>
      <w:r>
        <w:rPr>
          <w:sz w:val="24"/>
        </w:rPr>
        <w:t>15、验收合格前的施工现场的所有安全责任及因此产生的经济损失由成交供应商负责。</w:t>
      </w:r>
    </w:p>
    <w:p>
      <w:pPr>
        <w:ind w:firstLine="480"/>
        <w:jc w:val="left"/>
      </w:pPr>
      <w:r>
        <w:rPr>
          <w:sz w:val="24"/>
        </w:rPr>
        <w:t>16、采购人不提供临设及材料加工场地，临时设施及材料加工由成交供应商自行解决，其费用由成交供应商自理。</w:t>
      </w:r>
    </w:p>
    <w:p>
      <w:pPr>
        <w:ind w:firstLine="480"/>
        <w:jc w:val="left"/>
      </w:pPr>
      <w:r>
        <w:rPr>
          <w:sz w:val="24"/>
        </w:rPr>
        <w:t>17、采购人施工场地有限，无法提供校内工人住宿场所，成交供应商须自行考虑住宿。另由于交通条件限制，有可能出现二次运输而产生的租金和交通等费用，需自行考虑，合同价不予增加。</w:t>
      </w:r>
    </w:p>
    <w:p>
      <w:pPr>
        <w:ind w:firstLine="480"/>
        <w:jc w:val="left"/>
      </w:pPr>
      <w:r>
        <w:rPr>
          <w:sz w:val="24"/>
        </w:rPr>
        <w:t>18、施工用水：成交供应商须负责现场施工所需水、电开户、接驳等手续的办理和费用支出。所产生的费用须自行考虑在投标报价中。</w:t>
      </w:r>
    </w:p>
    <w:p>
      <w:pPr>
        <w:ind w:firstLine="480"/>
        <w:jc w:val="left"/>
      </w:pPr>
      <w:r>
        <w:rPr>
          <w:sz w:val="24"/>
        </w:rPr>
        <w:t>19、进场施工人员必须严格遵守相关规章制度。进入施工现场人员必须佩戴出入证，并自觉接受检查。</w:t>
      </w:r>
    </w:p>
    <w:p>
      <w:pPr>
        <w:ind w:firstLine="480"/>
        <w:jc w:val="left"/>
      </w:pPr>
      <w:r>
        <w:rPr>
          <w:sz w:val="24"/>
        </w:rPr>
        <w:t>20、成交供应商应确保施工现场的清洁卫生，施工垃圾必须清理干净。</w:t>
      </w:r>
    </w:p>
    <w:p>
      <w:pPr>
        <w:ind w:firstLine="480"/>
        <w:jc w:val="left"/>
      </w:pPr>
      <w:r>
        <w:rPr>
          <w:sz w:val="24"/>
        </w:rPr>
        <w:t>21、车辆出入校园，须服从指挥，减速慢行，注意安全。施工人员名册等相关资料（如身份证等）须报采购人备案（必要时须报派出所）并办理出入校园手续。</w:t>
      </w:r>
    </w:p>
    <w:p>
      <w:pPr>
        <w:ind w:firstLine="480"/>
        <w:jc w:val="left"/>
      </w:pPr>
      <w:r>
        <w:rPr>
          <w:sz w:val="24"/>
        </w:rPr>
        <w:t>22、校园施工，成交供应商应做好噪音污染保障措施工作。</w:t>
      </w:r>
    </w:p>
    <w:p>
      <w:pPr>
        <w:jc w:val="both"/>
      </w:pPr>
      <w:r>
        <w:rPr>
          <w:b/>
          <w:sz w:val="24"/>
        </w:rPr>
        <w:t>六、技术要求</w:t>
      </w:r>
    </w:p>
    <w:p>
      <w:pPr>
        <w:jc w:val="both"/>
      </w:pPr>
      <w:r>
        <w:rPr>
          <w:b/>
          <w:sz w:val="24"/>
        </w:rPr>
        <w:t>1、</w:t>
      </w:r>
      <w:r>
        <w:rPr>
          <w:b/>
          <w:sz w:val="24"/>
        </w:rPr>
        <w:t>全塑型子自结纹塑胶</w:t>
      </w:r>
      <w:r>
        <w:rPr>
          <w:b/>
          <w:sz w:val="24"/>
        </w:rPr>
        <w:t>跑道</w:t>
      </w:r>
      <w:r>
        <w:rPr>
          <w:b/>
          <w:sz w:val="24"/>
        </w:rPr>
        <w:t>要求：</w:t>
      </w:r>
    </w:p>
    <w:p>
      <w:pPr>
        <w:jc w:val="both"/>
      </w:pPr>
      <w:r>
        <w:rPr>
          <w:b/>
          <w:sz w:val="24"/>
        </w:rPr>
        <w:t>依据</w:t>
      </w:r>
      <w:r>
        <w:rPr>
          <w:b/>
          <w:sz w:val="24"/>
        </w:rPr>
        <w:t>GB36246-2018《中小学合成材料面层运动场地》标准，塑胶跑道须满足以下要求：</w:t>
      </w:r>
    </w:p>
    <w:p>
      <w:pPr>
        <w:jc w:val="both"/>
      </w:pPr>
      <w:r>
        <w:rPr>
          <w:sz w:val="24"/>
        </w:rPr>
        <w:t>（</w:t>
      </w:r>
      <w:r>
        <w:rPr>
          <w:sz w:val="24"/>
        </w:rPr>
        <w:t>1）塑胶跑道材质环保性能：为确保塑胶面层质量，保护学生的身心健康，聚氨酯跑道底胶，面胶达到环保指标（执行标准：GB 36246-2018）</w:t>
      </w:r>
    </w:p>
    <w:tbl>
      <w:tblPr>
        <w:tblW w:w="0" w:type="auto"/>
        <w:tblBorders>
          <w:top w:val="none" w:color="000000" w:sz="4"/>
          <w:left w:val="none" w:color="000000" w:sz="4"/>
          <w:bottom w:val="none" w:color="000000" w:sz="4"/>
          <w:right w:val="none" w:color="000000" w:sz="4"/>
          <w:insideH w:val="none"/>
          <w:insideV w:val="none"/>
        </w:tblBorders>
      </w:tblPr>
      <w:tblGrid>
        <w:gridCol w:w="424"/>
        <w:gridCol w:w="5381"/>
        <w:gridCol w:w="2500"/>
      </w:tblGrid>
      <w:tr>
        <w:tc>
          <w:tcPr>
            <w:tcW w:type="dxa" w:w="424"/>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5381"/>
            <w:tcBorders>
              <w:top w:val="single" w:color="000000" w:sz="4"/>
              <w:left w:val="none" w:color="000000" w:sz="4"/>
              <w:bottom w:val="single" w:color="000000" w:sz="4"/>
              <w:right w:val="single" w:color="000000" w:sz="4"/>
            </w:tcBorders>
            <w:vAlign w:val="top"/>
          </w:tcPr>
          <w:p>
            <w:pPr>
              <w:jc w:val="center"/>
            </w:pPr>
            <w:r>
              <w:rPr>
                <w:sz w:val="24"/>
              </w:rPr>
              <w:t>项目</w:t>
            </w:r>
          </w:p>
        </w:tc>
        <w:tc>
          <w:tcPr>
            <w:tcW w:type="dxa" w:w="2500"/>
            <w:tcBorders>
              <w:top w:val="single" w:color="000000" w:sz="4"/>
              <w:left w:val="none" w:color="000000" w:sz="4"/>
              <w:bottom w:val="single" w:color="000000" w:sz="4"/>
              <w:right w:val="single" w:color="000000" w:sz="4"/>
            </w:tcBorders>
            <w:vAlign w:val="top"/>
          </w:tcPr>
          <w:p>
            <w:pPr>
              <w:jc w:val="center"/>
            </w:pPr>
            <w:r>
              <w:rPr>
                <w:sz w:val="24"/>
              </w:rPr>
              <w:t>技术要求</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5381"/>
            <w:tcBorders>
              <w:top w:val="none" w:color="000000" w:sz="4"/>
              <w:left w:val="none" w:color="000000" w:sz="4"/>
              <w:bottom w:val="single" w:color="000000" w:sz="4"/>
              <w:right w:val="single" w:color="000000" w:sz="4"/>
            </w:tcBorders>
            <w:vAlign w:val="top"/>
          </w:tcPr>
          <w:p>
            <w:pPr>
              <w:jc w:val="both"/>
            </w:pPr>
            <w:r>
              <w:rPr>
                <w:sz w:val="24"/>
              </w:rPr>
              <w:t>3 种邻苯二甲酸酯类化合物（DBP、BBP、DEHP）总和  b/（g/kg）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2</w:t>
            </w:r>
          </w:p>
        </w:tc>
        <w:tc>
          <w:tcPr>
            <w:tcW w:type="dxa" w:w="5381"/>
            <w:tcBorders>
              <w:top w:val="none" w:color="000000" w:sz="4"/>
              <w:left w:val="none" w:color="000000" w:sz="4"/>
              <w:bottom w:val="single" w:color="000000" w:sz="4"/>
              <w:right w:val="single" w:color="000000" w:sz="4"/>
            </w:tcBorders>
            <w:vAlign w:val="top"/>
          </w:tcPr>
          <w:p>
            <w:pPr>
              <w:jc w:val="both"/>
            </w:pPr>
            <w:r>
              <w:rPr>
                <w:sz w:val="24"/>
              </w:rPr>
              <w:t>3 种邻苯二甲酸酯类化合物（DNOP、DINP、DIDP）总和  b/（g/kg）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3</w:t>
            </w:r>
          </w:p>
        </w:tc>
        <w:tc>
          <w:tcPr>
            <w:tcW w:type="dxa" w:w="5381"/>
            <w:tcBorders>
              <w:top w:val="none" w:color="000000" w:sz="4"/>
              <w:left w:val="none" w:color="000000" w:sz="4"/>
              <w:bottom w:val="single" w:color="000000" w:sz="4"/>
              <w:right w:val="single" w:color="000000" w:sz="4"/>
            </w:tcBorders>
            <w:vAlign w:val="top"/>
          </w:tcPr>
          <w:p>
            <w:pPr>
              <w:jc w:val="both"/>
            </w:pPr>
            <w:r>
              <w:rPr>
                <w:sz w:val="24"/>
              </w:rPr>
              <w:t>短链氯化石蜡（</w:t>
            </w:r>
            <w:r>
              <w:rPr>
                <w:sz w:val="24"/>
              </w:rPr>
              <w:t>C</w:t>
            </w:r>
            <w:r>
              <w:rPr>
                <w:sz w:val="24"/>
                <w:vertAlign w:val="subscript"/>
              </w:rPr>
              <w:t>10</w:t>
            </w:r>
            <w:r>
              <w:rPr>
                <w:sz w:val="24"/>
              </w:rPr>
              <w:t>-C</w:t>
            </w:r>
            <w:r>
              <w:rPr>
                <w:sz w:val="24"/>
                <w:vertAlign w:val="subscript"/>
              </w:rPr>
              <w:t>13</w:t>
            </w:r>
            <w:r>
              <w:rPr>
                <w:sz w:val="24"/>
              </w:rPr>
              <w:t>）</w:t>
            </w:r>
            <w:r>
              <w:rPr>
                <w:sz w:val="24"/>
              </w:rPr>
              <w:t>/（g/kg）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≤1.5</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4</w:t>
            </w:r>
          </w:p>
        </w:tc>
        <w:tc>
          <w:tcPr>
            <w:tcW w:type="dxa" w:w="5381"/>
            <w:tcBorders>
              <w:top w:val="none" w:color="000000" w:sz="4"/>
              <w:left w:val="none" w:color="000000" w:sz="4"/>
              <w:bottom w:val="single" w:color="000000" w:sz="4"/>
              <w:right w:val="single" w:color="000000" w:sz="4"/>
            </w:tcBorders>
            <w:vAlign w:val="top"/>
          </w:tcPr>
          <w:p>
            <w:pPr>
              <w:jc w:val="both"/>
            </w:pPr>
            <w:r>
              <w:rPr>
                <w:sz w:val="24"/>
              </w:rPr>
              <w:t>游离甲苯二异氰酸酯（</w:t>
            </w:r>
            <w:r>
              <w:rPr>
                <w:sz w:val="24"/>
              </w:rPr>
              <w:t>TDI）和游离六亚甲基二异氰酸酯（HDI）总和 /（g/kg）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5</w:t>
            </w:r>
          </w:p>
        </w:tc>
        <w:tc>
          <w:tcPr>
            <w:tcW w:type="dxa" w:w="5381"/>
            <w:tcBorders>
              <w:top w:val="none" w:color="000000" w:sz="4"/>
              <w:left w:val="none" w:color="000000" w:sz="4"/>
              <w:bottom w:val="single" w:color="000000" w:sz="4"/>
              <w:right w:val="single" w:color="000000" w:sz="4"/>
            </w:tcBorders>
            <w:vAlign w:val="top"/>
          </w:tcPr>
          <w:p>
            <w:pPr>
              <w:jc w:val="both"/>
            </w:pPr>
            <w:r>
              <w:rPr>
                <w:sz w:val="24"/>
              </w:rPr>
              <w:t>挥发性有机化合物</w:t>
            </w:r>
            <w:r>
              <w:rPr>
                <w:sz w:val="24"/>
              </w:rPr>
              <w:t>/（g/L）</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6</w:t>
            </w:r>
          </w:p>
        </w:tc>
        <w:tc>
          <w:tcPr>
            <w:tcW w:type="dxa" w:w="5381"/>
            <w:tcBorders>
              <w:top w:val="none" w:color="000000" w:sz="4"/>
              <w:left w:val="none" w:color="000000" w:sz="4"/>
              <w:bottom w:val="single" w:color="000000" w:sz="4"/>
              <w:right w:val="single" w:color="000000" w:sz="4"/>
            </w:tcBorders>
            <w:vAlign w:val="top"/>
          </w:tcPr>
          <w:p>
            <w:pPr>
              <w:jc w:val="both"/>
            </w:pPr>
            <w:r>
              <w:rPr>
                <w:sz w:val="24"/>
              </w:rPr>
              <w:t>游离甲醛</w:t>
            </w:r>
            <w:r>
              <w:rPr>
                <w:sz w:val="24"/>
              </w:rPr>
              <w:t>/（g/kg）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≤0.50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7</w:t>
            </w:r>
          </w:p>
        </w:tc>
        <w:tc>
          <w:tcPr>
            <w:tcW w:type="dxa" w:w="5381"/>
            <w:tcBorders>
              <w:top w:val="none" w:color="000000" w:sz="4"/>
              <w:left w:val="none" w:color="000000" w:sz="4"/>
              <w:bottom w:val="single" w:color="000000" w:sz="4"/>
              <w:right w:val="single" w:color="000000" w:sz="4"/>
            </w:tcBorders>
            <w:vAlign w:val="top"/>
          </w:tcPr>
          <w:p>
            <w:pPr>
              <w:jc w:val="both"/>
            </w:pPr>
            <w:r>
              <w:rPr>
                <w:sz w:val="24"/>
              </w:rPr>
              <w:t>苯</w:t>
            </w:r>
            <w:r>
              <w:rPr>
                <w:sz w:val="24"/>
              </w:rPr>
              <w:t>/（g/kg）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≤0.05</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8</w:t>
            </w:r>
          </w:p>
        </w:tc>
        <w:tc>
          <w:tcPr>
            <w:tcW w:type="dxa" w:w="5381"/>
            <w:tcBorders>
              <w:top w:val="none" w:color="000000" w:sz="4"/>
              <w:left w:val="none" w:color="000000" w:sz="4"/>
              <w:bottom w:val="single" w:color="000000" w:sz="4"/>
              <w:right w:val="single" w:color="000000" w:sz="4"/>
            </w:tcBorders>
            <w:vAlign w:val="top"/>
          </w:tcPr>
          <w:p>
            <w:pPr>
              <w:jc w:val="both"/>
            </w:pPr>
            <w:r>
              <w:rPr>
                <w:sz w:val="24"/>
              </w:rPr>
              <w:t>甲苯、二甲苯和乙苯总和</w:t>
            </w:r>
            <w:r>
              <w:rPr>
                <w:sz w:val="24"/>
              </w:rPr>
              <w:t>/（g/kg）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9</w:t>
            </w:r>
          </w:p>
        </w:tc>
        <w:tc>
          <w:tcPr>
            <w:tcW w:type="dxa" w:w="5381"/>
            <w:tcBorders>
              <w:top w:val="none" w:color="000000" w:sz="4"/>
              <w:left w:val="none" w:color="000000" w:sz="4"/>
              <w:bottom w:val="single" w:color="000000" w:sz="4"/>
              <w:right w:val="single" w:color="000000" w:sz="4"/>
            </w:tcBorders>
            <w:vAlign w:val="top"/>
          </w:tcPr>
          <w:p>
            <w:pPr>
              <w:jc w:val="both"/>
            </w:pPr>
            <w:r>
              <w:rPr>
                <w:sz w:val="24"/>
              </w:rPr>
              <w:t>可溶性铅</w:t>
            </w:r>
            <w:r>
              <w:rPr>
                <w:sz w:val="24"/>
              </w:rPr>
              <w:t>/（mg/kg）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5381"/>
            <w:tcBorders>
              <w:top w:val="none" w:color="000000" w:sz="4"/>
              <w:left w:val="none" w:color="000000" w:sz="4"/>
              <w:bottom w:val="single" w:color="000000" w:sz="4"/>
              <w:right w:val="single" w:color="000000" w:sz="4"/>
            </w:tcBorders>
            <w:vAlign w:val="top"/>
          </w:tcPr>
          <w:p>
            <w:pPr>
              <w:jc w:val="both"/>
            </w:pPr>
            <w:r>
              <w:rPr>
                <w:sz w:val="24"/>
              </w:rPr>
              <w:t>可溶性镉</w:t>
            </w:r>
            <w:r>
              <w:rPr>
                <w:sz w:val="24"/>
              </w:rPr>
              <w:t>/（mg/kg）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5381"/>
            <w:tcBorders>
              <w:top w:val="none" w:color="000000" w:sz="4"/>
              <w:left w:val="none" w:color="000000" w:sz="4"/>
              <w:bottom w:val="single" w:color="000000" w:sz="4"/>
              <w:right w:val="single" w:color="000000" w:sz="4"/>
            </w:tcBorders>
            <w:vAlign w:val="top"/>
          </w:tcPr>
          <w:p>
            <w:pPr>
              <w:jc w:val="both"/>
            </w:pPr>
            <w:r>
              <w:rPr>
                <w:sz w:val="24"/>
              </w:rPr>
              <w:t>可溶性铬</w:t>
            </w:r>
            <w:r>
              <w:rPr>
                <w:sz w:val="24"/>
              </w:rPr>
              <w:t>/（mg/kg）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24"/>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5381"/>
            <w:tcBorders>
              <w:top w:val="none" w:color="000000" w:sz="4"/>
              <w:left w:val="none" w:color="000000" w:sz="4"/>
              <w:bottom w:val="single" w:color="000000" w:sz="4"/>
              <w:right w:val="single" w:color="000000" w:sz="4"/>
            </w:tcBorders>
            <w:vAlign w:val="top"/>
          </w:tcPr>
          <w:p>
            <w:pPr>
              <w:jc w:val="both"/>
            </w:pPr>
            <w:r>
              <w:rPr>
                <w:sz w:val="24"/>
              </w:rPr>
              <w:t>可溶性汞</w:t>
            </w:r>
            <w:r>
              <w:rPr>
                <w:sz w:val="24"/>
              </w:rPr>
              <w:t>/（mg/kg）</w:t>
            </w:r>
          </w:p>
        </w:tc>
        <w:tc>
          <w:tcPr>
            <w:tcW w:type="dxa" w:w="2500"/>
            <w:tcBorders>
              <w:top w:val="none" w:color="000000" w:sz="4"/>
              <w:left w:val="none" w:color="000000" w:sz="4"/>
              <w:bottom w:val="single" w:color="000000" w:sz="4"/>
              <w:right w:val="single" w:color="000000" w:sz="4"/>
            </w:tcBorders>
            <w:vAlign w:val="top"/>
          </w:tcPr>
          <w:p>
            <w:pPr>
              <w:jc w:val="center"/>
            </w:pPr>
            <w:r>
              <w:rPr>
                <w:sz w:val="24"/>
              </w:rPr>
              <w:t>≤2</w:t>
            </w:r>
          </w:p>
        </w:tc>
      </w:tr>
    </w:tbl>
    <w:p>
      <w:pPr>
        <w:jc w:val="both"/>
      </w:pPr>
      <w:r>
        <w:rPr>
          <w:sz w:val="24"/>
        </w:rPr>
        <w:t>（</w:t>
      </w:r>
      <w:r>
        <w:rPr>
          <w:sz w:val="24"/>
        </w:rPr>
        <w:t>2）塑胶跑道面层厚度、物理、老化、无机填料、气味和环保指标（执行标准：GB 36246-2018）</w:t>
      </w:r>
    </w:p>
    <w:tbl>
      <w:tblPr>
        <w:tblW w:w="0" w:type="auto"/>
        <w:tblBorders>
          <w:top w:val="none" w:color="000000" w:sz="4"/>
          <w:left w:val="none" w:color="000000" w:sz="4"/>
          <w:bottom w:val="none" w:color="000000" w:sz="4"/>
          <w:right w:val="none" w:color="000000" w:sz="4"/>
          <w:insideH w:val="none"/>
          <w:insideV w:val="none"/>
        </w:tblBorders>
      </w:tblPr>
      <w:tblGrid>
        <w:gridCol w:w="437"/>
        <w:gridCol w:w="1051"/>
        <w:gridCol w:w="1634"/>
        <w:gridCol w:w="2656"/>
        <w:gridCol w:w="2496"/>
      </w:tblGrid>
      <w:tr>
        <w:tc>
          <w:tcPr>
            <w:tcW w:type="dxa" w:w="437"/>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5341"/>
            <w:gridSpan w:val="3"/>
            <w:tcBorders>
              <w:top w:val="single" w:color="000000" w:sz="4"/>
              <w:left w:val="none" w:color="000000" w:sz="4"/>
              <w:bottom w:val="single" w:color="000000" w:sz="4"/>
              <w:right w:val="single" w:color="000000" w:sz="4"/>
            </w:tcBorders>
            <w:vAlign w:val="top"/>
          </w:tcPr>
          <w:p>
            <w:pPr>
              <w:jc w:val="center"/>
            </w:pPr>
            <w:r>
              <w:rPr>
                <w:sz w:val="24"/>
              </w:rPr>
              <w:t>项目</w:t>
            </w:r>
          </w:p>
        </w:tc>
        <w:tc>
          <w:tcPr>
            <w:tcW w:type="dxa" w:w="2496"/>
            <w:tcBorders>
              <w:top w:val="single" w:color="000000" w:sz="4"/>
              <w:left w:val="none" w:color="000000" w:sz="4"/>
              <w:bottom w:val="single" w:color="000000" w:sz="4"/>
              <w:right w:val="single" w:color="000000" w:sz="4"/>
            </w:tcBorders>
            <w:vAlign w:val="top"/>
          </w:tcPr>
          <w:p>
            <w:pPr>
              <w:jc w:val="center"/>
            </w:pPr>
            <w:r>
              <w:rPr>
                <w:sz w:val="24"/>
              </w:rPr>
              <w:t>技术要求</w:t>
            </w:r>
          </w:p>
        </w:tc>
      </w:tr>
      <w:tr>
        <w:tc>
          <w:tcPr>
            <w:tcW w:type="dxa" w:w="437"/>
            <w:vMerge w:val="restart"/>
            <w:tcBorders>
              <w:top w:val="none" w:color="000000" w:sz="4"/>
              <w:left w:val="single" w:color="000000" w:sz="4"/>
              <w:bottom w:val="none" w:color="000000" w:sz="4"/>
              <w:right w:val="single" w:color="000000" w:sz="4"/>
            </w:tcBorders>
            <w:vAlign w:val="top"/>
          </w:tcPr>
          <w:p>
            <w:pPr>
              <w:jc w:val="center"/>
            </w:pPr>
            <w:r>
              <w:rPr>
                <w:sz w:val="24"/>
              </w:rPr>
              <w:t>1</w:t>
            </w:r>
          </w:p>
        </w:tc>
        <w:tc>
          <w:tcPr>
            <w:tcW w:type="dxa" w:w="1051"/>
            <w:vMerge w:val="restart"/>
            <w:tcBorders>
              <w:top w:val="none" w:color="000000" w:sz="4"/>
              <w:left w:val="none" w:color="000000" w:sz="4"/>
              <w:bottom w:val="single" w:color="000000" w:sz="4"/>
              <w:right w:val="single" w:color="000000" w:sz="4"/>
            </w:tcBorders>
            <w:vAlign w:val="top"/>
          </w:tcPr>
          <w:p>
            <w:pPr>
              <w:jc w:val="both"/>
            </w:pPr>
            <w:r>
              <w:rPr>
                <w:sz w:val="24"/>
              </w:rPr>
              <w:t>厚度</w:t>
            </w: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球类场地</w:t>
            </w:r>
          </w:p>
        </w:tc>
        <w:tc>
          <w:tcPr>
            <w:tcW w:type="dxa" w:w="2496"/>
            <w:tcBorders>
              <w:top w:val="single" w:color="000000" w:sz="4"/>
              <w:left w:val="none" w:color="000000" w:sz="4"/>
              <w:bottom w:val="single" w:color="000000" w:sz="4"/>
              <w:right w:val="single" w:color="000000" w:sz="4"/>
            </w:tcBorders>
            <w:vAlign w:val="top"/>
          </w:tcPr>
          <w:p>
            <w:pPr>
              <w:jc w:val="center"/>
            </w:pPr>
            <w:r>
              <w:rPr>
                <w:sz w:val="24"/>
              </w:rPr>
              <w:t>8mm</w:t>
            </w:r>
          </w:p>
        </w:tc>
      </w:tr>
      <w:tr>
        <w:tc>
          <w:tcPr>
            <w:tcW w:type="dxa" w:w="437"/>
            <w:vMerge/>
            <w:tcBorders>
              <w:top w:val="none" w:color="000000" w:sz="4"/>
              <w:left w:val="single" w:color="000000" w:sz="4"/>
              <w:bottom w:val="none" w:color="000000" w:sz="4"/>
              <w:right w:val="single" w:color="000000" w:sz="4"/>
            </w:tcBorders>
          </w:tcP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田径场地</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13mm</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051"/>
            <w:vMerge w:val="restart"/>
            <w:tcBorders>
              <w:top w:val="none" w:color="000000" w:sz="4"/>
              <w:left w:val="none" w:color="000000" w:sz="4"/>
              <w:bottom w:val="single" w:color="000000" w:sz="4"/>
              <w:right w:val="single" w:color="000000" w:sz="4"/>
            </w:tcBorders>
            <w:vAlign w:val="top"/>
          </w:tcPr>
          <w:p>
            <w:pPr>
              <w:jc w:val="center"/>
            </w:pPr>
            <w:r>
              <w:rPr>
                <w:sz w:val="24"/>
              </w:rPr>
              <w:t>现浇型物理机械性能</w:t>
            </w:r>
          </w:p>
        </w:tc>
        <w:tc>
          <w:tcPr>
            <w:tcW w:type="dxa" w:w="1634"/>
            <w:vMerge w:val="restart"/>
            <w:tcBorders>
              <w:top w:val="none" w:color="000000" w:sz="4"/>
              <w:left w:val="none" w:color="000000" w:sz="4"/>
              <w:bottom w:val="single" w:color="000000" w:sz="4"/>
              <w:right w:val="single" w:color="000000" w:sz="4"/>
            </w:tcBorders>
            <w:vAlign w:val="top"/>
          </w:tcPr>
          <w:p>
            <w:pPr>
              <w:jc w:val="both"/>
            </w:pPr>
            <w:r>
              <w:rPr>
                <w:sz w:val="24"/>
              </w:rPr>
              <w:t>冲击吸收</w:t>
            </w:r>
            <w:r>
              <w:rPr>
                <w:sz w:val="24"/>
              </w:rPr>
              <w:t>/（%）</w:t>
            </w:r>
          </w:p>
        </w:tc>
        <w:tc>
          <w:tcPr>
            <w:tcW w:type="dxa" w:w="2656"/>
            <w:tcBorders>
              <w:top w:val="none" w:color="000000" w:sz="4"/>
              <w:left w:val="none" w:color="000000" w:sz="4"/>
              <w:bottom w:val="single" w:color="000000" w:sz="4"/>
              <w:right w:val="single" w:color="000000" w:sz="4"/>
            </w:tcBorders>
            <w:vAlign w:val="top"/>
          </w:tcPr>
          <w:p>
            <w:pPr>
              <w:jc w:val="both"/>
            </w:pPr>
            <w:r>
              <w:rPr>
                <w:sz w:val="24"/>
              </w:rPr>
              <w:t>球类场地</w:t>
            </w:r>
          </w:p>
        </w:tc>
        <w:tc>
          <w:tcPr>
            <w:tcW w:type="dxa" w:w="2496"/>
            <w:tcBorders>
              <w:top w:val="single" w:color="000000" w:sz="4"/>
              <w:left w:val="none" w:color="000000" w:sz="4"/>
              <w:bottom w:val="single" w:color="000000" w:sz="4"/>
              <w:right w:val="single" w:color="000000" w:sz="4"/>
            </w:tcBorders>
            <w:vAlign w:val="top"/>
          </w:tcPr>
          <w:p>
            <w:pPr>
              <w:jc w:val="center"/>
            </w:pPr>
            <w:r>
              <w:rPr>
                <w:sz w:val="24"/>
              </w:rPr>
              <w:t>20～50</w:t>
            </w:r>
          </w:p>
        </w:tc>
      </w:tr>
      <w:tr>
        <w:tc>
          <w:tcPr>
            <w:tcW w:type="dxa" w:w="437"/>
            <w:tcBorders>
              <w:top w:val="none" w:color="000000" w:sz="4"/>
              <w:left w:val="single" w:color="000000" w:sz="4"/>
              <w:bottom w:val="single" w:color="000000" w:sz="4"/>
              <w:right w:val="single" w:color="000000" w:sz="4"/>
            </w:tcBorders>
            <w:vAlign w:val="top"/>
          </w:tcPr>
          <w:p>
            <w:pPr>
              <w:jc w:val="center"/>
            </w:pPr>
          </w:p>
        </w:tc>
        <w:tc>
          <w:tcPr>
            <w:tcW w:type="dxa" w:w="1051"/>
            <w:vMerge/>
            <w:tcBorders>
              <w:top w:val="none" w:color="000000" w:sz="4"/>
              <w:left w:val="none" w:color="000000" w:sz="4"/>
              <w:bottom w:val="single" w:color="000000" w:sz="4"/>
              <w:right w:val="single" w:color="000000" w:sz="4"/>
            </w:tcBorders>
          </w:tcPr>
          <w:p/>
        </w:tc>
        <w:tc>
          <w:tcPr>
            <w:tcW w:type="dxa" w:w="1634"/>
            <w:vMerge/>
            <w:tcBorders>
              <w:top w:val="none" w:color="000000" w:sz="4"/>
              <w:left w:val="none" w:color="000000" w:sz="4"/>
              <w:bottom w:val="single" w:color="000000" w:sz="4"/>
              <w:right w:val="single" w:color="000000" w:sz="4"/>
            </w:tcBorders>
          </w:tcPr>
          <w:p/>
        </w:tc>
        <w:tc>
          <w:tcPr>
            <w:tcW w:type="dxa" w:w="2656"/>
            <w:tcBorders>
              <w:top w:val="none" w:color="000000" w:sz="4"/>
              <w:left w:val="none" w:color="000000" w:sz="4"/>
              <w:bottom w:val="single" w:color="000000" w:sz="4"/>
              <w:right w:val="single" w:color="000000" w:sz="4"/>
            </w:tcBorders>
            <w:vAlign w:val="top"/>
          </w:tcPr>
          <w:p>
            <w:pPr>
              <w:jc w:val="both"/>
            </w:pPr>
            <w:r>
              <w:rPr>
                <w:sz w:val="24"/>
              </w:rPr>
              <w:t>田径场地</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35～50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3</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垂直变形</w:t>
            </w:r>
            <w:r>
              <w:rPr>
                <w:sz w:val="24"/>
              </w:rPr>
              <w:t>/（mm）</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0.6～3.0</w:t>
            </w:r>
          </w:p>
        </w:tc>
      </w:tr>
      <w:tr>
        <w:tc>
          <w:tcPr>
            <w:tcW w:type="dxa" w:w="437"/>
            <w:tcBorders>
              <w:top w:val="none" w:color="000000" w:sz="4"/>
              <w:left w:val="single" w:color="000000" w:sz="4"/>
              <w:bottom w:val="single" w:color="000000" w:sz="4"/>
              <w:right w:val="single" w:color="000000" w:sz="4"/>
            </w:tcBorders>
            <w:vAlign w:val="top"/>
          </w:tcPr>
          <w:p>
            <w:pPr>
              <w:jc w:val="center"/>
            </w:pPr>
          </w:p>
        </w:tc>
        <w:tc>
          <w:tcPr>
            <w:tcW w:type="dxa" w:w="1051"/>
            <w:vMerge/>
            <w:tcBorders>
              <w:top w:val="none" w:color="000000" w:sz="4"/>
              <w:left w:val="none" w:color="000000" w:sz="4"/>
              <w:bottom w:val="single" w:color="000000" w:sz="4"/>
              <w:right w:val="single" w:color="000000" w:sz="4"/>
            </w:tcBorders>
          </w:tcPr>
          <w:p/>
        </w:tc>
        <w:tc>
          <w:tcPr>
            <w:tcW w:type="dxa" w:w="1634"/>
            <w:vMerge w:val="restart"/>
            <w:tcBorders>
              <w:top w:val="none" w:color="000000" w:sz="4"/>
              <w:left w:val="none" w:color="000000" w:sz="4"/>
              <w:bottom w:val="single" w:color="000000" w:sz="4"/>
              <w:right w:val="single" w:color="000000" w:sz="4"/>
            </w:tcBorders>
            <w:vAlign w:val="top"/>
          </w:tcPr>
          <w:p>
            <w:pPr>
              <w:jc w:val="both"/>
            </w:pPr>
            <w:r>
              <w:rPr>
                <w:sz w:val="24"/>
              </w:rPr>
              <w:t>抗滑值</w:t>
            </w:r>
            <w:r>
              <w:rPr>
                <w:sz w:val="24"/>
              </w:rPr>
              <w:t>/（BPN，20 ℃）</w:t>
            </w:r>
          </w:p>
        </w:tc>
        <w:tc>
          <w:tcPr>
            <w:tcW w:type="dxa" w:w="2656"/>
            <w:tcBorders>
              <w:top w:val="none" w:color="000000" w:sz="4"/>
              <w:left w:val="none" w:color="000000" w:sz="4"/>
              <w:bottom w:val="single" w:color="000000" w:sz="4"/>
              <w:right w:val="single" w:color="000000" w:sz="4"/>
            </w:tcBorders>
            <w:vAlign w:val="top"/>
          </w:tcPr>
          <w:p>
            <w:pPr>
              <w:jc w:val="both"/>
            </w:pPr>
            <w:r>
              <w:rPr>
                <w:sz w:val="24"/>
              </w:rPr>
              <w:t>球类场地及其他活动场地</w:t>
            </w:r>
          </w:p>
        </w:tc>
        <w:tc>
          <w:tcPr>
            <w:tcW w:type="dxa" w:w="2496"/>
            <w:tcBorders>
              <w:top w:val="single" w:color="000000" w:sz="4"/>
              <w:left w:val="none" w:color="000000" w:sz="4"/>
              <w:bottom w:val="single" w:color="000000" w:sz="4"/>
              <w:right w:val="single" w:color="000000" w:sz="4"/>
            </w:tcBorders>
            <w:vAlign w:val="top"/>
          </w:tcPr>
          <w:p>
            <w:pPr>
              <w:jc w:val="center"/>
            </w:pPr>
            <w:r>
              <w:rPr>
                <w:sz w:val="24"/>
              </w:rPr>
              <w:t>80～110（干测）</w:t>
            </w:r>
          </w:p>
        </w:tc>
      </w:tr>
      <w:tr>
        <w:tc>
          <w:tcPr>
            <w:tcW w:type="dxa" w:w="437"/>
            <w:vMerge w:val="restart"/>
            <w:tcBorders>
              <w:top w:val="none" w:color="000000" w:sz="4"/>
              <w:left w:val="single" w:color="000000" w:sz="4"/>
              <w:bottom w:val="none" w:color="000000" w:sz="4"/>
              <w:right w:val="single" w:color="000000" w:sz="4"/>
            </w:tcBorders>
            <w:vAlign w:val="top"/>
          </w:tcPr>
          <w:p>
            <w:pPr>
              <w:jc w:val="center"/>
            </w:pPr>
            <w:r>
              <w:rPr>
                <w:sz w:val="24"/>
              </w:rPr>
              <w:t>4</w:t>
            </w:r>
          </w:p>
        </w:tc>
        <w:tc>
          <w:tcPr>
            <w:tcW w:type="dxa" w:w="1051"/>
            <w:vMerge/>
            <w:tcBorders>
              <w:top w:val="none" w:color="000000" w:sz="4"/>
              <w:left w:val="none" w:color="000000" w:sz="4"/>
              <w:bottom w:val="single" w:color="000000" w:sz="4"/>
              <w:right w:val="single" w:color="000000" w:sz="4"/>
            </w:tcBorders>
          </w:tcPr>
          <w:p/>
        </w:tc>
        <w:tc>
          <w:tcPr>
            <w:tcW w:type="dxa" w:w="1634"/>
            <w:vMerge/>
            <w:tcBorders>
              <w:top w:val="none" w:color="000000" w:sz="4"/>
              <w:left w:val="none" w:color="000000" w:sz="4"/>
              <w:bottom w:val="single" w:color="000000" w:sz="4"/>
              <w:right w:val="single" w:color="000000" w:sz="4"/>
            </w:tcBorders>
          </w:tcPr>
          <w:p/>
        </w:tc>
        <w:tc>
          <w:tcPr>
            <w:tcW w:type="dxa" w:w="2656"/>
            <w:tcBorders>
              <w:top w:val="none" w:color="000000" w:sz="4"/>
              <w:left w:val="none" w:color="000000" w:sz="4"/>
              <w:bottom w:val="single" w:color="000000" w:sz="4"/>
              <w:right w:val="single" w:color="000000" w:sz="4"/>
            </w:tcBorders>
            <w:vAlign w:val="top"/>
          </w:tcPr>
          <w:p>
            <w:pPr>
              <w:jc w:val="both"/>
            </w:pPr>
            <w:r>
              <w:rPr>
                <w:sz w:val="24"/>
              </w:rPr>
              <w:t>田径场地</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≥47(湿测)</w:t>
            </w:r>
          </w:p>
        </w:tc>
      </w:tr>
      <w:tr>
        <w:tc>
          <w:tcPr>
            <w:tcW w:type="dxa" w:w="437"/>
            <w:vMerge/>
            <w:tcBorders>
              <w:top w:val="none" w:color="000000" w:sz="4"/>
              <w:left w:val="single" w:color="000000" w:sz="4"/>
              <w:bottom w:val="none" w:color="000000" w:sz="4"/>
              <w:right w:val="single" w:color="000000" w:sz="4"/>
            </w:tcBorders>
          </w:tcPr>
          <w:p/>
        </w:tc>
        <w:tc>
          <w:tcPr>
            <w:tcW w:type="dxa" w:w="1051"/>
            <w:vMerge/>
            <w:tcBorders>
              <w:top w:val="none" w:color="000000" w:sz="4"/>
              <w:left w:val="none" w:color="000000" w:sz="4"/>
              <w:bottom w:val="single" w:color="000000" w:sz="4"/>
              <w:right w:val="single" w:color="000000" w:sz="4"/>
            </w:tcBorders>
          </w:tcPr>
          <w:p/>
        </w:tc>
        <w:tc>
          <w:tcPr>
            <w:tcW w:type="dxa" w:w="1634"/>
            <w:vMerge w:val="restart"/>
            <w:tcBorders>
              <w:top w:val="none" w:color="000000" w:sz="4"/>
              <w:left w:val="none" w:color="000000" w:sz="4"/>
              <w:bottom w:val="single" w:color="000000" w:sz="4"/>
              <w:right w:val="single" w:color="000000" w:sz="4"/>
            </w:tcBorders>
            <w:vAlign w:val="top"/>
          </w:tcPr>
          <w:p>
            <w:pPr>
              <w:jc w:val="both"/>
            </w:pPr>
            <w:r>
              <w:rPr>
                <w:sz w:val="24"/>
              </w:rPr>
              <w:t>拉伸强度</w:t>
            </w:r>
            <w:r>
              <w:rPr>
                <w:sz w:val="24"/>
              </w:rPr>
              <w:t>/（MPa）</w:t>
            </w:r>
          </w:p>
        </w:tc>
        <w:tc>
          <w:tcPr>
            <w:tcW w:type="dxa" w:w="2656"/>
            <w:tcBorders>
              <w:top w:val="none" w:color="000000" w:sz="4"/>
              <w:left w:val="none" w:color="000000" w:sz="4"/>
              <w:bottom w:val="single" w:color="000000" w:sz="4"/>
              <w:right w:val="single" w:color="000000" w:sz="4"/>
            </w:tcBorders>
            <w:vAlign w:val="top"/>
          </w:tcPr>
          <w:p>
            <w:pPr>
              <w:jc w:val="both"/>
            </w:pPr>
            <w:r>
              <w:rPr>
                <w:sz w:val="24"/>
              </w:rPr>
              <w:t>渗水型面层</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≥0.4</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5</w:t>
            </w:r>
          </w:p>
        </w:tc>
        <w:tc>
          <w:tcPr>
            <w:tcW w:type="dxa" w:w="1051"/>
            <w:vMerge/>
            <w:tcBorders>
              <w:top w:val="none" w:color="000000" w:sz="4"/>
              <w:left w:val="none" w:color="000000" w:sz="4"/>
              <w:bottom w:val="single" w:color="000000" w:sz="4"/>
              <w:right w:val="single" w:color="000000" w:sz="4"/>
            </w:tcBorders>
          </w:tcPr>
          <w:p/>
        </w:tc>
        <w:tc>
          <w:tcPr>
            <w:tcW w:type="dxa" w:w="1634"/>
            <w:vMerge/>
            <w:tcBorders>
              <w:top w:val="none" w:color="000000" w:sz="4"/>
              <w:left w:val="none" w:color="000000" w:sz="4"/>
              <w:bottom w:val="single" w:color="000000" w:sz="4"/>
              <w:right w:val="single" w:color="000000" w:sz="4"/>
            </w:tcBorders>
          </w:tcPr>
          <w:p/>
        </w:tc>
        <w:tc>
          <w:tcPr>
            <w:tcW w:type="dxa" w:w="2656"/>
            <w:tcBorders>
              <w:top w:val="none" w:color="000000" w:sz="4"/>
              <w:left w:val="none" w:color="000000" w:sz="4"/>
              <w:bottom w:val="single" w:color="000000" w:sz="4"/>
              <w:right w:val="single" w:color="000000" w:sz="4"/>
            </w:tcBorders>
            <w:vAlign w:val="top"/>
          </w:tcPr>
          <w:p>
            <w:pPr>
              <w:jc w:val="both"/>
            </w:pPr>
            <w:r>
              <w:rPr>
                <w:sz w:val="24"/>
              </w:rPr>
              <w:t>非渗水型面层</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≥0.5</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6</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拉断伸长率</w:t>
            </w:r>
            <w:r>
              <w:rPr>
                <w:sz w:val="24"/>
              </w:rPr>
              <w:t>/（%）</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7</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阻燃性能</w:t>
            </w:r>
            <w:r>
              <w:rPr>
                <w:sz w:val="24"/>
              </w:rPr>
              <w:t>/（级）</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Ⅰ</w:t>
            </w:r>
          </w:p>
        </w:tc>
      </w:tr>
      <w:tr>
        <w:tc>
          <w:tcPr>
            <w:tcW w:type="dxa" w:w="437"/>
            <w:vMerge w:val="restart"/>
            <w:tcBorders>
              <w:top w:val="none" w:color="000000" w:sz="4"/>
              <w:left w:val="single" w:color="000000" w:sz="4"/>
              <w:bottom w:val="none" w:color="000000" w:sz="4"/>
              <w:right w:val="single" w:color="000000" w:sz="4"/>
            </w:tcBorders>
            <w:vAlign w:val="top"/>
          </w:tcPr>
          <w:p>
            <w:pPr>
              <w:jc w:val="center"/>
            </w:pPr>
            <w:r>
              <w:rPr>
                <w:sz w:val="24"/>
              </w:rPr>
              <w:t>8</w:t>
            </w:r>
          </w:p>
        </w:tc>
        <w:tc>
          <w:tcPr>
            <w:tcW w:type="dxa" w:w="1051"/>
            <w:vMerge w:val="restart"/>
            <w:tcBorders>
              <w:top w:val="none" w:color="000000" w:sz="4"/>
              <w:left w:val="none" w:color="000000" w:sz="4"/>
              <w:bottom w:val="single" w:color="000000" w:sz="4"/>
              <w:right w:val="single" w:color="000000" w:sz="4"/>
            </w:tcBorders>
            <w:vAlign w:val="top"/>
          </w:tcPr>
          <w:p>
            <w:pPr>
              <w:jc w:val="center"/>
            </w:pPr>
            <w:r>
              <w:rPr>
                <w:sz w:val="24"/>
              </w:rPr>
              <w:t>耐人工气候老化（</w:t>
            </w:r>
            <w:r>
              <w:rPr>
                <w:sz w:val="24"/>
              </w:rPr>
              <w:t>500h后）</w:t>
            </w:r>
          </w:p>
        </w:tc>
        <w:tc>
          <w:tcPr>
            <w:tcW w:type="dxa" w:w="1634"/>
            <w:vMerge w:val="restart"/>
            <w:tcBorders>
              <w:top w:val="none" w:color="000000" w:sz="4"/>
              <w:left w:val="none" w:color="000000" w:sz="4"/>
              <w:bottom w:val="single" w:color="000000" w:sz="4"/>
              <w:right w:val="single" w:color="000000" w:sz="4"/>
            </w:tcBorders>
            <w:vAlign w:val="top"/>
          </w:tcPr>
          <w:p>
            <w:pPr>
              <w:jc w:val="both"/>
            </w:pPr>
            <w:r>
              <w:rPr>
                <w:sz w:val="24"/>
              </w:rPr>
              <w:t>拉伸强度</w:t>
            </w:r>
            <w:r>
              <w:rPr>
                <w:sz w:val="24"/>
              </w:rPr>
              <w:t>/（MPa）</w:t>
            </w:r>
          </w:p>
        </w:tc>
        <w:tc>
          <w:tcPr>
            <w:tcW w:type="dxa" w:w="2656"/>
            <w:tcBorders>
              <w:top w:val="none" w:color="000000" w:sz="4"/>
              <w:left w:val="none" w:color="000000" w:sz="4"/>
              <w:bottom w:val="single" w:color="000000" w:sz="4"/>
              <w:right w:val="single" w:color="000000" w:sz="4"/>
            </w:tcBorders>
            <w:vAlign w:val="top"/>
          </w:tcPr>
          <w:p>
            <w:pPr>
              <w:jc w:val="both"/>
            </w:pPr>
            <w:r>
              <w:rPr>
                <w:sz w:val="24"/>
              </w:rPr>
              <w:t>渗水型面层</w:t>
            </w:r>
          </w:p>
        </w:tc>
        <w:tc>
          <w:tcPr>
            <w:tcW w:type="dxa" w:w="2496"/>
            <w:tcBorders>
              <w:top w:val="single" w:color="000000" w:sz="4"/>
              <w:left w:val="none" w:color="000000" w:sz="4"/>
              <w:bottom w:val="single" w:color="000000" w:sz="4"/>
              <w:right w:val="single" w:color="000000" w:sz="4"/>
            </w:tcBorders>
            <w:vAlign w:val="top"/>
          </w:tcPr>
          <w:p>
            <w:pPr>
              <w:jc w:val="center"/>
            </w:pPr>
            <w:r>
              <w:rPr>
                <w:sz w:val="24"/>
              </w:rPr>
              <w:t>≥0.4</w:t>
            </w:r>
          </w:p>
        </w:tc>
      </w:tr>
      <w:tr>
        <w:tc>
          <w:tcPr>
            <w:tcW w:type="dxa" w:w="437"/>
            <w:vMerge/>
            <w:tcBorders>
              <w:top w:val="none" w:color="000000" w:sz="4"/>
              <w:left w:val="single" w:color="000000" w:sz="4"/>
              <w:bottom w:val="none" w:color="000000" w:sz="4"/>
              <w:right w:val="single" w:color="000000" w:sz="4"/>
            </w:tcBorders>
          </w:tcPr>
          <w:p/>
        </w:tc>
        <w:tc>
          <w:tcPr>
            <w:tcW w:type="dxa" w:w="1051"/>
            <w:vMerge/>
            <w:tcBorders>
              <w:top w:val="none" w:color="000000" w:sz="4"/>
              <w:left w:val="none" w:color="000000" w:sz="4"/>
              <w:bottom w:val="single" w:color="000000" w:sz="4"/>
              <w:right w:val="single" w:color="000000" w:sz="4"/>
            </w:tcBorders>
          </w:tcPr>
          <w:p/>
        </w:tc>
        <w:tc>
          <w:tcPr>
            <w:tcW w:type="dxa" w:w="1634"/>
            <w:vMerge/>
            <w:tcBorders>
              <w:top w:val="none" w:color="000000" w:sz="4"/>
              <w:left w:val="none" w:color="000000" w:sz="4"/>
              <w:bottom w:val="single" w:color="000000" w:sz="4"/>
              <w:right w:val="single" w:color="000000" w:sz="4"/>
            </w:tcBorders>
          </w:tcPr>
          <w:p/>
        </w:tc>
        <w:tc>
          <w:tcPr>
            <w:tcW w:type="dxa" w:w="2656"/>
            <w:tcBorders>
              <w:top w:val="none" w:color="000000" w:sz="4"/>
              <w:left w:val="none" w:color="000000" w:sz="4"/>
              <w:bottom w:val="single" w:color="000000" w:sz="4"/>
              <w:right w:val="single" w:color="000000" w:sz="4"/>
            </w:tcBorders>
            <w:vAlign w:val="top"/>
          </w:tcPr>
          <w:p>
            <w:pPr>
              <w:jc w:val="both"/>
            </w:pPr>
            <w:r>
              <w:rPr>
                <w:sz w:val="24"/>
              </w:rPr>
              <w:t>非渗水型面层</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≥0.5</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9</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拉断伸长率</w:t>
            </w:r>
            <w:r>
              <w:rPr>
                <w:sz w:val="24"/>
              </w:rPr>
              <w:t>/（%）</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5341"/>
            <w:gridSpan w:val="3"/>
            <w:tcBorders>
              <w:top w:val="none" w:color="000000" w:sz="4"/>
              <w:left w:val="none" w:color="000000" w:sz="4"/>
              <w:bottom w:val="single" w:color="000000" w:sz="4"/>
              <w:right w:val="single" w:color="000000" w:sz="4"/>
            </w:tcBorders>
            <w:vAlign w:val="top"/>
          </w:tcPr>
          <w:p>
            <w:pPr>
              <w:jc w:val="both"/>
            </w:pPr>
            <w:r>
              <w:rPr>
                <w:sz w:val="24"/>
              </w:rPr>
              <w:t>无机填料含量</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≤65%</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1051"/>
            <w:vMerge w:val="restart"/>
            <w:tcBorders>
              <w:top w:val="none" w:color="000000" w:sz="4"/>
              <w:left w:val="none" w:color="000000" w:sz="4"/>
              <w:bottom w:val="single" w:color="000000" w:sz="4"/>
              <w:right w:val="single" w:color="000000" w:sz="4"/>
            </w:tcBorders>
            <w:vAlign w:val="top"/>
          </w:tcPr>
          <w:p>
            <w:pPr>
              <w:jc w:val="center"/>
            </w:pPr>
            <w:r>
              <w:rPr>
                <w:sz w:val="24"/>
              </w:rPr>
              <w:t>有害物质含量</w:t>
            </w: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3 种邻苯二甲酸酯类化合物（DBP、BBP、DEHP）总和</w:t>
            </w:r>
            <w:r>
              <w:rPr>
                <w:sz w:val="24"/>
                <w:vertAlign w:val="superscript"/>
              </w:rPr>
              <w:t>a</w:t>
            </w:r>
            <w:r>
              <w:rPr>
                <w:sz w:val="24"/>
              </w:rPr>
              <w:t>/（g/kg）</w:t>
            </w:r>
          </w:p>
        </w:tc>
        <w:tc>
          <w:tcPr>
            <w:tcW w:type="dxa" w:w="2496"/>
            <w:tcBorders>
              <w:top w:val="single" w:color="000000" w:sz="4"/>
              <w:left w:val="none" w:color="000000" w:sz="4"/>
              <w:bottom w:val="single" w:color="000000" w:sz="4"/>
              <w:right w:val="single" w:color="000000" w:sz="4"/>
            </w:tcBorders>
            <w:vAlign w:val="top"/>
          </w:tcPr>
          <w:p>
            <w:pPr>
              <w:jc w:val="center"/>
            </w:pPr>
            <w:r>
              <w:rPr>
                <w:sz w:val="24"/>
              </w:rPr>
              <w:t>≤1.0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3 种邻苯二甲酸酯类化合物（DNOP、DINP、DIDP）总和</w:t>
            </w:r>
            <w:r>
              <w:rPr>
                <w:sz w:val="24"/>
                <w:vertAlign w:val="superscript"/>
              </w:rPr>
              <w:t>a</w:t>
            </w:r>
            <w:r>
              <w:rPr>
                <w:sz w:val="24"/>
              </w:rPr>
              <w:t>/（g/kg）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13</w:t>
            </w:r>
          </w:p>
        </w:tc>
        <w:tc>
          <w:tcPr>
            <w:tcW w:type="dxa" w:w="1051"/>
            <w:vMerge/>
            <w:tcBorders>
              <w:top w:val="none" w:color="000000" w:sz="4"/>
              <w:left w:val="none" w:color="000000" w:sz="4"/>
              <w:bottom w:val="single" w:color="000000" w:sz="4"/>
              <w:right w:val="single" w:color="000000" w:sz="4"/>
            </w:tcBorders>
          </w:tcPr>
          <w:p/>
        </w:tc>
        <w:tc>
          <w:tcPr>
            <w:tcW w:type="dxa" w:w="4290"/>
            <w:gridSpan w:val="2"/>
            <w:vMerge w:val="restart"/>
            <w:tcBorders>
              <w:top w:val="none" w:color="000000" w:sz="4"/>
              <w:left w:val="none" w:color="000000" w:sz="4"/>
              <w:bottom w:val="single" w:color="000000" w:sz="4"/>
              <w:right w:val="single" w:color="000000" w:sz="4"/>
            </w:tcBorders>
            <w:vAlign w:val="top"/>
          </w:tcPr>
          <w:p>
            <w:pPr>
              <w:jc w:val="both"/>
            </w:pPr>
            <w:r>
              <w:rPr>
                <w:sz w:val="24"/>
              </w:rPr>
              <w:t>18 种多环芳烃总和</w:t>
            </w:r>
            <w:r>
              <w:rPr>
                <w:sz w:val="24"/>
                <w:vertAlign w:val="superscript"/>
              </w:rPr>
              <w:t>b</w:t>
            </w:r>
            <w:r>
              <w:rPr>
                <w:sz w:val="24"/>
              </w:rPr>
              <w:t>/（mg/kg）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14</w:t>
            </w:r>
          </w:p>
        </w:tc>
        <w:tc>
          <w:tcPr>
            <w:tcW w:type="dxa" w:w="1051"/>
            <w:vMerge/>
            <w:tcBorders>
              <w:top w:val="none" w:color="000000" w:sz="4"/>
              <w:left w:val="none" w:color="000000" w:sz="4"/>
              <w:bottom w:val="single" w:color="000000" w:sz="4"/>
              <w:right w:val="single" w:color="000000" w:sz="4"/>
            </w:tcBorders>
          </w:tcPr>
          <w:p/>
        </w:tc>
        <w:tc>
          <w:tcPr>
            <w:tcW w:type="dxa" w:w="4290"/>
            <w:gridSpan w:val="2"/>
            <w:vMerge/>
            <w:tcBorders>
              <w:top w:val="none" w:color="000000" w:sz="4"/>
              <w:left w:val="none" w:color="000000" w:sz="4"/>
              <w:bottom w:val="single" w:color="000000" w:sz="4"/>
              <w:right w:val="single" w:color="000000" w:sz="4"/>
            </w:tcBorders>
          </w:tcPr>
          <w:p/>
        </w:tc>
        <w:tc>
          <w:tcPr>
            <w:tcW w:type="dxa" w:w="2496"/>
            <w:tcBorders>
              <w:top w:val="none" w:color="000000" w:sz="4"/>
              <w:left w:val="none" w:color="000000" w:sz="4"/>
              <w:bottom w:val="single" w:color="000000" w:sz="4"/>
              <w:right w:val="single" w:color="000000" w:sz="4"/>
            </w:tcBorders>
            <w:vAlign w:val="top"/>
          </w:tcPr>
          <w:p>
            <w:pPr>
              <w:jc w:val="center"/>
            </w:pPr>
            <w:r>
              <w:rPr>
                <w:sz w:val="24"/>
              </w:rPr>
              <w:t>≤20</w:t>
            </w:r>
            <w:r>
              <w:rPr>
                <w:sz w:val="24"/>
                <w:vertAlign w:val="superscript"/>
              </w:rPr>
              <w:t>C</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15</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苯并</w:t>
            </w:r>
            <w:r>
              <w:rPr>
                <w:sz w:val="24"/>
              </w:rPr>
              <w:t>[a]芘/（mg/kg）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16</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短链氯化石蜡（</w:t>
            </w:r>
            <w:r>
              <w:rPr>
                <w:sz w:val="24"/>
              </w:rPr>
              <w:t>C</w:t>
            </w:r>
            <w:r>
              <w:rPr>
                <w:sz w:val="24"/>
                <w:vertAlign w:val="subscript"/>
              </w:rPr>
              <w:t>10</w:t>
            </w:r>
            <w:r>
              <w:rPr>
                <w:sz w:val="24"/>
              </w:rPr>
              <w:t>-C</w:t>
            </w:r>
            <w:r>
              <w:rPr>
                <w:sz w:val="24"/>
                <w:vertAlign w:val="subscript"/>
              </w:rPr>
              <w:t>13</w:t>
            </w:r>
            <w:r>
              <w:rPr>
                <w:sz w:val="24"/>
              </w:rPr>
              <w:t>）</w:t>
            </w:r>
            <w:r>
              <w:rPr>
                <w:sz w:val="24"/>
              </w:rPr>
              <w:t>/（g/kg）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≤1.5</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17</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4,4'-二氨基-3,3'-二氯二苯甲烷（MOCA）/（g/kg）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18</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游离甲苯二异氰酸酯（</w:t>
            </w:r>
            <w:r>
              <w:rPr>
                <w:sz w:val="24"/>
              </w:rPr>
              <w:t>TDI）和游离六亚甲基二异氰酸酯（HDI）总和/（g/kg）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≤0.2</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19</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游离二苯基甲烷二异氰酸酯（</w:t>
            </w:r>
            <w:r>
              <w:rPr>
                <w:sz w:val="24"/>
              </w:rPr>
              <w:t>MDI）/（g/kg）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20</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可溶性铅</w:t>
            </w:r>
            <w:r>
              <w:rPr>
                <w:sz w:val="24"/>
              </w:rPr>
              <w:t>/（mg/kg）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21</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可溶性镉</w:t>
            </w:r>
            <w:r>
              <w:rPr>
                <w:sz w:val="24"/>
              </w:rPr>
              <w:t>/（mg/kg）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22</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可溶性铬</w:t>
            </w:r>
            <w:r>
              <w:rPr>
                <w:sz w:val="24"/>
              </w:rPr>
              <w:t>/（mg/kg）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23</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可溶性汞</w:t>
            </w:r>
            <w:r>
              <w:rPr>
                <w:sz w:val="24"/>
              </w:rPr>
              <w:t>/（mg/kg）</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≤2</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24</w:t>
            </w:r>
          </w:p>
        </w:tc>
        <w:tc>
          <w:tcPr>
            <w:tcW w:type="dxa" w:w="1051"/>
            <w:vMerge w:val="restart"/>
            <w:tcBorders>
              <w:top w:val="none" w:color="000000" w:sz="4"/>
              <w:left w:val="none" w:color="000000" w:sz="4"/>
              <w:bottom w:val="single" w:color="000000" w:sz="4"/>
              <w:right w:val="single" w:color="000000" w:sz="4"/>
            </w:tcBorders>
            <w:vAlign w:val="top"/>
          </w:tcPr>
          <w:p>
            <w:pPr>
              <w:jc w:val="center"/>
            </w:pPr>
            <w:r>
              <w:rPr>
                <w:sz w:val="24"/>
              </w:rPr>
              <w:t>有害物质释放量</w:t>
            </w: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总挥发性有机化合物（</w:t>
            </w:r>
            <w:r>
              <w:rPr>
                <w:sz w:val="24"/>
              </w:rPr>
              <w:t>TVOC）/（mg/（㎡•h））</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25</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甲醛</w:t>
            </w:r>
            <w:r>
              <w:rPr>
                <w:sz w:val="24"/>
              </w:rPr>
              <w:t>/（mg/（㎡•h））</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≤0.4</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26</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苯</w:t>
            </w:r>
            <w:r>
              <w:rPr>
                <w:sz w:val="24"/>
              </w:rPr>
              <w:t>/（mg/（㎡•h））</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≤0.1</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27</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甲苯、二甲苯和乙苯总和</w:t>
            </w:r>
            <w:r>
              <w:rPr>
                <w:sz w:val="24"/>
              </w:rPr>
              <w:t>/（mg/（㎡•h））</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28</w:t>
            </w:r>
          </w:p>
        </w:tc>
        <w:tc>
          <w:tcPr>
            <w:tcW w:type="dxa" w:w="1051"/>
            <w:vMerge/>
            <w:tcBorders>
              <w:top w:val="none" w:color="000000" w:sz="4"/>
              <w:left w:val="none" w:color="000000" w:sz="4"/>
              <w:bottom w:val="single" w:color="000000" w:sz="4"/>
              <w:right w:val="single" w:color="000000" w:sz="4"/>
            </w:tcBorders>
          </w:tcP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二硫化碳</w:t>
            </w:r>
            <w:r>
              <w:rPr>
                <w:sz w:val="24"/>
              </w:rPr>
              <w:t>/（mg/（㎡•h））</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437"/>
            <w:tcBorders>
              <w:top w:val="none" w:color="000000" w:sz="4"/>
              <w:left w:val="single" w:color="000000" w:sz="4"/>
              <w:bottom w:val="single" w:color="000000" w:sz="4"/>
              <w:right w:val="single" w:color="000000" w:sz="4"/>
            </w:tcBorders>
            <w:vAlign w:val="top"/>
          </w:tcPr>
          <w:p>
            <w:pPr>
              <w:jc w:val="center"/>
            </w:pPr>
            <w:r>
              <w:rPr>
                <w:sz w:val="24"/>
              </w:rPr>
              <w:t>29</w:t>
            </w:r>
          </w:p>
        </w:tc>
        <w:tc>
          <w:tcPr>
            <w:tcW w:type="dxa" w:w="1051"/>
            <w:tcBorders>
              <w:top w:val="none" w:color="000000" w:sz="4"/>
              <w:left w:val="none" w:color="000000" w:sz="4"/>
              <w:bottom w:val="single" w:color="000000" w:sz="4"/>
              <w:right w:val="single" w:color="000000" w:sz="4"/>
            </w:tcBorders>
            <w:vAlign w:val="top"/>
          </w:tcPr>
          <w:p>
            <w:pPr>
              <w:jc w:val="center"/>
            </w:pPr>
            <w:r>
              <w:rPr>
                <w:sz w:val="24"/>
              </w:rPr>
              <w:t>气味</w:t>
            </w:r>
          </w:p>
        </w:tc>
        <w:tc>
          <w:tcPr>
            <w:tcW w:type="dxa" w:w="4290"/>
            <w:gridSpan w:val="2"/>
            <w:tcBorders>
              <w:top w:val="none" w:color="000000" w:sz="4"/>
              <w:left w:val="none" w:color="000000" w:sz="4"/>
              <w:bottom w:val="single" w:color="000000" w:sz="4"/>
              <w:right w:val="single" w:color="000000" w:sz="4"/>
            </w:tcBorders>
            <w:vAlign w:val="top"/>
          </w:tcPr>
          <w:p>
            <w:pPr>
              <w:jc w:val="both"/>
            </w:pPr>
            <w:r>
              <w:rPr>
                <w:sz w:val="24"/>
              </w:rPr>
              <w:t>气味等级</w:t>
            </w:r>
            <w:r>
              <w:rPr>
                <w:sz w:val="24"/>
              </w:rPr>
              <w:t>/级</w:t>
            </w:r>
          </w:p>
        </w:tc>
        <w:tc>
          <w:tcPr>
            <w:tcW w:type="dxa" w:w="2496"/>
            <w:tcBorders>
              <w:top w:val="none" w:color="000000" w:sz="4"/>
              <w:left w:val="none" w:color="000000" w:sz="4"/>
              <w:bottom w:val="single" w:color="000000" w:sz="4"/>
              <w:right w:val="single" w:color="000000" w:sz="4"/>
            </w:tcBorders>
            <w:vAlign w:val="top"/>
          </w:tcPr>
          <w:p>
            <w:pPr>
              <w:jc w:val="center"/>
            </w:pPr>
            <w:r>
              <w:rPr>
                <w:sz w:val="24"/>
              </w:rPr>
              <w:t>≤3</w:t>
            </w:r>
          </w:p>
        </w:tc>
      </w:tr>
    </w:tbl>
    <w:p>
      <w:pPr>
        <w:jc w:val="both"/>
      </w:pPr>
      <w:r>
        <w:rPr>
          <w:b/>
          <w:sz w:val="24"/>
        </w:rPr>
        <w:t>七、质量要求</w:t>
      </w:r>
    </w:p>
    <w:p>
      <w:pPr>
        <w:jc w:val="both"/>
      </w:pPr>
      <w:r>
        <w:rPr>
          <w:sz w:val="21"/>
        </w:rPr>
        <w:t xml:space="preserve"> </w:t>
      </w:r>
      <w:r>
        <w:rPr>
          <w:sz w:val="24"/>
        </w:rPr>
        <w:t>1、</w:t>
      </w:r>
      <w:r>
        <w:rPr>
          <w:sz w:val="24"/>
        </w:rPr>
        <w:t>供应商所提供的材料，须注明品牌、产地、品名、规格、性能参数、技术指标，进口产品或设备需提供相应的报关单，手续、证件要齐全。</w:t>
      </w:r>
    </w:p>
    <w:p>
      <w:pPr>
        <w:jc w:val="both"/>
      </w:pPr>
      <w:r>
        <w:rPr>
          <w:sz w:val="24"/>
        </w:rPr>
        <w:t>2、</w:t>
      </w:r>
      <w:r>
        <w:rPr>
          <w:sz w:val="24"/>
        </w:rPr>
        <w:t>塑胶跑道必须按照</w:t>
      </w:r>
      <w:r>
        <w:rPr>
          <w:sz w:val="24"/>
        </w:rPr>
        <w:t>GB36246-2018《中小学合成材料面层运动场地》标准进行施工，其他部分按照国家相关标准进行。成交供应商如果提供的材料及实施，不符合磋商文件要求或国家有关标准，采购人有权要求停工和返工，成交供应商必须执行，并承担由此而造成的损失。否则，采购人有权终止合同。</w:t>
      </w:r>
    </w:p>
    <w:p>
      <w:pPr>
        <w:jc w:val="both"/>
      </w:pPr>
      <w:r>
        <w:rPr>
          <w:sz w:val="24"/>
        </w:rPr>
        <w:t>3、该项目须通过采购人验收，如不合格，成交供应商须对项目进行返工，直至合格。</w:t>
      </w:r>
    </w:p>
    <w:p>
      <w:pPr>
        <w:jc w:val="both"/>
      </w:pPr>
      <w:r>
        <w:rPr>
          <w:b/>
          <w:sz w:val="24"/>
        </w:rPr>
        <w:t>八、</w:t>
      </w:r>
      <w:r>
        <w:rPr>
          <w:b/>
          <w:sz w:val="24"/>
        </w:rPr>
        <w:t>其他要求</w:t>
      </w:r>
    </w:p>
    <w:p>
      <w:pPr>
        <w:jc w:val="both"/>
      </w:pPr>
      <w:r>
        <w:rPr>
          <w:sz w:val="24"/>
        </w:rPr>
        <w:t>1、</w:t>
      </w:r>
      <w:r>
        <w:rPr>
          <w:sz w:val="24"/>
        </w:rPr>
        <w:t>主材实际采购时其技术参数、质量必须符合磋商文件、国家及省市有关验收规范的要求，且厂家、品牌、规格、型号、颜色应经采购人及有关部门检查合格备案方可使用。如成交供应商在选择的主材和设备的技术参数和质量达不到磋商文件、工程量清单国家及省市有关规范要求时，将取消其成交资格。</w:t>
      </w:r>
    </w:p>
    <w:p>
      <w:pPr>
        <w:jc w:val="both"/>
      </w:pPr>
      <w:r>
        <w:rPr>
          <w:sz w:val="24"/>
        </w:rPr>
        <w:t>2、变更、修改设计的工程内容成交供应商不得拒绝承担，工期不予调整。如施工过程中出现由采购人提出变更所增减的工程，结算时按以下方式进行调整： 1)合同中已有使用于变更工程的单价，按合同已有的单价变更合同价款。 2)合同中已有类似于变更工程的单价，可参照类似单价变更合同价款。 3)合同中没有使用或类似变更工程的单价，按照广东省建设工程计价依据、工程所在地造价管理机构有关规定和发布的价格信息，依据工程变更签证，由成交供应商提出适当的变更价格，按本采购说明的规定作出预算经相关部门审核后结算；结算单价按成交价与中介预算价的相应比例折算执行。变更、修改设计的工程内容成交供应商不得拒绝承担，所增减工程的工程量不超过成交工程量的10%，工期不作调整。如因设计、规划调整变更等原因，采购人有权调整采购范围和内容。</w:t>
      </w:r>
    </w:p>
    <w:p>
      <w:pPr>
        <w:jc w:val="both"/>
      </w:pPr>
      <w:r>
        <w:rPr>
          <w:b/>
          <w:sz w:val="24"/>
        </w:rPr>
        <w:t>九、验收</w:t>
      </w:r>
    </w:p>
    <w:p>
      <w:pPr>
        <w:ind w:firstLine="432"/>
        <w:jc w:val="both"/>
      </w:pPr>
      <w:r>
        <w:rPr>
          <w:sz w:val="24"/>
        </w:rPr>
        <w:t>验收标准：塑胶跑道及篮球场硅</w:t>
      </w:r>
      <w:r>
        <w:rPr>
          <w:sz w:val="24"/>
        </w:rPr>
        <w:t>PU</w:t>
      </w:r>
      <w:r>
        <w:rPr>
          <w:sz w:val="24"/>
        </w:rPr>
        <w:t>面层必须按照</w:t>
      </w:r>
      <w:r>
        <w:rPr>
          <w:sz w:val="24"/>
        </w:rPr>
        <w:t>GB36246-2018</w:t>
      </w:r>
      <w:r>
        <w:rPr>
          <w:sz w:val="24"/>
        </w:rPr>
        <w:t>《中小学合成材料面层运动场地》标准执行工。乙方提供材料合格的检测报告，如果过程中提供的材料及施工不符合采购文件要求或国家有关标准，甲方有权要求停工和返工，乙方必须执行，并承担由此而造成的损失。否则，甲方有权终止合同。</w:t>
      </w:r>
    </w:p>
    <w:p>
      <w:pPr>
        <w:jc w:val="both"/>
      </w:pPr>
      <w:r>
        <w:rPr>
          <w:b/>
          <w:sz w:val="24"/>
        </w:rPr>
        <w:t>十、质量保证期</w:t>
      </w:r>
    </w:p>
    <w:p>
      <w:pPr>
        <w:jc w:val="both"/>
      </w:pPr>
      <w:r>
        <w:rPr>
          <w:sz w:val="24"/>
        </w:rPr>
        <w:t>1、本项目的质保期不少于</w:t>
      </w:r>
      <w:r>
        <w:rPr>
          <w:sz w:val="21"/>
          <w:u w:val="single"/>
        </w:rPr>
        <w:t xml:space="preserve">  </w:t>
      </w:r>
      <w:r>
        <w:rPr>
          <w:sz w:val="24"/>
        </w:rPr>
        <w:t>年。质保期自竣工验收合格之日起计算。在质保期内因施工和材料、设备而造成的返修和维修的，所有费用由成交供应商负责。</w:t>
      </w:r>
    </w:p>
    <w:p>
      <w:pPr>
        <w:jc w:val="both"/>
      </w:pPr>
      <w:r>
        <w:rPr>
          <w:b/>
          <w:sz w:val="24"/>
        </w:rPr>
        <w:t>十一、售后服务内容</w:t>
      </w:r>
    </w:p>
    <w:p>
      <w:pPr>
        <w:jc w:val="left"/>
      </w:pPr>
      <w:r>
        <w:rPr>
          <w:sz w:val="24"/>
        </w:rPr>
        <w:t>1</w:t>
      </w:r>
      <w:r>
        <w:rPr>
          <w:sz w:val="24"/>
        </w:rPr>
        <w:t>、在质保期内成交供应商接到采购人产品出现问题的通知后，</w:t>
      </w:r>
      <w:r>
        <w:rPr>
          <w:sz w:val="21"/>
          <w:u w:val="single"/>
        </w:rPr>
        <w:t xml:space="preserve">  </w:t>
      </w:r>
      <w:r>
        <w:rPr>
          <w:sz w:val="24"/>
        </w:rPr>
        <w:t>小时内作出响应，</w:t>
      </w:r>
      <w:r>
        <w:rPr>
          <w:sz w:val="21"/>
          <w:u w:val="single"/>
        </w:rPr>
        <w:t xml:space="preserve">  </w:t>
      </w:r>
      <w:r>
        <w:rPr>
          <w:sz w:val="24"/>
        </w:rPr>
        <w:t>小时内到现场解决出现的质量或者技术问题；发生须紧急抢修事故的</w:t>
      </w:r>
      <w:r>
        <w:rPr>
          <w:sz w:val="24"/>
        </w:rPr>
        <w:t>,成交供应商在接到事故通知后,应当立即到达事故现场抢修。</w:t>
      </w:r>
    </w:p>
    <w:p>
      <w:pPr>
        <w:jc w:val="both"/>
      </w:pPr>
      <w:r>
        <w:rPr>
          <w:sz w:val="24"/>
        </w:rPr>
        <w:t>3、</w:t>
      </w:r>
      <w:r>
        <w:rPr>
          <w:sz w:val="24"/>
        </w:rPr>
        <w:t>采购人如遇重大活动，其活动前后成交供应商应帮助采购人对设施进行维修维护，除不可抗力和采购人责任外，费用全部由成交供应商承担。质保期内产品质量经权威机构鉴定不符合质量要求的，按合同约定承担违约责任。</w:t>
      </w:r>
    </w:p>
    <w:p>
      <w:pPr>
        <w:jc w:val="both"/>
      </w:pPr>
      <w:r>
        <w:rPr>
          <w:b/>
          <w:sz w:val="24"/>
        </w:rPr>
        <w:t>十二、</w:t>
      </w:r>
      <w:r>
        <w:rPr>
          <w:b/>
          <w:sz w:val="24"/>
        </w:rPr>
        <w:t>工程竣工资料要求</w:t>
      </w:r>
    </w:p>
    <w:p>
      <w:pPr>
        <w:jc w:val="both"/>
      </w:pPr>
      <w:r>
        <w:rPr>
          <w:sz w:val="24"/>
        </w:rPr>
        <w:t>1、成交供应商应按照城市建设档案管理的有关规定，在工程施工过程中及时做好工程档案的收集、汇总、整理工作。</w:t>
      </w:r>
    </w:p>
    <w:p>
      <w:pPr>
        <w:jc w:val="both"/>
      </w:pPr>
      <w:r>
        <w:rPr>
          <w:sz w:val="24"/>
        </w:rPr>
        <w:t>2、成交供应商在工程竣工验收后</w:t>
      </w:r>
      <w:r>
        <w:rPr>
          <w:sz w:val="24"/>
        </w:rPr>
        <w:t>30</w:t>
      </w:r>
      <w:r>
        <w:rPr>
          <w:sz w:val="24"/>
        </w:rPr>
        <w:t>日历天内，应向采购人提供符合</w:t>
      </w:r>
      <w:r>
        <w:rPr>
          <w:sz w:val="24"/>
        </w:rPr>
        <w:t>中山市</w:t>
      </w:r>
      <w:r>
        <w:rPr>
          <w:sz w:val="24"/>
        </w:rPr>
        <w:t>档案部门要求，按规格编制成册的完整的工程竣工图及有关的工程技术档案资料一式五份（其中原件一份、复印件四份）提交采购人归档，并同时提交有关归档的证明文件。</w:t>
      </w:r>
    </w:p>
    <w:p>
      <w:pPr>
        <w:jc w:val="both"/>
      </w:pPr>
      <w:r>
        <w:rPr>
          <w:b/>
          <w:sz w:val="24"/>
        </w:rPr>
        <w:t>十三、付款结算</w:t>
      </w:r>
    </w:p>
    <w:p>
      <w:pPr>
        <w:jc w:val="both"/>
      </w:pPr>
      <w:r>
        <w:rPr>
          <w:sz w:val="24"/>
        </w:rPr>
        <w:t>工程竣工验收合格后</w:t>
      </w:r>
      <w:r>
        <w:rPr>
          <w:sz w:val="24"/>
        </w:rPr>
        <w:t>甲方</w:t>
      </w:r>
      <w:r>
        <w:rPr>
          <w:sz w:val="24"/>
        </w:rPr>
        <w:t>支付</w:t>
      </w:r>
      <w:r>
        <w:rPr>
          <w:sz w:val="24"/>
        </w:rPr>
        <w:t>合同</w:t>
      </w:r>
      <w:r>
        <w:rPr>
          <w:sz w:val="24"/>
        </w:rPr>
        <w:t>价的</w:t>
      </w:r>
      <w:r>
        <w:rPr>
          <w:sz w:val="24"/>
        </w:rPr>
        <w:t>97</w:t>
      </w:r>
      <w:r>
        <w:rPr>
          <w:sz w:val="24"/>
        </w:rPr>
        <w:t>%工程款给</w:t>
      </w:r>
      <w:r>
        <w:rPr>
          <w:sz w:val="24"/>
        </w:rPr>
        <w:t>乙方</w:t>
      </w:r>
      <w:r>
        <w:rPr>
          <w:sz w:val="24"/>
        </w:rPr>
        <w:t>。</w:t>
      </w:r>
      <w:r>
        <w:rPr>
          <w:sz w:val="24"/>
        </w:rPr>
        <w:t>剩余</w:t>
      </w:r>
      <w:r>
        <w:rPr>
          <w:sz w:val="24"/>
        </w:rPr>
        <w:t>3%作为</w:t>
      </w:r>
      <w:r>
        <w:rPr>
          <w:sz w:val="24"/>
        </w:rPr>
        <w:t>履约保证金</w:t>
      </w:r>
      <w:r>
        <w:rPr>
          <w:sz w:val="24"/>
        </w:rPr>
        <w:t>，</w:t>
      </w:r>
      <w:r>
        <w:rPr>
          <w:sz w:val="24"/>
        </w:rPr>
        <w:t>待质保期满后无息付清。乙方在每次收取工程款时须向甲方出具增值税发票，并自行完税。</w:t>
      </w:r>
    </w:p>
    <w:p>
      <w:pPr>
        <w:jc w:val="both"/>
      </w:pPr>
      <w:r>
        <w:rPr>
          <w:b/>
          <w:sz w:val="24"/>
        </w:rPr>
        <w:t>十四、知识产权</w:t>
      </w:r>
    </w:p>
    <w:p>
      <w:pPr>
        <w:ind w:firstLine="440"/>
        <w:jc w:val="both"/>
      </w:pPr>
      <w:r>
        <w:rPr>
          <w:sz w:val="24"/>
        </w:rPr>
        <w:t>1</w:t>
      </w:r>
      <w:r>
        <w:rPr>
          <w:sz w:val="24"/>
        </w:rPr>
        <w:t>、乙方应保证，甲方在中华人民共和国使用该货物及服务或货物及服务的任何一部分时，免受第三方提出的任何权利要求（包括但不限于第三方提出的侵犯其专利权、商标权或其他知识产权的起诉）。如发生此类纠纷，由乙方承担一切责任。</w:t>
      </w:r>
    </w:p>
    <w:p>
      <w:pPr>
        <w:ind w:firstLine="440"/>
        <w:jc w:val="both"/>
      </w:pPr>
      <w:r>
        <w:rPr>
          <w:sz w:val="24"/>
        </w:rPr>
        <w:t>2</w:t>
      </w:r>
      <w:r>
        <w:rPr>
          <w:sz w:val="24"/>
        </w:rPr>
        <w:t>、乙方为执行本合同而提供的技术资料的使用权归甲方所有。</w:t>
      </w:r>
    </w:p>
    <w:p>
      <w:pPr>
        <w:jc w:val="both"/>
      </w:pPr>
      <w:r>
        <w:rPr>
          <w:b/>
          <w:sz w:val="24"/>
        </w:rPr>
        <w:t>十五、违约责任</w:t>
      </w:r>
    </w:p>
    <w:p>
      <w:pPr>
        <w:ind w:firstLine="440"/>
        <w:jc w:val="both"/>
      </w:pPr>
      <w:r>
        <w:rPr>
          <w:sz w:val="24"/>
        </w:rPr>
        <w:t>1</w:t>
      </w:r>
      <w:r>
        <w:rPr>
          <w:sz w:val="24"/>
        </w:rPr>
        <w:t>、乙方提供的货物</w:t>
      </w:r>
      <w:r>
        <w:rPr>
          <w:sz w:val="24"/>
        </w:rPr>
        <w:t>/</w:t>
      </w:r>
      <w:r>
        <w:rPr>
          <w:sz w:val="24"/>
        </w:rPr>
        <w:t>服务</w:t>
      </w:r>
      <w:r>
        <w:rPr>
          <w:sz w:val="24"/>
        </w:rPr>
        <w:t>/</w:t>
      </w:r>
      <w:r>
        <w:rPr>
          <w:sz w:val="24"/>
        </w:rPr>
        <w:t>工程不符合磋商文件、响应文件或本合同规定的，乙方须向甲方支付本合同总价</w:t>
      </w:r>
      <w:r>
        <w:rPr>
          <w:sz w:val="21"/>
          <w:u w:val="single"/>
        </w:rPr>
        <w:t xml:space="preserve">  </w:t>
      </w:r>
      <w:r>
        <w:rPr>
          <w:sz w:val="24"/>
        </w:rPr>
        <w:t>%</w:t>
      </w:r>
      <w:r>
        <w:rPr>
          <w:sz w:val="24"/>
        </w:rPr>
        <w:t>的违约金。</w:t>
      </w:r>
    </w:p>
    <w:p>
      <w:pPr>
        <w:ind w:firstLine="440"/>
        <w:jc w:val="both"/>
      </w:pPr>
      <w:r>
        <w:rPr>
          <w:sz w:val="24"/>
        </w:rPr>
        <w:t>2</w:t>
      </w:r>
      <w:r>
        <w:rPr>
          <w:sz w:val="24"/>
        </w:rPr>
        <w:t>、乙方若单方面终止合同，乙方应支付合同总额的</w:t>
      </w:r>
      <w:r>
        <w:rPr>
          <w:sz w:val="24"/>
        </w:rPr>
        <w:t>20%</w:t>
      </w:r>
      <w:r>
        <w:rPr>
          <w:sz w:val="24"/>
        </w:rPr>
        <w:t>作为违约金给甲方，且同时赔偿甲方因此造成的全部损失。</w:t>
      </w:r>
    </w:p>
    <w:p>
      <w:pPr>
        <w:jc w:val="both"/>
      </w:pPr>
      <w:r>
        <w:rPr>
          <w:b/>
          <w:sz w:val="24"/>
        </w:rPr>
        <w:t>十六、争端的解决</w:t>
      </w:r>
    </w:p>
    <w:p>
      <w:pPr>
        <w:ind w:firstLine="400"/>
        <w:jc w:val="both"/>
      </w:pPr>
      <w:r>
        <w:rPr>
          <w:color w:val="222222"/>
          <w:sz w:val="24"/>
        </w:rPr>
        <w:t>合同执行过程中发生的任何争议，如双方不能通过友好协商解决，按相关法律法规处理。</w:t>
      </w:r>
      <w:r>
        <w:rPr>
          <w:color w:val="222222"/>
          <w:sz w:val="24"/>
        </w:rPr>
        <w:t xml:space="preserve">    </w:t>
      </w:r>
    </w:p>
    <w:p>
      <w:pPr>
        <w:jc w:val="both"/>
      </w:pPr>
      <w:r>
        <w:rPr>
          <w:b/>
          <w:sz w:val="24"/>
        </w:rPr>
        <w:t>十七、税和关税</w:t>
      </w:r>
    </w:p>
    <w:p>
      <w:pPr>
        <w:jc w:val="both"/>
      </w:pPr>
      <w:r>
        <w:rPr>
          <w:color w:val="222222"/>
          <w:sz w:val="24"/>
        </w:rPr>
        <w:t>　在中国境内、外发生的与本合同执行有关的一切税费均由乙方负担。</w:t>
      </w:r>
    </w:p>
    <w:p>
      <w:pPr>
        <w:jc w:val="both"/>
      </w:pPr>
      <w:r>
        <w:rPr>
          <w:b/>
          <w:sz w:val="24"/>
        </w:rPr>
        <w:t>十</w:t>
      </w:r>
      <w:r>
        <w:rPr>
          <w:b/>
          <w:sz w:val="24"/>
        </w:rPr>
        <w:t>八</w:t>
      </w:r>
      <w:r>
        <w:rPr>
          <w:b/>
          <w:sz w:val="24"/>
        </w:rPr>
        <w:t>、其他</w:t>
      </w:r>
    </w:p>
    <w:p>
      <w:pPr>
        <w:jc w:val="both"/>
      </w:pPr>
      <w:r>
        <w:rPr>
          <w:color w:val="222222"/>
          <w:sz w:val="24"/>
        </w:rPr>
        <w:t>1.本合同所有附件、招标文件、投标文件、中标通知书均为合同的有效组成部分，与本合同具有同等法律效力。</w:t>
      </w:r>
    </w:p>
    <w:p>
      <w:pPr>
        <w:jc w:val="both"/>
      </w:pPr>
      <w:r>
        <w:rPr>
          <w:color w:val="222222"/>
          <w:sz w:val="24"/>
        </w:rPr>
        <w:t>2.在执行本合同的过程中，所有经双方签署确认的文件（包括会议纪要、补充协议、往来信函）即成为本合同的有效组成部分。</w:t>
      </w:r>
    </w:p>
    <w:p>
      <w:pPr>
        <w:jc w:val="both"/>
      </w:pPr>
      <w:r>
        <w:rPr>
          <w:color w:val="222222"/>
          <w:sz w:val="24"/>
        </w:rPr>
        <w:t>3.如一方地址、电话、传真号码有变更，应在变更当日内书面通知对方，否则，应承担相应责任。</w:t>
      </w:r>
    </w:p>
    <w:p>
      <w:pPr>
        <w:jc w:val="both"/>
      </w:pPr>
      <w:r>
        <w:rPr>
          <w:color w:val="222222"/>
          <w:sz w:val="24"/>
        </w:rPr>
        <w:t>4.除甲方事先书面同意外，乙方不得部分或全部转让其应履行的合同项下的义务。</w:t>
      </w:r>
    </w:p>
    <w:p>
      <w:pPr>
        <w:jc w:val="both"/>
      </w:pPr>
      <w:r>
        <w:rPr>
          <w:b/>
          <w:sz w:val="24"/>
        </w:rPr>
        <w:t>十</w:t>
      </w:r>
      <w:r>
        <w:rPr>
          <w:b/>
          <w:sz w:val="24"/>
        </w:rPr>
        <w:t>九</w:t>
      </w:r>
      <w:r>
        <w:rPr>
          <w:b/>
          <w:sz w:val="24"/>
        </w:rPr>
        <w:t>、合同生效</w:t>
      </w:r>
    </w:p>
    <w:p>
      <w:pPr>
        <w:jc w:val="both"/>
      </w:pPr>
      <w:r>
        <w:rPr>
          <w:color w:val="222222"/>
          <w:sz w:val="24"/>
        </w:rPr>
        <w:t>1.本合同在甲乙双方法人代表或其授权代表签字盖章后生效。</w:t>
      </w:r>
    </w:p>
    <w:p>
      <w:pPr>
        <w:jc w:val="both"/>
      </w:pPr>
      <w:r>
        <w:rPr>
          <w:color w:val="222222"/>
          <w:sz w:val="24"/>
        </w:rPr>
        <w:t>2.合同一式</w:t>
      </w:r>
      <w:r>
        <w:rPr>
          <w:sz w:val="21"/>
          <w:u w:val="single"/>
        </w:rPr>
        <w:t xml:space="preserve">   </w:t>
      </w:r>
      <w:r>
        <w:rPr>
          <w:color w:val="222222"/>
          <w:sz w:val="24"/>
        </w:rPr>
        <w:t xml:space="preserve"> </w:t>
      </w:r>
      <w:r>
        <w:rPr>
          <w:color w:val="222222"/>
          <w:sz w:val="24"/>
        </w:rPr>
        <w:t>份。甲乙双方各执</w:t>
      </w:r>
      <w:r>
        <w:rPr>
          <w:sz w:val="21"/>
          <w:u w:val="single"/>
        </w:rPr>
        <w:t xml:space="preserve">  </w:t>
      </w:r>
      <w:r>
        <w:rPr>
          <w:color w:val="222222"/>
          <w:sz w:val="24"/>
        </w:rPr>
        <w:t>份，代理机构执壹份。</w:t>
      </w:r>
    </w:p>
    <w:p>
      <w:pPr>
        <w:jc w:val="both"/>
      </w:pPr>
      <w:r>
        <w:rPr>
          <w:sz w:val="21"/>
        </w:rPr>
        <w:t xml:space="preserve"> </w:t>
      </w:r>
    </w:p>
    <w:p>
      <w:pPr>
        <w:ind w:firstLine="440"/>
        <w:jc w:val="both"/>
      </w:pPr>
      <w:r>
        <w:rPr>
          <w:sz w:val="24"/>
        </w:rPr>
        <w:t>甲方</w:t>
      </w:r>
      <w:r>
        <w:rPr>
          <w:sz w:val="24"/>
        </w:rPr>
        <w:t>(</w:t>
      </w:r>
      <w:r>
        <w:rPr>
          <w:sz w:val="24"/>
        </w:rPr>
        <w:t>盖章</w:t>
      </w:r>
      <w:r>
        <w:rPr>
          <w:sz w:val="24"/>
        </w:rPr>
        <w:t>)</w:t>
      </w:r>
      <w:r>
        <w:rPr>
          <w:sz w:val="24"/>
        </w:rPr>
        <w:t>：                                   乙方</w:t>
      </w:r>
      <w:r>
        <w:rPr>
          <w:sz w:val="24"/>
        </w:rPr>
        <w:t>(</w:t>
      </w:r>
      <w:r>
        <w:rPr>
          <w:sz w:val="24"/>
        </w:rPr>
        <w:t>盖章</w:t>
      </w:r>
      <w:r>
        <w:rPr>
          <w:sz w:val="24"/>
        </w:rPr>
        <w:t>)</w:t>
      </w:r>
      <w:r>
        <w:rPr>
          <w:sz w:val="24"/>
        </w:rPr>
        <w:t>：</w:t>
      </w:r>
    </w:p>
    <w:p>
      <w:pPr>
        <w:ind w:firstLine="440"/>
        <w:jc w:val="both"/>
      </w:pPr>
      <w:r>
        <w:rPr>
          <w:sz w:val="24"/>
        </w:rPr>
        <w:t>甲方法定代表人</w:t>
      </w:r>
      <w:r>
        <w:rPr>
          <w:sz w:val="24"/>
        </w:rPr>
        <w:t>(</w:t>
      </w:r>
      <w:r>
        <w:rPr>
          <w:sz w:val="24"/>
        </w:rPr>
        <w:t>签字</w:t>
      </w:r>
      <w:r>
        <w:rPr>
          <w:sz w:val="24"/>
        </w:rPr>
        <w:t>)</w:t>
      </w:r>
      <w:r>
        <w:rPr>
          <w:sz w:val="24"/>
        </w:rPr>
        <w:t>：                        乙方法定代表人</w:t>
      </w:r>
      <w:r>
        <w:rPr>
          <w:sz w:val="24"/>
        </w:rPr>
        <w:t>(</w:t>
      </w:r>
      <w:r>
        <w:rPr>
          <w:sz w:val="24"/>
        </w:rPr>
        <w:t>签字</w:t>
      </w:r>
      <w:r>
        <w:rPr>
          <w:sz w:val="24"/>
        </w:rPr>
        <w:t>)</w:t>
      </w:r>
      <w:r>
        <w:rPr>
          <w:sz w:val="24"/>
        </w:rPr>
        <w:t>：</w:t>
      </w:r>
    </w:p>
    <w:p>
      <w:pPr>
        <w:ind w:firstLine="440"/>
        <w:jc w:val="both"/>
      </w:pPr>
      <w:r>
        <w:rPr>
          <w:sz w:val="24"/>
        </w:rPr>
        <w:t>甲方委托代理人</w:t>
      </w:r>
      <w:r>
        <w:rPr>
          <w:sz w:val="24"/>
        </w:rPr>
        <w:t>(</w:t>
      </w:r>
      <w:r>
        <w:rPr>
          <w:sz w:val="24"/>
        </w:rPr>
        <w:t>签字</w:t>
      </w:r>
      <w:r>
        <w:rPr>
          <w:sz w:val="24"/>
        </w:rPr>
        <w:t>)</w:t>
      </w:r>
      <w:r>
        <w:rPr>
          <w:sz w:val="24"/>
        </w:rPr>
        <w:t>：                         乙方委托代理人</w:t>
      </w:r>
      <w:r>
        <w:rPr>
          <w:sz w:val="24"/>
        </w:rPr>
        <w:t>(</w:t>
      </w:r>
      <w:r>
        <w:rPr>
          <w:sz w:val="24"/>
        </w:rPr>
        <w:t>签字</w:t>
      </w:r>
      <w:r>
        <w:rPr>
          <w:sz w:val="24"/>
        </w:rPr>
        <w:t>)</w:t>
      </w:r>
      <w:r>
        <w:rPr>
          <w:sz w:val="24"/>
        </w:rPr>
        <w:t>：</w:t>
      </w:r>
    </w:p>
    <w:p>
      <w:pPr>
        <w:ind w:firstLine="440"/>
        <w:jc w:val="both"/>
      </w:pPr>
      <w:r>
        <w:rPr>
          <w:sz w:val="24"/>
        </w:rPr>
        <w:t>地址：</w:t>
      </w:r>
      <w:r>
        <w:rPr>
          <w:sz w:val="24"/>
        </w:rPr>
        <w:t xml:space="preserve">                                       </w:t>
      </w:r>
      <w:r>
        <w:rPr>
          <w:sz w:val="24"/>
        </w:rPr>
        <w:t>地址：</w:t>
      </w:r>
    </w:p>
    <w:p>
      <w:pPr>
        <w:ind w:firstLine="440"/>
        <w:jc w:val="both"/>
      </w:pPr>
      <w:r>
        <w:rPr>
          <w:sz w:val="24"/>
        </w:rPr>
        <w:t>邮政编码：</w:t>
      </w:r>
      <w:r>
        <w:rPr>
          <w:sz w:val="24"/>
        </w:rPr>
        <w:t xml:space="preserve">                                   </w:t>
      </w:r>
      <w:r>
        <w:rPr>
          <w:sz w:val="24"/>
        </w:rPr>
        <w:t>邮政编码：</w:t>
      </w:r>
    </w:p>
    <w:p>
      <w:pPr>
        <w:ind w:firstLine="440"/>
        <w:jc w:val="both"/>
      </w:pPr>
      <w:r>
        <w:rPr>
          <w:sz w:val="24"/>
        </w:rPr>
        <w:t>电话：</w:t>
      </w:r>
      <w:r>
        <w:rPr>
          <w:sz w:val="24"/>
        </w:rPr>
        <w:t xml:space="preserve">                                      </w:t>
      </w:r>
      <w:r>
        <w:rPr>
          <w:sz w:val="21"/>
        </w:rPr>
        <w:t xml:space="preserve"> </w:t>
      </w:r>
      <w:r>
        <w:rPr>
          <w:sz w:val="24"/>
        </w:rPr>
        <w:t>电话：</w:t>
      </w:r>
    </w:p>
    <w:p>
      <w:pPr>
        <w:ind w:firstLine="440"/>
        <w:jc w:val="both"/>
      </w:pPr>
      <w:r>
        <w:rPr>
          <w:sz w:val="24"/>
        </w:rPr>
        <w:t>传真：</w:t>
      </w:r>
      <w:r>
        <w:rPr>
          <w:sz w:val="24"/>
        </w:rPr>
        <w:t xml:space="preserve">                                       </w:t>
      </w:r>
      <w:r>
        <w:rPr>
          <w:sz w:val="24"/>
        </w:rPr>
        <w:t>传真：</w:t>
      </w:r>
    </w:p>
    <w:p>
      <w:pPr>
        <w:jc w:val="both"/>
      </w:pPr>
      <w:r>
        <w:rPr>
          <w:sz w:val="24"/>
        </w:rPr>
        <w:t xml:space="preserve">                                                  </w:t>
      </w:r>
      <w:r>
        <w:rPr>
          <w:sz w:val="24"/>
        </w:rPr>
        <w:t>开户银行：</w:t>
      </w:r>
    </w:p>
    <w:p>
      <w:pPr>
        <w:jc w:val="both"/>
      </w:pPr>
      <w:r>
        <w:rPr>
          <w:sz w:val="24"/>
        </w:rPr>
        <w:t xml:space="preserve">                                                  </w:t>
      </w:r>
      <w:r>
        <w:rPr>
          <w:sz w:val="24"/>
        </w:rPr>
        <w:t>开户账号：</w:t>
      </w:r>
    </w:p>
    <w:p>
      <w:pPr>
        <w:ind w:firstLine="440"/>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480"/>
        <w:jc w:val="both"/>
      </w:pPr>
    </w:p>
    <w:p>
      <w:pPr>
        <w:jc w:val="both"/>
      </w:pPr>
      <w:r>
        <w:rPr>
          <w:sz w:val="21"/>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442000001-2023-00342</w:t>
      </w:r>
    </w:p>
    <w:p>
      <w:pPr>
        <w:jc w:val="center"/>
      </w:pPr>
      <w:r>
        <w:rPr>
          <w:b/>
          <w:sz w:val="24"/>
        </w:rPr>
        <w:t>采购项目编号：</w:t>
      </w:r>
      <w:r>
        <w:rPr>
          <w:b/>
          <w:sz w:val="24"/>
        </w:rPr>
        <w:t>442000001-2023-00342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w:t>
      </w:r>
      <w:r>
        <w:rPr>
          <w:u w:val="single"/>
        </w:rPr>
        <w:t>中山市石岐中学田径运动场翻新改造工程</w:t>
      </w:r>
      <w:r>
        <w:rPr>
          <w:u w:val="single"/>
        </w:rPr>
        <w:t>”</w:t>
      </w:r>
      <w:r>
        <w:rPr/>
        <w:t>项目的竞争性磋商[采购项目编号为：</w:t>
      </w:r>
      <w:r>
        <w:rPr>
          <w:u w:val="single"/>
        </w:rPr>
        <w:t>442000001-2023-00342</w:t>
      </w:r>
      <w:r>
        <w:rPr/>
        <w:t>]，我方愿参与响应。</w:t>
      </w:r>
    </w:p>
    <w:p>
      <w:pPr>
        <w:ind w:firstLine="480"/>
      </w:pPr>
      <w:r>
        <w:rPr/>
        <w:t>我方确认收到贵方提供的</w:t>
      </w:r>
      <w:r>
        <w:rPr>
          <w:u w:val="single"/>
        </w:rPr>
        <w:t>“</w:t>
      </w:r>
      <w:r>
        <w:rPr>
          <w:u w:val="single"/>
        </w:rPr>
        <w:t>中山市石岐中学田径运动场翻新改造工程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中山市石岐中学田径运动场翻新改造工程</w:t>
      </w:r>
      <w:r>
        <w:rPr/>
        <w:t>”项目采购[采购项目编号为</w:t>
      </w:r>
      <w:r>
        <w:rPr/>
        <w:t>442000001-2023-00342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中山市石岐中学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中山市石岐中学田径运动场翻新改造工程</w:t>
      </w:r>
      <w:r>
        <w:rPr/>
        <w:t>（采购项目编号：</w:t>
      </w:r>
      <w:r>
        <w:rPr/>
        <w:t>442000001-2023-00342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中山市石岐中学田径运动场翻新改造工程</w:t>
      </w:r>
      <w:r>
        <w:rPr/>
        <w:t>”项目（采购项目编号：</w:t>
      </w:r>
      <w:r>
        <w:rPr/>
        <w:t>442000001-2023-00342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