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442000001-2023-00359</w:t>
      </w:r>
    </w:p>
    <w:p>
      <w:pPr>
        <w:jc w:val="center"/>
      </w:pPr>
      <w:r>
        <w:rPr>
          <w:b/>
          <w:sz w:val="24"/>
        </w:rPr>
        <w:t>采购项目编号：</w:t>
      </w:r>
      <w:r>
        <w:rPr>
          <w:b/>
          <w:sz w:val="24"/>
        </w:rPr>
        <w:t>442000001-2023-00359</w:t>
      </w:r>
    </w:p>
    <w:p>
      <w:pPr>
        <w:jc w:val="center"/>
      </w:pPr>
      <w:r>
        <w:rPr>
          <w:b/>
          <w:sz w:val="24"/>
        </w:rPr>
        <w:t>项目名称：</w:t>
      </w:r>
      <w:r>
        <w:rPr>
          <w:b/>
          <w:sz w:val="24"/>
        </w:rPr>
        <w:t>中山市石岐苏华赞医院腰椎脊柱非手术减压治疗系统采购项目</w:t>
      </w:r>
    </w:p>
    <w:p>
      <w:pPr>
        <w:jc w:val="center"/>
      </w:pPr>
      <w:r>
        <w:rPr>
          <w:b/>
          <w:sz w:val="24"/>
        </w:rPr>
        <w:t>采购人：</w:t>
      </w:r>
      <w:r>
        <w:rPr>
          <w:b/>
          <w:sz w:val="24"/>
        </w:rPr>
        <w:t>中山市石岐苏华赞医院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中山市石岐苏华赞医院</w:t>
      </w:r>
      <w:r>
        <w:rPr/>
        <w:t>的委托，采用</w:t>
      </w:r>
      <w:r>
        <w:rPr/>
        <w:t>公开招标</w:t>
      </w:r>
      <w:r>
        <w:rPr/>
        <w:t>方式组织采购</w:t>
      </w:r>
      <w:r>
        <w:rPr/>
        <w:t>中山市石岐苏华赞医院腰椎脊柱非手术减压治疗系统采购项目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中山市石岐苏华赞医院腰椎脊柱非手术减压治疗系统采购项目</w:t>
      </w:r>
    </w:p>
    <w:p>
      <w:pPr>
        <w:ind w:firstLine="480"/>
      </w:pPr>
      <w:r>
        <w:rPr/>
        <w:t>采购计划编号：</w:t>
      </w:r>
      <w:r>
        <w:rPr/>
        <w:t>442000001-2023-00359</w:t>
      </w:r>
    </w:p>
    <w:p>
      <w:pPr>
        <w:ind w:firstLine="480"/>
      </w:pPr>
      <w:r>
        <w:rPr/>
        <w:t>采购项目编号：</w:t>
      </w:r>
      <w:r>
        <w:rPr/>
        <w:t>442000001-2023-00359</w:t>
      </w:r>
    </w:p>
    <w:p>
      <w:pPr>
        <w:ind w:firstLine="480"/>
      </w:pPr>
      <w:r>
        <w:rPr/>
        <w:t>采购方式：</w:t>
      </w:r>
      <w:r>
        <w:rPr/>
        <w:t>公开招标</w:t>
      </w:r>
    </w:p>
    <w:p>
      <w:pPr>
        <w:ind w:firstLine="480"/>
      </w:pPr>
      <w:r>
        <w:rPr/>
        <w:t>预算金额：</w:t>
      </w:r>
      <w:r>
        <w:rPr/>
        <w:t>1,000,000.00</w:t>
      </w:r>
      <w:r>
        <w:rPr/>
        <w:t>元</w:t>
      </w:r>
    </w:p>
    <w:p>
      <w:r>
        <w:rPr>
          <w:b/>
          <w:sz w:val="24"/>
        </w:rPr>
        <w:t>2.项目内容及需求情况（采购项目技术规格、参数及要求）</w:t>
      </w:r>
    </w:p>
    <w:p>
      <w:pPr>
        <w:ind w:firstLine="480"/>
      </w:pPr>
    </w:p>
    <w:p/>
    <w:p>
      <w:r>
        <w:rPr/>
        <w:t>采购包1(腰椎脊柱非手术减压治疗系统):</w:t>
      </w:r>
    </w:p>
    <w:p>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物理治疗、康复及体育治疗仪器设备</w:t>
            </w:r>
          </w:p>
        </w:tc>
        <w:tc>
          <w:tcPr>
            <w:tcW w:type="dxa" w:w="2136"/>
          </w:tcPr>
          <w:p>
            <w:r>
              <w:rPr/>
              <w:t>腰椎脊柱非手术减压治疗系统</w:t>
            </w:r>
          </w:p>
        </w:tc>
        <w:tc>
          <w:tcPr>
            <w:tcW w:type="dxa" w:w="1187"/>
          </w:tcPr>
          <w:p>
            <w:r>
              <w:rPr/>
              <w:t>1.00(套)</w:t>
            </w:r>
          </w:p>
        </w:tc>
        <w:tc>
          <w:tcPr>
            <w:tcW w:type="dxa" w:w="1187"/>
          </w:tcPr>
          <w:p>
            <w:r>
              <w:rPr/>
              <w:t>详见第二章</w:t>
            </w:r>
          </w:p>
        </w:tc>
        <w:tc>
          <w:tcPr>
            <w:tcW w:type="dxa" w:w="1187"/>
          </w:tcPr>
          <w:p>
            <w:r>
              <w:rPr/>
              <w:t>否</w:t>
            </w:r>
          </w:p>
        </w:tc>
      </w:tr>
    </w:tbl>
    <w:p/>
    <w:p>
      <w:r>
        <w:rPr/>
        <w:t>本采购包不接受联合体投标</w:t>
      </w:r>
    </w:p>
    <w:p/>
    <w:p>
      <w:r>
        <w:rPr/>
        <w:t>合同履行期限：签订合同后30天内到货完成装机。</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如依法免税或不需要缴纳社会保障资金的，提供相应证明材料。</w:t>
      </w:r>
    </w:p>
    <w:p/>
    <w:p>
      <w:r>
        <w:rPr/>
        <w:t>3）具有良好的商业信誉和健全的财务会计制度：提供2021年或2022年度财务状况报告或投标截止日前12个月内任意1个月的财务报表复印件，财务报表须包含资产负债表、利润表或银行出具的资信证明材料复印件。</w:t>
      </w:r>
    </w:p>
    <w:p/>
    <w:p>
      <w:r>
        <w:rPr/>
        <w:t>4）履行合同所必需的设备和专业技术能力：请在投标文件里提供承诺书或者说明书。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采购包1（腰椎脊柱非手术减压治疗系统）：</w:t>
      </w:r>
      <w:r>
        <w:rPr/>
        <w:t>本项目不专门面向中小企业采购。</w:t>
      </w:r>
    </w:p>
    <w:p/>
    <w:p>
      <w:r>
        <w:rPr>
          <w:b/>
          <w:sz w:val="24"/>
        </w:rPr>
        <w:t>3.本项目特定的资格要求：</w:t>
      </w:r>
    </w:p>
    <w:p>
      <w:pPr>
        <w:ind w:firstLine="480"/>
      </w:pPr>
    </w:p>
    <w:p/>
    <w:p>
      <w:r>
        <w:rPr/>
        <w:t>采购包1（腰椎脊柱非手术减压治疗系统）：</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（https://www.gdzwfw.gov.cn/ggzy-portal/index.html#/442000/index）、智林招标（广东）有限公司官网（http://www.智林招标.com/)。</w:t>
      </w:r>
    </w:p>
    <w:p>
      <w:r>
        <w:rPr>
          <w:b/>
          <w:sz w:val="28"/>
        </w:rPr>
        <w:t>六.本项目联系方式：</w:t>
      </w:r>
    </w:p>
    <w:p>
      <w:r>
        <w:rPr>
          <w:b/>
          <w:sz w:val="24"/>
        </w:rPr>
        <w:t>1.采购人信息</w:t>
      </w:r>
    </w:p>
    <w:p>
      <w:pPr>
        <w:ind w:firstLine="480"/>
      </w:pPr>
      <w:r>
        <w:rPr/>
        <w:t>名称：</w:t>
      </w:r>
      <w:r>
        <w:rPr/>
        <w:t>中山市石岐苏华赞医院</w:t>
      </w:r>
    </w:p>
    <w:p>
      <w:pPr>
        <w:ind w:firstLine="480"/>
      </w:pPr>
      <w:r>
        <w:rPr/>
        <w:t>地址：</w:t>
      </w:r>
      <w:r>
        <w:rPr/>
        <w:t>中山市石岐街道莲员东路19号</w:t>
      </w:r>
    </w:p>
    <w:p>
      <w:pPr>
        <w:ind w:firstLine="480"/>
      </w:pPr>
      <w:r>
        <w:rPr/>
        <w:t>联系方式：</w:t>
      </w:r>
      <w:r>
        <w:rPr/>
        <w:t>0760-23888956</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吴颖红</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p>
    <w:p>
      <w:pPr>
        <w:jc w:val="both"/>
      </w:pPr>
    </w:p>
    <w:p>
      <w:pPr>
        <w:jc w:val="both"/>
      </w:pPr>
    </w:p>
    <w:p>
      <w:pPr>
        <w:jc w:val="both"/>
      </w:pPr>
    </w:p>
    <w:p>
      <w:pPr>
        <w:jc w:val="both"/>
      </w:pPr>
    </w:p>
    <w:p>
      <w:pPr>
        <w:jc w:val="both"/>
      </w:pPr>
      <w:r>
        <w:rPr>
          <w:sz w:val="21"/>
        </w:rPr>
        <w:t>1.项目名称：</w:t>
      </w:r>
      <w:r>
        <w:rPr>
          <w:sz w:val="21"/>
        </w:rPr>
        <w:t>中山市石岐苏华赞医院腰椎脊柱非手术减压治疗系统采购项目</w:t>
      </w:r>
    </w:p>
    <w:p>
      <w:pPr>
        <w:jc w:val="both"/>
      </w:pPr>
      <w:r>
        <w:rPr>
          <w:sz w:val="21"/>
        </w:rPr>
        <w:t>2.采购计划编号：</w:t>
      </w:r>
      <w:r>
        <w:rPr>
          <w:sz w:val="21"/>
        </w:rPr>
        <w:t>442000001-2023-00359</w:t>
      </w:r>
    </w:p>
    <w:p>
      <w:pPr>
        <w:jc w:val="both"/>
      </w:pPr>
      <w:r>
        <w:rPr>
          <w:sz w:val="21"/>
        </w:rPr>
        <w:t>3.采购项目编号:</w:t>
      </w:r>
      <w:r>
        <w:rPr>
          <w:sz w:val="21"/>
        </w:rPr>
        <w:t>442000001-2023-00359</w:t>
      </w:r>
    </w:p>
    <w:p>
      <w:pPr>
        <w:jc w:val="both"/>
      </w:pPr>
      <w:r>
        <w:rPr>
          <w:sz w:val="21"/>
        </w:rPr>
        <w:t>4.采购方式：公开招标</w:t>
      </w:r>
    </w:p>
    <w:p>
      <w:pPr>
        <w:jc w:val="both"/>
      </w:pPr>
      <w:r>
        <w:rPr>
          <w:sz w:val="21"/>
        </w:rPr>
        <w:t>5.项目内容情况：</w:t>
      </w:r>
    </w:p>
    <w:tbl>
      <w:tblPr>
        <w:tblW w:w="0" w:type="auto"/>
        <w:tblBorders>
          <w:top w:val="none" w:color="000000" w:sz="4"/>
          <w:left w:val="none" w:color="000000" w:sz="4"/>
          <w:bottom w:val="none" w:color="000000" w:sz="4"/>
          <w:right w:val="none" w:color="000000" w:sz="4"/>
          <w:insideH w:val="none"/>
          <w:insideV w:val="none"/>
        </w:tblBorders>
      </w:tblPr>
      <w:tblGrid>
        <w:gridCol w:w="747"/>
        <w:gridCol w:w="1389"/>
        <w:gridCol w:w="866"/>
        <w:gridCol w:w="1778"/>
        <w:gridCol w:w="1793"/>
        <w:gridCol w:w="1733"/>
      </w:tblGrid>
      <w:tr>
        <w:tc>
          <w:tcPr>
            <w:tcW w:type="dxa" w:w="747"/>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389"/>
            <w:tcBorders>
              <w:top w:val="single" w:color="000000" w:sz="4"/>
              <w:left w:val="none" w:color="000000" w:sz="4"/>
              <w:bottom w:val="single" w:color="000000" w:sz="4"/>
              <w:right w:val="single" w:color="000000" w:sz="4"/>
            </w:tcBorders>
            <w:vAlign w:val="top"/>
          </w:tcPr>
          <w:p>
            <w:pPr>
              <w:jc w:val="center"/>
            </w:pPr>
            <w:r>
              <w:rPr>
                <w:sz w:val="21"/>
              </w:rPr>
              <w:t>名称</w:t>
            </w:r>
          </w:p>
        </w:tc>
        <w:tc>
          <w:tcPr>
            <w:tcW w:type="dxa" w:w="866"/>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1778"/>
            <w:tcBorders>
              <w:top w:val="single" w:color="000000" w:sz="4"/>
              <w:left w:val="none" w:color="000000" w:sz="4"/>
              <w:bottom w:val="single" w:color="000000" w:sz="4"/>
              <w:right w:val="single" w:color="000000" w:sz="4"/>
            </w:tcBorders>
            <w:vAlign w:val="top"/>
          </w:tcPr>
          <w:p>
            <w:pPr>
              <w:jc w:val="center"/>
            </w:pPr>
            <w:r>
              <w:rPr>
                <w:sz w:val="21"/>
              </w:rPr>
              <w:t>预算金额（元）</w:t>
            </w:r>
          </w:p>
        </w:tc>
        <w:tc>
          <w:tcPr>
            <w:tcW w:type="dxa" w:w="1793"/>
            <w:tcBorders>
              <w:top w:val="single" w:color="000000" w:sz="4"/>
              <w:left w:val="none" w:color="000000" w:sz="4"/>
              <w:bottom w:val="single" w:color="000000" w:sz="4"/>
              <w:right w:val="single" w:color="000000" w:sz="4"/>
            </w:tcBorders>
            <w:vAlign w:val="top"/>
          </w:tcPr>
          <w:p>
            <w:pPr>
              <w:jc w:val="center"/>
            </w:pPr>
            <w:r>
              <w:rPr>
                <w:sz w:val="21"/>
              </w:rPr>
              <w:t>投标上限价（元）</w:t>
            </w:r>
          </w:p>
        </w:tc>
        <w:tc>
          <w:tcPr>
            <w:tcW w:type="dxa" w:w="1733"/>
            <w:tcBorders>
              <w:top w:val="single" w:color="000000" w:sz="4"/>
              <w:left w:val="none" w:color="000000" w:sz="4"/>
              <w:bottom w:val="single" w:color="000000" w:sz="4"/>
              <w:right w:val="single" w:color="000000" w:sz="4"/>
            </w:tcBorders>
            <w:vAlign w:val="top"/>
          </w:tcPr>
          <w:p>
            <w:pPr>
              <w:jc w:val="center"/>
            </w:pPr>
            <w:r>
              <w:rPr>
                <w:sz w:val="21"/>
              </w:rPr>
              <w:t>合同履行期限</w:t>
            </w:r>
          </w:p>
        </w:tc>
      </w:tr>
      <w:tr>
        <w:tc>
          <w:tcPr>
            <w:tcW w:type="dxa" w:w="747"/>
            <w:tcBorders>
              <w:top w:val="none" w:color="000000" w:sz="4"/>
              <w:left w:val="single" w:color="000000" w:sz="4"/>
              <w:bottom w:val="single" w:color="000000" w:sz="4"/>
              <w:right w:val="single" w:color="000000" w:sz="4"/>
            </w:tcBorders>
            <w:vAlign w:val="top"/>
          </w:tcPr>
          <w:p>
            <w:pPr>
              <w:jc w:val="center"/>
            </w:pPr>
            <w:r>
              <w:rPr>
                <w:sz w:val="21"/>
              </w:rPr>
              <w:t>1</w:t>
            </w:r>
          </w:p>
        </w:tc>
        <w:tc>
          <w:tcPr>
            <w:tcW w:type="dxa" w:w="1389"/>
            <w:tcBorders>
              <w:top w:val="none" w:color="000000" w:sz="4"/>
              <w:left w:val="none" w:color="000000" w:sz="4"/>
              <w:bottom w:val="single" w:color="000000" w:sz="4"/>
              <w:right w:val="single" w:color="000000" w:sz="4"/>
            </w:tcBorders>
            <w:vAlign w:val="top"/>
          </w:tcPr>
          <w:p>
            <w:pPr>
              <w:jc w:val="both"/>
            </w:pPr>
            <w:r>
              <w:rPr>
                <w:sz w:val="21"/>
              </w:rPr>
              <w:t>腰椎脊柱非手术减压治疗系统</w:t>
            </w:r>
          </w:p>
        </w:tc>
        <w:tc>
          <w:tcPr>
            <w:tcW w:type="dxa" w:w="866"/>
            <w:tcBorders>
              <w:top w:val="none" w:color="000000" w:sz="4"/>
              <w:left w:val="none" w:color="000000" w:sz="4"/>
              <w:bottom w:val="single" w:color="000000" w:sz="4"/>
              <w:right w:val="single" w:color="000000" w:sz="4"/>
            </w:tcBorders>
            <w:vAlign w:val="top"/>
          </w:tcPr>
          <w:p>
            <w:pPr>
              <w:jc w:val="center"/>
            </w:pPr>
            <w:r>
              <w:rPr>
                <w:color w:val="000000"/>
                <w:sz w:val="21"/>
              </w:rPr>
              <w:t>1套</w:t>
            </w:r>
          </w:p>
        </w:tc>
        <w:tc>
          <w:tcPr>
            <w:tcW w:type="dxa" w:w="1778"/>
            <w:tcBorders>
              <w:top w:val="none" w:color="000000" w:sz="4"/>
              <w:left w:val="none" w:color="000000" w:sz="4"/>
              <w:bottom w:val="single" w:color="000000" w:sz="4"/>
              <w:right w:val="single" w:color="000000" w:sz="4"/>
            </w:tcBorders>
            <w:vAlign w:val="top"/>
          </w:tcPr>
          <w:p>
            <w:pPr>
              <w:jc w:val="center"/>
            </w:pPr>
            <w:r>
              <w:rPr>
                <w:sz w:val="21"/>
              </w:rPr>
              <w:t>1,000,000.00</w:t>
            </w:r>
          </w:p>
        </w:tc>
        <w:tc>
          <w:tcPr>
            <w:tcW w:type="dxa" w:w="1793"/>
            <w:tcBorders>
              <w:top w:val="none" w:color="000000" w:sz="4"/>
              <w:left w:val="none" w:color="000000" w:sz="4"/>
              <w:bottom w:val="single" w:color="000000" w:sz="4"/>
              <w:right w:val="single" w:color="000000" w:sz="4"/>
            </w:tcBorders>
            <w:vAlign w:val="top"/>
          </w:tcPr>
          <w:p>
            <w:pPr>
              <w:jc w:val="center"/>
            </w:pPr>
            <w:r>
              <w:rPr>
                <w:sz w:val="21"/>
              </w:rPr>
              <w:t>1,000,000.00</w:t>
            </w:r>
          </w:p>
        </w:tc>
        <w:tc>
          <w:tcPr>
            <w:tcW w:type="dxa" w:w="1733"/>
            <w:tcBorders>
              <w:top w:val="none" w:color="000000" w:sz="4"/>
              <w:left w:val="none" w:color="000000" w:sz="4"/>
              <w:bottom w:val="single" w:color="000000" w:sz="4"/>
              <w:right w:val="single" w:color="000000" w:sz="4"/>
            </w:tcBorders>
            <w:vAlign w:val="top"/>
          </w:tcPr>
          <w:p>
            <w:pPr>
              <w:jc w:val="left"/>
            </w:pPr>
            <w:r>
              <w:rPr>
                <w:sz w:val="21"/>
              </w:rPr>
              <w:t>签订合同后</w:t>
            </w:r>
            <w:r>
              <w:rPr>
                <w:sz w:val="21"/>
              </w:rPr>
              <w:t>30</w:t>
            </w:r>
            <w:r>
              <w:rPr>
                <w:sz w:val="21"/>
              </w:rPr>
              <w:t>天内到货完成装机。</w:t>
            </w:r>
          </w:p>
        </w:tc>
      </w:tr>
    </w:tbl>
    <w:p>
      <w:pPr>
        <w:jc w:val="both"/>
      </w:pPr>
      <w:r>
        <w:rPr>
          <w:sz w:val="21"/>
        </w:rPr>
        <w:t>6.本项目不属于专门面向中小微企业项目。</w:t>
      </w:r>
    </w:p>
    <w:p>
      <w:pPr>
        <w:jc w:val="both"/>
      </w:pPr>
      <w:r>
        <w:rPr>
          <w:sz w:val="21"/>
        </w:rPr>
        <w:t>7.本项目</w:t>
      </w:r>
      <w:r>
        <w:rPr>
          <w:sz w:val="21"/>
        </w:rPr>
        <w:t>采购</w:t>
      </w:r>
      <w:r>
        <w:rPr>
          <w:sz w:val="21"/>
        </w:rPr>
        <w:t>本国国产产品</w:t>
      </w:r>
      <w:r>
        <w:rPr>
          <w:sz w:val="21"/>
        </w:rPr>
        <w:t>，</w:t>
      </w:r>
      <w:r>
        <w:rPr>
          <w:sz w:val="21"/>
        </w:rPr>
        <w:t>如投标人所投产品为进口产品，视为无效投标处理。</w:t>
      </w:r>
    </w:p>
    <w:p>
      <w:pPr>
        <w:jc w:val="both"/>
      </w:pPr>
      <w:r>
        <w:rPr>
          <w:sz w:val="21"/>
        </w:rPr>
        <w:t>8.采购标的对应的中小企业划分标准所属行业为：工业。</w:t>
      </w:r>
    </w:p>
    <w:p>
      <w:pPr>
        <w:jc w:val="both"/>
      </w:pPr>
      <w:r>
        <w:rPr>
          <w:sz w:val="21"/>
        </w:rPr>
        <w:t>9.本采购包不接受联合体投标。</w:t>
      </w:r>
    </w:p>
    <w:p>
      <w:pPr>
        <w:jc w:val="left"/>
      </w:pPr>
      <w:r>
        <w:rPr>
          <w:b/>
          <w:sz w:val="21"/>
        </w:rPr>
        <w:t>10.招标文件中凡有“★”标识的内容条款为关键条款，投标供应商必须对此作出回答并完全满足这些要求不可以出现任何负偏离，对这些关键条款的任何负偏离将视为无效投标。加注“▲”的内容为重点评标项目，投标人必须对该标识项目按照要求进行真实应答描述。</w:t>
      </w:r>
    </w:p>
    <w:p>
      <w:pPr>
        <w:jc w:val="left"/>
      </w:pPr>
      <w:r>
        <w:rPr>
          <w:b/>
          <w:sz w:val="21"/>
        </w:rPr>
        <w:t>11.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both"/>
      </w:pPr>
      <w:r>
        <w:rPr>
          <w:b/>
          <w:sz w:val="21"/>
        </w:rPr>
        <w:t>12.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jc w:val="both"/>
      </w:pPr>
    </w:p>
    <w:p>
      <w:pPr>
        <w:jc w:val="both"/>
      </w:pPr>
    </w:p>
    <w:p>
      <w:pPr>
        <w:jc w:val="both"/>
      </w:pPr>
    </w:p>
    <w:p>
      <w:pPr>
        <w:jc w:val="both"/>
      </w:pPr>
    </w:p>
    <w:p>
      <w:pPr>
        <w:jc w:val="both"/>
      </w:pPr>
    </w:p>
    <w:p/>
    <w:p>
      <w:pPr>
        <w:ind w:firstLine="480"/>
      </w:pPr>
    </w:p>
    <w:p/>
    <w:p>
      <w:r>
        <w:rPr/>
        <w:t>采购包1（腰椎脊柱非手术减压治疗系统）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签订合同后30天内到货完成装机。</w:t>
            </w:r>
          </w:p>
        </w:tc>
      </w:tr>
      <w:tr>
        <w:tc>
          <w:tcPr>
            <w:tcW w:type="dxa" w:w="4153"/>
          </w:tcPr>
          <w:p>
            <w:r>
              <w:rPr/>
              <w:t>标的提供的地点</w:t>
            </w:r>
          </w:p>
        </w:tc>
        <w:tc>
          <w:tcPr>
            <w:tcW w:type="dxa" w:w="4153"/>
          </w:tcPr>
          <w:p/>
          <w:p>
            <w:r>
              <w:rPr/>
              <w:t>中山市石岐苏华赞医院指定地点。</w:t>
            </w:r>
          </w:p>
        </w:tc>
      </w:tr>
      <w:tr>
        <w:tc>
          <w:tcPr>
            <w:tcW w:type="dxa" w:w="4153"/>
          </w:tcPr>
          <w:p>
            <w:r>
              <w:rPr/>
              <w:t>付款方式</w:t>
            </w:r>
          </w:p>
        </w:tc>
        <w:tc>
          <w:tcPr>
            <w:tcW w:type="dxa" w:w="4153"/>
          </w:tcPr>
          <w:p/>
          <w:p/>
          <w:p>
            <w:r>
              <w:rPr/>
              <w:t>1期：支付比例100%,验收合格后30个工作日内一次性支付合同金额100%。</w:t>
            </w:r>
          </w:p>
        </w:tc>
      </w:tr>
      <w:tr>
        <w:tc>
          <w:tcPr>
            <w:tcW w:type="dxa" w:w="4153"/>
          </w:tcPr>
          <w:p>
            <w:r>
              <w:rPr/>
              <w:t>验收要求</w:t>
            </w:r>
          </w:p>
        </w:tc>
        <w:tc>
          <w:tcPr>
            <w:tcW w:type="dxa" w:w="4153"/>
          </w:tcPr>
          <w:p/>
          <w:p/>
          <w:p/>
          <w:p>
            <w:r>
              <w:rPr/>
              <w:t>1期：合同设备安装调试完成并移交所有资料文档后5个工作日内验收，验收应在双方共同参加下进行，验收标准按照国家有关标准。</w:t>
            </w:r>
          </w:p>
        </w:tc>
      </w:tr>
      <w:tr>
        <w:tc>
          <w:tcPr>
            <w:tcW w:type="dxa" w:w="4153"/>
          </w:tcPr>
          <w:p>
            <w:r>
              <w:rPr/>
              <w:t>履约保证金</w:t>
            </w:r>
          </w:p>
        </w:tc>
        <w:tc>
          <w:tcPr>
            <w:tcW w:type="dxa" w:w="4153"/>
          </w:tcPr>
          <w:p/>
          <w:p/>
          <w:p/>
          <w:p/>
          <w:p>
            <w:r>
              <w:rPr/>
              <w:t>收取比例：5%,说明：根据《中山市关于进一步优化政府采购营商环境若干措施》的通知，符合中小企业资格的中标人如在签订合同前提供中小企业承诺书不予收取。其他企业则在采购人支付货款前需收到中标人合同总额5%的履约保证金或银行保函；履约服务期满，经考核合格，履约保证金不计利息一次性返还。</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  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★2.1.中标人至少需提供设备整机3年全保。 2.2.中标人提供操作技术培训，包括2次以上场地培训，2天/次；2人外出培训，每人至少半个月。（所需费用包含在中标金额内） 2.3.保修期内免费维修。设备发生故障时，中标人在接到采购人的故障通知后2小时内响应，24 小时内到达现场， 48小时内处理完毕。原厂全保期内，若在 48小时内仍未能有效解决，造成停机，保修期按照停机时长的 2 倍顺延。  2.4.在保修期内中标人负责每季度末安排原厂工程师上门对设备进行维护保养。  2.5.保修期过后，中标人按照质控标准，以设备维修保养的记录向采购人提供一份PDCA质控报告。</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3.2.中标人须在广东省设有售后服务点并提供维修的详细地址及工程师联系方式，负责设备的安装调试。（或提供承诺函承诺中标后满足） 3.3.有操作、维护、维修培训计划，必须由原厂工程师及技术人员直接提供保修、维修、免费技术培训服务。 3.4.保证供应设备的维修为原厂配件。</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4.1保证提供的是全新产品，未曾使用过的。   4.2.要求合同必须注明该产品（或主机）产地。   4.3.中标人保证设备能够接入我院PACS、HIS、RIS等系统，并承担对接所产生的所有费用。</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r>
              <w:rPr/>
              <w:t>△</w:t>
            </w:r>
          </w:p>
        </w:tc>
        <w:tc>
          <w:tcPr>
            <w:tcW w:type="dxa" w:w="831"/>
          </w:tcPr>
          <w:p>
            <w:pPr>
              <w:jc w:val="left"/>
            </w:pPr>
            <w:r>
              <w:rPr/>
              <w:t>物理治疗、康复及体育治疗仪器设备</w:t>
            </w:r>
          </w:p>
        </w:tc>
        <w:tc>
          <w:tcPr>
            <w:tcW w:type="dxa" w:w="831"/>
          </w:tcPr>
          <w:p>
            <w:pPr>
              <w:jc w:val="left"/>
            </w:pPr>
            <w:r>
              <w:rPr/>
              <w:t>腰椎脊柱非手术减压治疗系统</w:t>
            </w:r>
          </w:p>
        </w:tc>
        <w:tc>
          <w:tcPr>
            <w:tcW w:type="dxa" w:w="831"/>
          </w:tcPr>
          <w:p>
            <w:pPr>
              <w:jc w:val="left"/>
            </w:pPr>
            <w:r>
              <w:rPr/>
              <w:t>套</w:t>
            </w:r>
          </w:p>
        </w:tc>
        <w:tc>
          <w:tcPr>
            <w:tcW w:type="dxa" w:w="831"/>
          </w:tcPr>
          <w:p>
            <w:pPr>
              <w:jc w:val="right"/>
            </w:pPr>
            <w:r>
              <w:rPr/>
              <w:t>1.00</w:t>
            </w:r>
          </w:p>
        </w:tc>
        <w:tc>
          <w:tcPr>
            <w:tcW w:type="dxa" w:w="831"/>
          </w:tcPr>
          <w:p>
            <w:pPr>
              <w:jc w:val="right"/>
            </w:pPr>
            <w:r>
              <w:rPr/>
              <w:t>1,000,000.00</w:t>
            </w:r>
          </w:p>
        </w:tc>
        <w:tc>
          <w:tcPr>
            <w:tcW w:type="dxa" w:w="831"/>
          </w:tcPr>
          <w:p>
            <w:pPr>
              <w:jc w:val="right"/>
            </w:pPr>
            <w:r>
              <w:rPr/>
              <w:t>1,000,000.00</w:t>
            </w:r>
          </w:p>
        </w:tc>
        <w:tc>
          <w:tcPr>
            <w:tcW w:type="dxa" w:w="831"/>
          </w:tcPr>
          <w:p>
            <w:r>
              <w:rPr/>
              <w:t>工业</w:t>
            </w:r>
          </w:p>
        </w:tc>
        <w:tc>
          <w:tcPr>
            <w:tcW w:type="dxa" w:w="831"/>
          </w:tcPr>
          <w:p>
            <w:r>
              <w:rPr/>
              <w:t>详见附表一</w:t>
            </w:r>
          </w:p>
        </w:tc>
      </w:tr>
    </w:tbl>
    <w:p/>
    <w:p>
      <w:r>
        <w:rPr>
          <w:b/>
        </w:rPr>
        <w:t>附表</w:t>
      </w:r>
      <w:r>
        <w:rPr>
          <w:b/>
        </w:rPr>
        <w:t>一</w:t>
      </w:r>
      <w:r>
        <w:rPr>
          <w:b/>
        </w:rPr>
        <w:t>：</w:t>
      </w:r>
      <w:r>
        <w:rPr>
          <w:b/>
        </w:rPr>
        <w:t>腰椎脊柱非手术减压治疗系统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b/>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1.适用范围：适</w:t>
            </w:r>
            <w:r>
              <w:rPr>
                <w:sz w:val="21"/>
              </w:rPr>
              <w:t>用于</w:t>
            </w:r>
            <w:r>
              <w:rPr>
                <w:sz w:val="21"/>
              </w:rPr>
              <w:t>治疗膨</w:t>
            </w:r>
            <w:r>
              <w:rPr>
                <w:sz w:val="21"/>
              </w:rPr>
              <w:t>出型、突出型腰椎间盘突出</w:t>
            </w:r>
            <w:r>
              <w:rPr>
                <w:sz w:val="21"/>
              </w:rPr>
              <w:t>症</w:t>
            </w:r>
            <w:r>
              <w:rPr>
                <w:sz w:val="21"/>
              </w:rPr>
              <w:t>。</w:t>
            </w:r>
          </w:p>
          <w:p>
            <w:pPr>
              <w:jc w:val="both"/>
            </w:pPr>
            <w:r>
              <w:rPr>
                <w:sz w:val="21"/>
              </w:rPr>
              <w:t>▲</w:t>
            </w:r>
            <w:r>
              <w:rPr>
                <w:sz w:val="21"/>
              </w:rPr>
              <w:t>2.要求</w:t>
            </w:r>
            <w:r>
              <w:rPr>
                <w:sz w:val="21"/>
              </w:rPr>
              <w:t>床体具有电动倾斜功能：使减压后放松的椎旁肌肉逐渐适应抗重状态避免损伤，倾斜角度：</w:t>
            </w:r>
            <w:r>
              <w:rPr>
                <w:sz w:val="21"/>
              </w:rPr>
              <w:t>0°～63°</w:t>
            </w:r>
            <w:r>
              <w:rPr>
                <w:sz w:val="21"/>
              </w:rPr>
              <w:t>，</w:t>
            </w:r>
            <w:r>
              <w:rPr>
                <w:sz w:val="21"/>
              </w:rPr>
              <w:t>测量误差：</w:t>
            </w:r>
            <w:r>
              <w:rPr>
                <w:sz w:val="21"/>
              </w:rPr>
              <w:t>±5°；</w:t>
            </w:r>
          </w:p>
          <w:p>
            <w:pPr>
              <w:jc w:val="both"/>
            </w:pPr>
            <w:r>
              <w:rPr>
                <w:sz w:val="21"/>
              </w:rPr>
              <w:t>▲</w:t>
            </w:r>
            <w:r>
              <w:rPr>
                <w:sz w:val="21"/>
              </w:rPr>
              <w:t>3.</w:t>
            </w:r>
            <w:r>
              <w:rPr>
                <w:sz w:val="21"/>
              </w:rPr>
              <w:t>自动称重系统：体重测量范围：</w:t>
            </w:r>
            <w:r>
              <w:rPr>
                <w:sz w:val="21"/>
              </w:rPr>
              <w:t>5kg～181kg, 测量误差：±5%；</w:t>
            </w:r>
          </w:p>
          <w:p>
            <w:pPr>
              <w:jc w:val="both"/>
            </w:pPr>
            <w:r>
              <w:rPr>
                <w:sz w:val="21"/>
              </w:rPr>
              <w:t>4.</w:t>
            </w:r>
            <w:r>
              <w:rPr>
                <w:sz w:val="21"/>
              </w:rPr>
              <w:t>治疗床安全工作载荷：</w:t>
            </w:r>
            <w:r>
              <w:rPr>
                <w:sz w:val="21"/>
              </w:rPr>
              <w:t>≤200kg；</w:t>
            </w:r>
          </w:p>
          <w:p>
            <w:pPr>
              <w:jc w:val="both"/>
            </w:pPr>
            <w:r>
              <w:rPr>
                <w:sz w:val="21"/>
              </w:rPr>
              <w:t>▲</w:t>
            </w:r>
            <w:r>
              <w:rPr>
                <w:sz w:val="21"/>
              </w:rPr>
              <w:t>5.</w:t>
            </w:r>
            <w:r>
              <w:rPr>
                <w:sz w:val="21"/>
              </w:rPr>
              <w:t>分离式床体：</w:t>
            </w:r>
            <w:r>
              <w:rPr>
                <w:sz w:val="21"/>
              </w:rPr>
              <w:t>要求</w:t>
            </w:r>
            <w:r>
              <w:rPr>
                <w:sz w:val="21"/>
              </w:rPr>
              <w:t>符合人体工程学，兼顾患者安全舒适与治疗效果；</w:t>
            </w:r>
          </w:p>
          <w:p>
            <w:pPr>
              <w:jc w:val="both"/>
            </w:pPr>
            <w:r>
              <w:rPr>
                <w:sz w:val="21"/>
              </w:rPr>
              <w:t>▲</w:t>
            </w:r>
            <w:r>
              <w:rPr>
                <w:sz w:val="21"/>
              </w:rPr>
              <w:t>6.</w:t>
            </w:r>
            <w:r>
              <w:rPr>
                <w:sz w:val="21"/>
              </w:rPr>
              <w:t>气囊：床体具备可自动充放气气囊，维持腰部生理弯曲，支持腰椎减压定位；</w:t>
            </w:r>
          </w:p>
          <w:p>
            <w:pPr>
              <w:jc w:val="both"/>
            </w:pPr>
            <w:r>
              <w:rPr>
                <w:sz w:val="21"/>
              </w:rPr>
              <w:t>7.</w:t>
            </w:r>
            <w:r>
              <w:rPr>
                <w:sz w:val="21"/>
              </w:rPr>
              <w:t>手控操作器：床体配备遥控器，</w:t>
            </w:r>
            <w:r>
              <w:rPr>
                <w:sz w:val="21"/>
              </w:rPr>
              <w:t>要求</w:t>
            </w:r>
            <w:r>
              <w:rPr>
                <w:sz w:val="21"/>
              </w:rPr>
              <w:t>可快速实现对床位置、倾斜、分离功能、气囊充气的控制；</w:t>
            </w:r>
          </w:p>
          <w:p>
            <w:pPr>
              <w:jc w:val="both"/>
            </w:pPr>
            <w:r>
              <w:rPr>
                <w:sz w:val="21"/>
              </w:rPr>
              <w:t>8.</w:t>
            </w:r>
            <w:r>
              <w:rPr>
                <w:sz w:val="21"/>
              </w:rPr>
              <w:t>患者安全开关：安全开关按下后，终止治疗，牵引力松弛至初始状态，起保护作用；</w:t>
            </w:r>
          </w:p>
          <w:p>
            <w:pPr>
              <w:jc w:val="both"/>
            </w:pPr>
            <w:r>
              <w:rPr>
                <w:sz w:val="21"/>
              </w:rPr>
              <w:t>▲</w:t>
            </w:r>
            <w:r>
              <w:rPr>
                <w:sz w:val="21"/>
              </w:rPr>
              <w:t>9.</w:t>
            </w:r>
            <w:r>
              <w:rPr>
                <w:sz w:val="21"/>
              </w:rPr>
              <w:t>UPS 供电：可确保在断电情况下完成≥30分钟的治疗；</w:t>
            </w:r>
          </w:p>
          <w:p>
            <w:pPr>
              <w:jc w:val="both"/>
            </w:pPr>
            <w:r>
              <w:rPr>
                <w:sz w:val="21"/>
              </w:rPr>
              <w:t>▲</w:t>
            </w:r>
            <w:r>
              <w:rPr>
                <w:sz w:val="21"/>
              </w:rPr>
              <w:t>10.</w:t>
            </w:r>
            <w:r>
              <w:rPr>
                <w:sz w:val="21"/>
              </w:rPr>
              <w:t>娱乐系统：</w:t>
            </w:r>
            <w:r>
              <w:rPr>
                <w:sz w:val="21"/>
              </w:rPr>
              <w:t>具备</w:t>
            </w:r>
            <w:r>
              <w:rPr>
                <w:sz w:val="21"/>
              </w:rPr>
              <w:t>多媒体播放器、</w:t>
            </w:r>
            <w:r>
              <w:rPr>
                <w:sz w:val="21"/>
              </w:rPr>
              <w:t>USB接口；</w:t>
            </w:r>
          </w:p>
          <w:p>
            <w:pPr>
              <w:jc w:val="both"/>
            </w:pPr>
            <w:r>
              <w:rPr>
                <w:sz w:val="21"/>
              </w:rPr>
              <w:t>11.</w:t>
            </w:r>
            <w:r>
              <w:rPr>
                <w:sz w:val="21"/>
              </w:rPr>
              <w:t>娱乐系统显示器：</w:t>
            </w:r>
            <w:r>
              <w:rPr>
                <w:sz w:val="21"/>
              </w:rPr>
              <w:t>≥19寸；</w:t>
            </w:r>
          </w:p>
          <w:p>
            <w:pPr>
              <w:jc w:val="both"/>
            </w:pPr>
            <w:r>
              <w:rPr>
                <w:sz w:val="21"/>
              </w:rPr>
              <w:t>12.</w:t>
            </w:r>
            <w:r>
              <w:rPr>
                <w:sz w:val="21"/>
              </w:rPr>
              <w:t>操作屏幕：</w:t>
            </w:r>
            <w:r>
              <w:rPr>
                <w:sz w:val="21"/>
              </w:rPr>
              <w:t>≥15寸触摸屏操控；</w:t>
            </w:r>
          </w:p>
          <w:p>
            <w:pPr>
              <w:jc w:val="both"/>
            </w:pPr>
            <w:r>
              <w:rPr>
                <w:sz w:val="21"/>
              </w:rPr>
              <w:t>13.</w:t>
            </w:r>
            <w:r>
              <w:rPr>
                <w:sz w:val="21"/>
              </w:rPr>
              <w:t>操作界面：</w:t>
            </w:r>
            <w:r>
              <w:rPr>
                <w:sz w:val="21"/>
              </w:rPr>
              <w:t>要求</w:t>
            </w:r>
            <w:r>
              <w:rPr>
                <w:sz w:val="21"/>
              </w:rPr>
              <w:t>操作简单</w:t>
            </w:r>
            <w:r>
              <w:rPr>
                <w:sz w:val="21"/>
              </w:rPr>
              <w:t>快捷</w:t>
            </w:r>
            <w:r>
              <w:rPr>
                <w:sz w:val="21"/>
              </w:rPr>
              <w:t>；</w:t>
            </w:r>
          </w:p>
          <w:p>
            <w:pPr>
              <w:jc w:val="both"/>
            </w:pPr>
            <w:r>
              <w:rPr>
                <w:sz w:val="21"/>
              </w:rPr>
              <w:t>14.</w:t>
            </w:r>
            <w:r>
              <w:rPr>
                <w:sz w:val="21"/>
              </w:rPr>
              <w:t>治疗软件功能模块：病人信息档案管理模块、治疗及治疗方案控制模块、数据库管理模块、检测模块、系统状态监测等；</w:t>
            </w:r>
          </w:p>
          <w:p>
            <w:pPr>
              <w:jc w:val="both"/>
            </w:pPr>
            <w:r>
              <w:rPr>
                <w:sz w:val="21"/>
              </w:rPr>
              <w:t>15.</w:t>
            </w:r>
            <w:r>
              <w:rPr>
                <w:sz w:val="21"/>
              </w:rPr>
              <w:t>治疗参数显示：治疗实施载荷、实时循环时间、减压力实时载荷、腰平面治疗角度及设备运行情况相关参数；</w:t>
            </w:r>
          </w:p>
          <w:p>
            <w:pPr>
              <w:jc w:val="both"/>
            </w:pPr>
            <w:r>
              <w:rPr>
                <w:sz w:val="21"/>
              </w:rPr>
              <w:t>▲</w:t>
            </w:r>
            <w:r>
              <w:rPr>
                <w:sz w:val="21"/>
              </w:rPr>
              <w:t>16.</w:t>
            </w:r>
            <w:r>
              <w:rPr>
                <w:sz w:val="21"/>
              </w:rPr>
              <w:t>智能生成方案：</w:t>
            </w:r>
            <w:r>
              <w:rPr>
                <w:sz w:val="21"/>
              </w:rPr>
              <w:t>可</w:t>
            </w:r>
            <w:r>
              <w:rPr>
                <w:sz w:val="21"/>
              </w:rPr>
              <w:t>根据检测患者</w:t>
            </w:r>
            <w:r>
              <w:rPr>
                <w:sz w:val="21"/>
              </w:rPr>
              <w:t>的</w:t>
            </w:r>
            <w:r>
              <w:rPr>
                <w:sz w:val="21"/>
              </w:rPr>
              <w:t>体重智能制定个性化治疗方案；</w:t>
            </w:r>
          </w:p>
          <w:p>
            <w:pPr>
              <w:jc w:val="both"/>
            </w:pPr>
            <w:r>
              <w:rPr>
                <w:sz w:val="21"/>
              </w:rPr>
              <w:t>▲</w:t>
            </w:r>
            <w:r>
              <w:rPr>
                <w:sz w:val="21"/>
              </w:rPr>
              <w:t>17.</w:t>
            </w:r>
            <w:r>
              <w:rPr>
                <w:sz w:val="21"/>
              </w:rPr>
              <w:t>闭环式反馈系统，高精度传感器</w:t>
            </w:r>
            <w:r>
              <w:rPr>
                <w:sz w:val="21"/>
              </w:rPr>
              <w:t>(减压力信号实时纠正：≥13次/s)</w:t>
            </w:r>
            <w:r>
              <w:rPr>
                <w:sz w:val="21"/>
              </w:rPr>
              <w:t>，</w:t>
            </w:r>
            <w:r>
              <w:rPr>
                <w:sz w:val="21"/>
              </w:rPr>
              <w:t>实时反馈牵引力与被牵引组织对抗的信息，</w:t>
            </w:r>
            <w:r>
              <w:rPr>
                <w:sz w:val="21"/>
              </w:rPr>
              <w:t>能</w:t>
            </w:r>
            <w:r>
              <w:rPr>
                <w:sz w:val="21"/>
              </w:rPr>
              <w:t>调整牵引力大小；</w:t>
            </w:r>
          </w:p>
          <w:p>
            <w:pPr>
              <w:jc w:val="both"/>
            </w:pPr>
            <w:r>
              <w:rPr>
                <w:sz w:val="21"/>
              </w:rPr>
              <w:t>18.</w:t>
            </w:r>
            <w:r>
              <w:rPr>
                <w:sz w:val="21"/>
              </w:rPr>
              <w:t>精准力学控制</w:t>
            </w:r>
            <w:r>
              <w:rPr>
                <w:sz w:val="21"/>
              </w:rPr>
              <w:t>(载荷反馈精度：≤0.11b)；</w:t>
            </w:r>
          </w:p>
          <w:p>
            <w:pPr>
              <w:jc w:val="both"/>
            </w:pPr>
            <w:r>
              <w:rPr>
                <w:sz w:val="21"/>
              </w:rPr>
              <w:t>▲</w:t>
            </w:r>
            <w:r>
              <w:rPr>
                <w:sz w:val="21"/>
              </w:rPr>
              <w:t>19</w:t>
            </w:r>
            <w:r>
              <w:rPr>
                <w:sz w:val="21"/>
              </w:rPr>
              <w:t>.非线性对数治疗曲线：非线性对数作用力消除椎旁肌肉抵抗，使肌肉放松；</w:t>
            </w:r>
          </w:p>
          <w:p>
            <w:pPr>
              <w:jc w:val="both"/>
            </w:pPr>
            <w:r>
              <w:rPr>
                <w:sz w:val="21"/>
              </w:rPr>
              <w:t>▲</w:t>
            </w:r>
            <w:r>
              <w:rPr>
                <w:sz w:val="21"/>
              </w:rPr>
              <w:t>2</w:t>
            </w:r>
            <w:r>
              <w:rPr>
                <w:sz w:val="21"/>
              </w:rPr>
              <w:t>0</w:t>
            </w:r>
            <w:r>
              <w:rPr>
                <w:sz w:val="21"/>
              </w:rPr>
              <w:t>.实时显示减压力数值及曲线：预设方案数值、曲线；实时反馈数值、曲线；伺服纠正曲线；</w:t>
            </w:r>
          </w:p>
          <w:p>
            <w:pPr>
              <w:jc w:val="both"/>
            </w:pPr>
            <w:r>
              <w:rPr>
                <w:sz w:val="21"/>
              </w:rPr>
              <w:t>▲</w:t>
            </w:r>
            <w:r>
              <w:rPr>
                <w:sz w:val="21"/>
              </w:rPr>
              <w:t>2</w:t>
            </w:r>
            <w:r>
              <w:rPr>
                <w:sz w:val="21"/>
              </w:rPr>
              <w:t>1</w:t>
            </w:r>
            <w:r>
              <w:rPr>
                <w:sz w:val="21"/>
              </w:rPr>
              <w:t>.治疗角度的准确定位：可直接作用于所需治疗的腰椎椎节。减压角度设定：0°、10°、 15°、20°、23°、25°，可根据患者需要手动微调；</w:t>
            </w:r>
          </w:p>
          <w:p>
            <w:pPr>
              <w:jc w:val="both"/>
            </w:pPr>
            <w:r>
              <w:rPr>
                <w:sz w:val="21"/>
              </w:rPr>
              <w:t>2</w:t>
            </w:r>
            <w:r>
              <w:rPr>
                <w:sz w:val="21"/>
              </w:rPr>
              <w:t>2</w:t>
            </w:r>
            <w:r>
              <w:rPr>
                <w:sz w:val="21"/>
              </w:rPr>
              <w:t>.载荷（减压力）：0 N～667N, 误差：±10%；</w:t>
            </w:r>
          </w:p>
          <w:p>
            <w:pPr>
              <w:jc w:val="both"/>
            </w:pPr>
            <w:r>
              <w:rPr>
                <w:sz w:val="21"/>
              </w:rPr>
              <w:t>2</w:t>
            </w:r>
            <w:r>
              <w:rPr>
                <w:sz w:val="21"/>
              </w:rPr>
              <w:t>3</w:t>
            </w:r>
            <w:r>
              <w:rPr>
                <w:sz w:val="21"/>
              </w:rPr>
              <w:t>.减压距离（最大）：102mm，误差：±5mm；</w:t>
            </w:r>
          </w:p>
          <w:p>
            <w:pPr>
              <w:jc w:val="both"/>
            </w:pPr>
            <w:r>
              <w:rPr>
                <w:sz w:val="21"/>
              </w:rPr>
              <w:t>2</w:t>
            </w:r>
            <w:r>
              <w:rPr>
                <w:sz w:val="21"/>
              </w:rPr>
              <w:t>4</w:t>
            </w:r>
            <w:r>
              <w:rPr>
                <w:sz w:val="21"/>
              </w:rPr>
              <w:t>.减压时间设定范围：15min～30min；</w:t>
            </w:r>
          </w:p>
          <w:p>
            <w:pPr>
              <w:jc w:val="both"/>
            </w:pPr>
            <w:r>
              <w:rPr>
                <w:sz w:val="21"/>
              </w:rPr>
              <w:t>▲</w:t>
            </w:r>
            <w:r>
              <w:rPr>
                <w:sz w:val="21"/>
              </w:rPr>
              <w:t>2</w:t>
            </w:r>
            <w:r>
              <w:rPr>
                <w:sz w:val="21"/>
              </w:rPr>
              <w:t>5</w:t>
            </w:r>
            <w:r>
              <w:rPr>
                <w:sz w:val="21"/>
              </w:rPr>
              <w:t>.持续高负压效果：实现病患椎间隙持续高负压</w:t>
            </w:r>
            <w:r>
              <w:rPr>
                <w:sz w:val="21"/>
              </w:rPr>
              <w:t>。</w:t>
            </w:r>
          </w:p>
          <w:p>
            <w:pPr>
              <w:jc w:val="both"/>
            </w:pPr>
            <w:r>
              <w:rPr>
                <w:sz w:val="21"/>
              </w:rPr>
              <w:t>26.</w:t>
            </w:r>
            <w:r>
              <w:rPr>
                <w:sz w:val="21"/>
              </w:rPr>
              <w:t>工作条件</w:t>
            </w:r>
          </w:p>
          <w:p>
            <w:pPr>
              <w:jc w:val="both"/>
            </w:pPr>
            <w:r>
              <w:rPr>
                <w:sz w:val="21"/>
              </w:rPr>
              <w:t>26.1.</w:t>
            </w:r>
            <w:r>
              <w:rPr>
                <w:sz w:val="21"/>
              </w:rPr>
              <w:t>环境温度：</w:t>
            </w:r>
            <w:r>
              <w:rPr>
                <w:sz w:val="21"/>
              </w:rPr>
              <w:t>5℃～40℃；</w:t>
            </w:r>
          </w:p>
          <w:p>
            <w:pPr>
              <w:jc w:val="both"/>
            </w:pPr>
            <w:r>
              <w:rPr>
                <w:sz w:val="21"/>
              </w:rPr>
              <w:t>26.2.</w:t>
            </w:r>
            <w:r>
              <w:rPr>
                <w:sz w:val="21"/>
              </w:rPr>
              <w:t>相对湿度：</w:t>
            </w:r>
            <w:r>
              <w:rPr>
                <w:sz w:val="21"/>
              </w:rPr>
              <w:t>5%～95%；</w:t>
            </w:r>
          </w:p>
          <w:p>
            <w:pPr>
              <w:jc w:val="both"/>
            </w:pPr>
            <w:r>
              <w:rPr>
                <w:sz w:val="21"/>
              </w:rPr>
              <w:t>26.3.</w:t>
            </w:r>
            <w:r>
              <w:rPr>
                <w:sz w:val="21"/>
              </w:rPr>
              <w:t>大气压力：</w:t>
            </w:r>
            <w:r>
              <w:rPr>
                <w:sz w:val="21"/>
              </w:rPr>
              <w:t>86kPa～106kPa；</w:t>
            </w:r>
          </w:p>
          <w:p>
            <w:pPr>
              <w:jc w:val="both"/>
            </w:pPr>
            <w:r>
              <w:rPr>
                <w:sz w:val="21"/>
              </w:rPr>
              <w:t>26.4.</w:t>
            </w:r>
            <w:r>
              <w:rPr>
                <w:sz w:val="21"/>
              </w:rPr>
              <w:t>供电电源：交流电</w:t>
            </w:r>
            <w:r>
              <w:rPr>
                <w:sz w:val="21"/>
              </w:rPr>
              <w:t>100v～250v,50Hz±1HZ或者60HZ±1HZ；</w:t>
            </w:r>
          </w:p>
          <w:p>
            <w:pPr>
              <w:jc w:val="both"/>
            </w:pPr>
            <w:r>
              <w:rPr>
                <w:sz w:val="21"/>
              </w:rPr>
              <w:t>26.5.</w:t>
            </w:r>
            <w:r>
              <w:rPr>
                <w:sz w:val="21"/>
              </w:rPr>
              <w:t>输入功率：</w:t>
            </w:r>
            <w:r>
              <w:rPr>
                <w:sz w:val="21"/>
              </w:rPr>
              <w:t>≥600VA；</w:t>
            </w:r>
          </w:p>
          <w:p>
            <w:pPr>
              <w:jc w:val="both"/>
            </w:pPr>
            <w:r>
              <w:rPr>
                <w:sz w:val="21"/>
              </w:rPr>
              <w:t>26.6.</w:t>
            </w:r>
            <w:r>
              <w:rPr>
                <w:sz w:val="21"/>
              </w:rPr>
              <w:t>尺寸：</w:t>
            </w:r>
            <w:r>
              <w:rPr>
                <w:sz w:val="21"/>
              </w:rPr>
              <w:t>≥28</w:t>
            </w:r>
            <w:r>
              <w:rPr>
                <w:sz w:val="21"/>
              </w:rPr>
              <w:t>5</w:t>
            </w:r>
            <w:r>
              <w:rPr>
                <w:sz w:val="21"/>
              </w:rPr>
              <w:t>0mm×850mm×22</w:t>
            </w:r>
            <w:r>
              <w:rPr>
                <w:sz w:val="21"/>
              </w:rPr>
              <w:t>0</w:t>
            </w:r>
            <w:r>
              <w:rPr>
                <w:sz w:val="21"/>
              </w:rPr>
              <w:t>0mm；</w:t>
            </w:r>
          </w:p>
          <w:p>
            <w:pPr>
              <w:jc w:val="both"/>
            </w:pPr>
            <w:r>
              <w:rPr>
                <w:sz w:val="21"/>
              </w:rPr>
              <w:t>26.7.</w:t>
            </w:r>
            <w:r>
              <w:rPr>
                <w:sz w:val="21"/>
              </w:rPr>
              <w:t>重量：</w:t>
            </w:r>
            <w:r>
              <w:rPr>
                <w:sz w:val="21"/>
              </w:rPr>
              <w:t>≤58</w:t>
            </w:r>
            <w:r>
              <w:rPr>
                <w:sz w:val="21"/>
              </w:rPr>
              <w:t>0</w:t>
            </w:r>
            <w:r>
              <w:rPr>
                <w:sz w:val="21"/>
              </w:rPr>
              <w:t>KG；</w:t>
            </w:r>
          </w:p>
          <w:p>
            <w:pPr>
              <w:jc w:val="both"/>
            </w:pPr>
            <w:r>
              <w:rPr>
                <w:sz w:val="21"/>
              </w:rPr>
              <w:t>27.配置要求</w:t>
            </w:r>
          </w:p>
          <w:tbl>
            <w:tblPr>
              <w:tblInd w:type="dxa" w:w="150"/>
              <w:tblBorders>
                <w:top w:val="none" w:color="000000" w:sz="4"/>
                <w:left w:val="none" w:color="000000" w:sz="4"/>
                <w:bottom w:val="none" w:color="000000" w:sz="4"/>
                <w:right w:val="none" w:color="000000" w:sz="4"/>
                <w:insideH w:val="none"/>
                <w:insideV w:val="none"/>
              </w:tblBorders>
            </w:tblPr>
            <w:tblGrid>
              <w:gridCol w:w="954"/>
              <w:gridCol w:w="1676"/>
              <w:gridCol w:w="2968"/>
            </w:tblGrid>
            <w:tr>
              <w:tc>
                <w:tcPr>
                  <w:tcW w:type="dxa" w:w="954"/>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1676"/>
                  <w:tcBorders>
                    <w:top w:val="single" w:color="000000" w:sz="4"/>
                    <w:left w:val="single" w:color="000000" w:sz="4"/>
                    <w:bottom w:val="single" w:color="000000" w:sz="4"/>
                    <w:right w:val="single" w:color="000000" w:sz="4"/>
                  </w:tcBorders>
                  <w:vAlign w:val="top"/>
                </w:tcPr>
                <w:p>
                  <w:pPr>
                    <w:jc w:val="center"/>
                  </w:pPr>
                  <w:r>
                    <w:rPr>
                      <w:sz w:val="21"/>
                    </w:rPr>
                    <w:t>内容</w:t>
                  </w:r>
                </w:p>
              </w:tc>
              <w:tc>
                <w:tcPr>
                  <w:tcW w:type="dxa" w:w="2968"/>
                  <w:tcBorders>
                    <w:top w:val="single" w:color="000000" w:sz="4"/>
                    <w:left w:val="single" w:color="000000" w:sz="4"/>
                    <w:bottom w:val="single" w:color="000000" w:sz="4"/>
                    <w:right w:val="single" w:color="000000" w:sz="4"/>
                  </w:tcBorders>
                  <w:vAlign w:val="top"/>
                </w:tcPr>
                <w:p>
                  <w:pPr>
                    <w:jc w:val="center"/>
                  </w:pPr>
                  <w:r>
                    <w:rPr>
                      <w:sz w:val="21"/>
                    </w:rPr>
                    <w:t>数量</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27.1</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主机</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1台</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27.2</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床体</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1台</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27.3</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基座</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1个</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27.4</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显示器罩</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1个</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27.5</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固定带</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1套，（5种型号XL/L/M/S/XS)</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27.6</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头枕</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1个</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27.7</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膝垫</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1个</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27.8</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耳机</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1个</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27.9</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梨形挂件</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1件</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27.10</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患者安全开关</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1个</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27.11</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U盘</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1个</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27.12</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UPS</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1个</w:t>
                  </w:r>
                </w:p>
              </w:tc>
            </w:tr>
            <w:tr>
              <w:tc>
                <w:tcPr>
                  <w:tcW w:type="dxa" w:w="954"/>
                  <w:tcBorders>
                    <w:top w:val="none" w:color="000000" w:sz="4"/>
                    <w:left w:val="single" w:color="000000" w:sz="4"/>
                    <w:bottom w:val="single" w:color="000000" w:sz="4"/>
                    <w:right w:val="single" w:color="000000" w:sz="4"/>
                  </w:tcBorders>
                  <w:vAlign w:val="top"/>
                </w:tcPr>
                <w:p>
                  <w:pPr>
                    <w:jc w:val="center"/>
                  </w:pPr>
                  <w:r>
                    <w:rPr>
                      <w:sz w:val="21"/>
                    </w:rPr>
                    <w:t>27.13</w:t>
                  </w:r>
                </w:p>
              </w:tc>
              <w:tc>
                <w:tcPr>
                  <w:tcW w:type="dxa" w:w="1676"/>
                  <w:tcBorders>
                    <w:top w:val="none" w:color="000000" w:sz="4"/>
                    <w:left w:val="single" w:color="000000" w:sz="4"/>
                    <w:bottom w:val="single" w:color="000000" w:sz="4"/>
                    <w:right w:val="single" w:color="000000" w:sz="4"/>
                  </w:tcBorders>
                  <w:vAlign w:val="top"/>
                </w:tcPr>
                <w:p>
                  <w:pPr>
                    <w:jc w:val="center"/>
                  </w:pPr>
                  <w:r>
                    <w:rPr>
                      <w:sz w:val="21"/>
                    </w:rPr>
                    <w:t>遥控器</w:t>
                  </w:r>
                </w:p>
              </w:tc>
              <w:tc>
                <w:tcPr>
                  <w:tcW w:type="dxa" w:w="2968"/>
                  <w:tcBorders>
                    <w:top w:val="none" w:color="000000" w:sz="4"/>
                    <w:left w:val="single" w:color="000000" w:sz="4"/>
                    <w:bottom w:val="single" w:color="000000" w:sz="4"/>
                    <w:right w:val="single" w:color="000000" w:sz="4"/>
                  </w:tcBorders>
                  <w:vAlign w:val="top"/>
                </w:tcPr>
                <w:p>
                  <w:pPr>
                    <w:jc w:val="center"/>
                  </w:pPr>
                  <w:r>
                    <w:rPr>
                      <w:sz w:val="21"/>
                    </w:rPr>
                    <w:t>1个</w:t>
                  </w:r>
                </w:p>
              </w:tc>
            </w:tr>
          </w:tbl>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中山市石岐苏华赞医院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857号）及《关于进一步放开建设项目专业服务价格的通知》（发改价格〔2015〕299号）招标代理服务费标准收取。若招标服务费不足人民币5000元的，按人民币5000元收取。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 押融资业务的银行机构报备的联系方式如下：政府采购质押融资业务的银行机构联系 人名单序号银行机构经办部门联系人联系方式 1）中国农业发展银行中山市分行客户业务部邹可仕 188025 98981 信贷与风险管理部 陈小龙 15889891688 2） 中国工商银行中山分行普 惠金融事业部 陈炳 菁 18928108782 普惠金融事业部 杨培鹏 15900085352 3）中国农业银行 中山分行 普惠金融事 业部 赖思韵 226446824）广发银行中山分行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13928142042、0760-87911808 14）华夏银行中山分行 营 销管理部 叶怡 28137 855 15）东莞银行中山分行 业务部赵荣耀 13042854636/86939959 16）东亚银行（中国）有限公司中山支行 中山支行 王 涛89986282/18926998881 17）浦发银行中山分行 交易银行部 付涛 0760-89982303 3、 中小微企业有融资需求的，可通过应收账款融资服务平台（网址：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腰椎脊柱非手术减压治疗系统)：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采购包1（腰椎脊柱非手术减压治疗系统）：</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采购包1（腰椎脊柱非手术减压治疗系统）：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提供2021年或2022年度财务状况报告或投标截止日前12个月内任意1个月的财务报表复印件，财务报表须包含资产负债表、利润表或银行出具的资信证明材料复印件。</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请在投标文件里提供承诺书或者说明书。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特定资格要求</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采购包1（腰椎脊柱非手术减压治疗系统）：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实质性响应要求</w:t>
            </w:r>
          </w:p>
        </w:tc>
        <w:tc>
          <w:tcPr>
            <w:tcW w:type="dxa" w:w="4238"/>
          </w:tcPr>
          <w:p>
            <w:r>
              <w:rPr/>
              <w:t>实质性满足采购需求中的付款方式、报价要求、履约保证金条款要求。</w:t>
            </w:r>
          </w:p>
        </w:tc>
      </w:tr>
      <w:tr>
        <w:tc>
          <w:tcPr>
            <w:tcW w:type="dxa" w:w="890"/>
          </w:tcPr>
          <w:p>
            <w:r>
              <w:rPr/>
              <w:t>7</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采购包1(腰椎脊柱非手术减压治疗系统):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商务部分7.0分</w:t>
            </w:r>
          </w:p>
          <w:p>
            <w:r>
              <w:rPr/>
              <w:t>技术部分63.0分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中的“具体技术(参数)要求”条款的响应情况 (35.0分)</w:t>
            </w:r>
          </w:p>
        </w:tc>
        <w:tc>
          <w:tcPr>
            <w:tcW w:type="dxa" w:w="5076"/>
          </w:tcPr>
          <w:p>
            <w:pPr>
              <w:jc w:val="left"/>
            </w:pPr>
            <w:r>
              <w:rPr/>
              <w:t>考核投标人对招标文件第二章《采购需求》中具体技术(参数)要求（★号条款除外）”中所有条款的响应程度（每条条款最小一级序号均以一项计算）：   1.完全响应技术要求的得35分；   2.本项目“▲”条款参数共12条。按量化指标，评审分数按以下公式进行计算： 优于或完全响应的参数数量/“▲”参数总数量*20分=“▲”条款参数得分；本小项共20分；   3.本项目非“▲”条款参数共33条。按量化指标，评审分数按以下公式进行计算： 优于或完全响应的参数数量/非“▲”参数总数量*15分=非 “▲”条款参数得分。本小项共15分。    注：1.“▲”条款参数和非“▲”条款参数计算得分按四舍五入保留2位小数；  2.评审依据以投标人投标文件中《技术与服务要求响应表》填写内容为准，未填写的视为负偏离。投标文件中必须提供不限于原厂彩页证明文件、技术白皮书、产品功能界面截图、检测报告等可证实参数真实有效性的产品技术支持文件。所提供的支持文件应包括所有参数，并有清晰的说明，提供的证明材料如果是英文的必须提供有资质的单位翻译成的中文材料，以翻译后的中文材料内容为准。如评标委员会无法从所提供资料中判断参数是否符合要求的，视为负偏离。   3.如采购需求中有明确要求提供具体证明资料的，必须按采购需求单独（额外）提供。 4.以上三款要求，投标人无提供或未按要求提供材料的不得分。</w:t>
            </w:r>
          </w:p>
        </w:tc>
      </w:tr>
      <w:tr>
        <w:tc>
          <w:tcPr>
            <w:tcW w:type="dxa" w:w="922"/>
            <w:gridSpan w:val="2"/>
            <w:vMerge/>
          </w:tcPr>
          <w:p/>
        </w:tc>
        <w:tc>
          <w:tcPr>
            <w:tcW w:type="dxa" w:w="2307"/>
          </w:tcPr>
          <w:p>
            <w:pPr>
              <w:jc w:val="left"/>
            </w:pPr>
            <w:r>
              <w:rPr/>
              <w:t>安装、检测、验收、培训计划 (10.0分)</w:t>
            </w:r>
            <w:r>
              <w:rPr/>
              <w:t>，（等次分值选择：</w:t>
            </w:r>
            <w:r>
              <w:rPr/>
              <w:t>0.0;</w:t>
            </w:r>
            <w:r>
              <w:rPr/>
              <w:t>1.0;</w:t>
            </w:r>
            <w:r>
              <w:rPr/>
              <w:t>4.0;</w:t>
            </w:r>
            <w:r>
              <w:rPr/>
              <w:t>7.0;</w:t>
            </w:r>
            <w:r>
              <w:rPr/>
              <w:t>10.0;</w:t>
            </w:r>
            <w:r>
              <w:rPr/>
              <w:t>）</w:t>
            </w:r>
          </w:p>
        </w:tc>
        <w:tc>
          <w:tcPr>
            <w:tcW w:type="dxa" w:w="5076"/>
          </w:tcPr>
          <w:p>
            <w:pPr>
              <w:jc w:val="left"/>
            </w:pPr>
            <w:r>
              <w:rPr/>
              <w:t>根据投标人针对本项目拟提供的产品的安装、检测、验收、技术人员培训计划等进行评审，方案内容至少包括：  ①产品安装方案的拟定； ②产品检测方案； ③产品验收措施计划； ④针对拟投入本项目技术人员、医院使用科室操作人员的培训。  1.提供的方案包含评审要求的全部内容，有专门针对本项目安装、产品检测、验收措施及人员培训的方案，条理非常清晰，脉络分明，操作性强，得10分；  2.提供的方案包含评审要求的全部内容，有专门针对本项目安装、产品检测、验收措施及人员培训的方案，条理较清晰，脉络较分明，操作性较强，得7分；   3.提供的方案基本包含评审要求的内容，有专门针对本项目安装、产品检测、验收措施及人员培训的方案，条理性一般，脉络不够分明，操作性一般，得4分；  4.提供的方案内容有缺漏，安装、产品检测、验收措施及人员培训的方案针对性差，条理模糊，脉络不够分明，操作性差，得1分；  5.未提供相关方案和计划，得0分。</w:t>
            </w:r>
          </w:p>
        </w:tc>
      </w:tr>
      <w:tr>
        <w:tc>
          <w:tcPr>
            <w:tcW w:type="dxa" w:w="922"/>
            <w:gridSpan w:val="2"/>
            <w:vMerge/>
          </w:tcPr>
          <w:p/>
        </w:tc>
        <w:tc>
          <w:tcPr>
            <w:tcW w:type="dxa" w:w="2307"/>
          </w:tcPr>
          <w:p>
            <w:pPr>
              <w:jc w:val="left"/>
            </w:pPr>
            <w:r>
              <w:rPr/>
              <w:t>产品的配置、选型及性能 (8.0分)</w:t>
            </w:r>
            <w:r>
              <w:rPr/>
              <w:t>，（等次分值选择：</w:t>
            </w:r>
            <w:r>
              <w:rPr/>
              <w:t>0.0;</w:t>
            </w:r>
            <w:r>
              <w:rPr/>
              <w:t>2.0;</w:t>
            </w:r>
            <w:r>
              <w:rPr/>
              <w:t>4.0;</w:t>
            </w:r>
            <w:r>
              <w:rPr/>
              <w:t>6.0;</w:t>
            </w:r>
            <w:r>
              <w:rPr/>
              <w:t>8.0;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1.所投产品的配置完全满足或优于招标文件要求，选型及性能非常好，完全能满足采购人需求，得8分；  2.所投产品的配置基本满足招标文件要求，选型及性能比较好，比较能满足采购人需求，得6分；  3.所投产品的配置勉强满足招标文件要求，选型及性能一般，勉强能满足采购人需求，得4分；   4.所投产品的配置不能满足招标文件要求，选型及性能不太好，不能满足采购人需求，得2分；  5.未提供得0分。</w:t>
            </w:r>
          </w:p>
        </w:tc>
      </w:tr>
      <w:tr>
        <w:tc>
          <w:tcPr>
            <w:tcW w:type="dxa" w:w="922"/>
            <w:gridSpan w:val="2"/>
            <w:vMerge/>
          </w:tcPr>
          <w:p/>
        </w:tc>
        <w:tc>
          <w:tcPr>
            <w:tcW w:type="dxa" w:w="2307"/>
          </w:tcPr>
          <w:p>
            <w:pPr>
              <w:jc w:val="left"/>
            </w:pPr>
            <w:r>
              <w:rPr/>
              <w:t>服务响应、售后及应急措施方案 (10.0分)</w:t>
            </w:r>
            <w:r>
              <w:rPr/>
              <w:t>，（等次分值选择：</w:t>
            </w:r>
            <w:r>
              <w:rPr/>
              <w:t>0.0;</w:t>
            </w:r>
            <w:r>
              <w:rPr/>
              <w:t>1.0;</w:t>
            </w:r>
            <w:r>
              <w:rPr/>
              <w:t>4.0;</w:t>
            </w:r>
            <w:r>
              <w:rPr/>
              <w:t>7.0;</w:t>
            </w:r>
            <w:r>
              <w:rPr/>
              <w:t>10.0;</w:t>
            </w:r>
            <w:r>
              <w:rPr/>
              <w:t>）</w:t>
            </w:r>
          </w:p>
        </w:tc>
        <w:tc>
          <w:tcPr>
            <w:tcW w:type="dxa" w:w="5076"/>
          </w:tcPr>
          <w:p>
            <w:pPr>
              <w:jc w:val="left"/>
            </w:pPr>
            <w:r>
              <w:rPr/>
              <w:t>评委对各投标人服务响应、售后及应急措施方案（含服务响应时间，保修、维护、服务、技术支持措施计划和承诺，应急方案等）进行评审： 1.方案内容无缺漏，服务响应时间满足或优于招标文件要求；有详细具体可行的保修、维护、服务、技术支持措施计划和承诺，处理问题能力强，售后及保修期内的服务方案优；应急措施方案非常周全、详尽、可行，得10分；  2.方案内容无缺漏，服务响应时间满足招标文件要求；有比较详细具体可行的保修、维护、服务、技术支持措施计划和承诺，处理问题能力较强，售后及保修期内的服务方案较好；应急措施方案比较周全、详尽、可行，得7分；  3.方案内容无缺漏，服务响应时间基本满足招标文件要求；保修、维护、服务、技术支持措施计划和承诺可行性一般，售后及保修期内的服务方案一般；应急措施方案可行性一般，得4分；  4.方案内容有缺漏或服务响应时间未能满足招标文件要求；保修、维护、服务、技术支持措施计划和承诺不太可行，售后及保修期内的服务方案不够具体；应急措施方案不太可行，得1分；  5.未提供方案得0分。</w:t>
            </w:r>
          </w:p>
        </w:tc>
      </w:tr>
      <w:tr>
        <w:tc>
          <w:tcPr>
            <w:tcW w:type="dxa" w:w="922"/>
            <w:gridSpan w:val="2"/>
            <w:vMerge w:val="restart"/>
          </w:tcPr>
          <w:p>
            <w:pPr>
              <w:jc w:val="center"/>
            </w:pPr>
            <w:r>
              <w:rPr/>
              <w:t>商务部分</w:t>
            </w:r>
          </w:p>
        </w:tc>
        <w:tc>
          <w:tcPr>
            <w:tcW w:type="dxa" w:w="2307"/>
          </w:tcPr>
          <w:p>
            <w:pPr>
              <w:jc w:val="left"/>
            </w:pPr>
            <w:r>
              <w:rPr/>
              <w:t>同类项目业绩 (4.0分)</w:t>
            </w:r>
          </w:p>
        </w:tc>
        <w:tc>
          <w:tcPr>
            <w:tcW w:type="dxa" w:w="5076"/>
          </w:tcPr>
          <w:p>
            <w:pPr>
              <w:jc w:val="left"/>
            </w:pPr>
            <w:r>
              <w:rPr/>
              <w:t>评标委员会应根据投标人提供的同类业绩情况进行评审： 2020年1月1日以来（以合同签订日期为准）投标人承接的同类项目业绩，按以下要求提供1个项目业绩得1分，最高得4分。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》里客户名称、项目名称及合同金额、签订合同时间为必填项；关键页内容必须清晰阐明项目名称、双方单位名称、合同签订日期、合同履行主要内容），未按要求提供的得0分。</w:t>
            </w:r>
          </w:p>
        </w:tc>
      </w:tr>
      <w:tr>
        <w:tc>
          <w:tcPr>
            <w:tcW w:type="dxa" w:w="922"/>
            <w:gridSpan w:val="2"/>
            <w:vMerge/>
          </w:tcPr>
          <w:p/>
        </w:tc>
        <w:tc>
          <w:tcPr>
            <w:tcW w:type="dxa" w:w="2307"/>
          </w:tcPr>
          <w:p>
            <w:pPr>
              <w:jc w:val="left"/>
            </w:pPr>
            <w:r>
              <w:rPr/>
              <w:t>管理体系认证 (3.0分)</w:t>
            </w:r>
          </w:p>
        </w:tc>
        <w:tc>
          <w:tcPr>
            <w:tcW w:type="dxa" w:w="5076"/>
          </w:tcPr>
          <w:p>
            <w:pPr>
              <w:jc w:val="left"/>
            </w:pPr>
            <w:r>
              <w:rPr/>
              <w:t>1.质量管理体系认证证书（1分）；  2.环境管理体系认证证书（1分）；  3.职业健康安全管理体系认证证书（1分）。   注：投标人或所投设备生产厂家具备以上证书，每提供一个证书得1分，满分3分。 提供有效期内的证书复印件并加盖投标人的公章，不按要求提供不得分。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sz w:val="48"/>
        </w:rPr>
        <w:t xml:space="preserve"> </w:t>
      </w:r>
    </w:p>
    <w:p>
      <w:pPr>
        <w:jc w:val="center"/>
      </w:pPr>
      <w:r>
        <w:rPr>
          <w:b/>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b/>
          <w:sz w:val="32"/>
        </w:rPr>
        <w:t>采购合同</w:t>
      </w:r>
    </w:p>
    <w:p>
      <w:pPr>
        <w:ind w:firstLine="480"/>
        <w:jc w:val="left"/>
      </w:pPr>
      <w:r>
        <w:rPr>
          <w:sz w:val="24"/>
        </w:rPr>
        <w:t>合同编号：</w:t>
      </w:r>
    </w:p>
    <w:p>
      <w:pPr>
        <w:ind w:firstLine="480"/>
        <w:jc w:val="left"/>
      </w:pPr>
      <w:r>
        <w:rPr>
          <w:sz w:val="24"/>
        </w:rPr>
        <w:t>签约地点：中山市石岐苏华赞医院</w:t>
      </w:r>
    </w:p>
    <w:p>
      <w:pPr>
        <w:ind w:firstLine="480"/>
        <w:jc w:val="left"/>
      </w:pPr>
      <w:r>
        <w:rPr>
          <w:sz w:val="24"/>
        </w:rPr>
        <w:t>甲方：中山市石岐苏华赞医院</w:t>
      </w:r>
    </w:p>
    <w:p>
      <w:pPr>
        <w:ind w:firstLine="480"/>
        <w:jc w:val="left"/>
      </w:pPr>
      <w:r>
        <w:rPr>
          <w:sz w:val="24"/>
        </w:rPr>
        <w:t>乙方：</w:t>
      </w:r>
    </w:p>
    <w:p>
      <w:pPr>
        <w:ind w:firstLine="480"/>
        <w:jc w:val="left"/>
      </w:pPr>
      <w:r>
        <w:rPr>
          <w:sz w:val="24"/>
        </w:rPr>
        <w:t>经评审乙方是《</w:t>
      </w:r>
      <w:r>
        <w:rPr>
          <w:sz w:val="24"/>
        </w:rPr>
        <w:t>中山市石岐苏华赞医院腰椎脊柱非手术减压治疗系统采购项目</w:t>
      </w:r>
      <w:r>
        <w:rPr>
          <w:sz w:val="24"/>
        </w:rPr>
        <w:t>采购项目》的中标供应商（），依照《中华人民共和国民法典》有关规定，双方在平等、自愿、协商一致的基础上，就中山市石岐苏华赞医院（以下简称甲方）向</w:t>
      </w:r>
      <w:r>
        <w:rPr>
          <w:sz w:val="21"/>
          <w:u w:val="single"/>
        </w:rPr>
        <w:t xml:space="preserve">             </w:t>
      </w:r>
      <w:r>
        <w:rPr>
          <w:sz w:val="24"/>
        </w:rPr>
        <w:t>公司（以下简称乙方）采购设备的相关事宜，达成如下协议，以兹共同遵守。</w:t>
      </w:r>
    </w:p>
    <w:p>
      <w:pPr>
        <w:ind w:firstLine="482"/>
        <w:jc w:val="both"/>
      </w:pPr>
      <w:r>
        <w:rPr>
          <w:b/>
          <w:sz w:val="24"/>
        </w:rPr>
        <w:t>1</w:t>
      </w:r>
      <w:r>
        <w:rPr>
          <w:b/>
          <w:sz w:val="24"/>
        </w:rPr>
        <w:t>、合同设备</w:t>
      </w:r>
    </w:p>
    <w:p>
      <w:pPr>
        <w:ind w:firstLine="480"/>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38"/>
        <w:gridCol w:w="1038"/>
        <w:gridCol w:w="1038"/>
        <w:gridCol w:w="1038"/>
        <w:gridCol w:w="1038"/>
        <w:gridCol w:w="1038"/>
        <w:gridCol w:w="1038"/>
        <w:gridCol w:w="1038"/>
      </w:tblGrid>
      <w:tr>
        <w:tc>
          <w:tcPr>
            <w:tcW w:type="dxa" w:w="1038"/>
            <w:tcBorders>
              <w:top w:val="single" w:color="000000" w:sz="4"/>
              <w:left w:val="single" w:color="000000" w:sz="4"/>
              <w:bottom w:val="single" w:color="000000" w:sz="4"/>
              <w:right w:val="single" w:color="000000" w:sz="4"/>
            </w:tcBorders>
            <w:vAlign w:val="top"/>
          </w:tcPr>
          <w:p>
            <w:pPr>
              <w:jc w:val="center"/>
            </w:pPr>
            <w:r>
              <w:rPr>
                <w:sz w:val="24"/>
              </w:rPr>
              <w:t>货物名称</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规格型号</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产地品牌</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详细配置</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单位</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数量</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单价</w:t>
            </w:r>
          </w:p>
        </w:tc>
        <w:tc>
          <w:tcPr>
            <w:tcW w:type="dxa" w:w="1038"/>
            <w:tcBorders>
              <w:top w:val="single" w:color="000000" w:sz="4"/>
              <w:left w:val="none" w:color="000000" w:sz="4"/>
              <w:bottom w:val="single" w:color="000000" w:sz="4"/>
              <w:right w:val="single" w:color="000000" w:sz="4"/>
            </w:tcBorders>
            <w:vAlign w:val="top"/>
          </w:tcPr>
          <w:p>
            <w:pPr>
              <w:jc w:val="center"/>
            </w:pPr>
            <w:r>
              <w:rPr>
                <w:sz w:val="24"/>
              </w:rPr>
              <w:t>总价</w:t>
            </w:r>
          </w:p>
        </w:tc>
      </w:tr>
      <w:tr>
        <w:tc>
          <w:tcPr>
            <w:tcW w:type="dxa" w:w="1038"/>
            <w:tcBorders>
              <w:top w:val="none" w:color="000000" w:sz="4"/>
              <w:left w:val="singl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left"/>
            </w:pPr>
          </w:p>
        </w:tc>
        <w:tc>
          <w:tcPr>
            <w:tcW w:type="dxa" w:w="1038"/>
            <w:tcBorders>
              <w:top w:val="none" w:color="000000" w:sz="4"/>
              <w:left w:val="none" w:color="000000" w:sz="4"/>
              <w:bottom w:val="single" w:color="000000" w:sz="4"/>
              <w:right w:val="single" w:color="000000" w:sz="4"/>
            </w:tcBorders>
            <w:vAlign w:val="top"/>
          </w:tcPr>
          <w:p>
            <w:pPr>
              <w:jc w:val="center"/>
            </w:pPr>
          </w:p>
        </w:tc>
        <w:tc>
          <w:tcPr>
            <w:tcW w:type="dxa" w:w="1038"/>
            <w:tcBorders>
              <w:top w:val="none" w:color="000000" w:sz="4"/>
              <w:left w:val="none" w:color="000000" w:sz="4"/>
              <w:bottom w:val="single" w:color="000000" w:sz="4"/>
              <w:right w:val="single" w:color="000000" w:sz="4"/>
            </w:tcBorders>
            <w:vAlign w:val="top"/>
          </w:tcPr>
          <w:p>
            <w:pPr>
              <w:jc w:val="center"/>
            </w:pPr>
            <w:r>
              <w:rPr>
                <w:sz w:val="24"/>
              </w:rPr>
              <w:t>详见附件配置及技术参数</w:t>
            </w:r>
          </w:p>
        </w:tc>
        <w:tc>
          <w:tcPr>
            <w:tcW w:type="dxa" w:w="1038"/>
            <w:tcBorders>
              <w:top w:val="none" w:color="000000" w:sz="4"/>
              <w:left w:val="none" w:color="000000" w:sz="4"/>
              <w:bottom w:val="single" w:color="000000" w:sz="4"/>
              <w:right w:val="single" w:color="000000" w:sz="4"/>
            </w:tcBorders>
            <w:vAlign w:val="top"/>
          </w:tcPr>
          <w:p>
            <w:pPr>
              <w:jc w:val="center"/>
            </w:pPr>
            <w:r>
              <w:rPr>
                <w:sz w:val="24"/>
              </w:rPr>
              <w:t>套</w:t>
            </w:r>
          </w:p>
        </w:tc>
        <w:tc>
          <w:tcPr>
            <w:tcW w:type="dxa" w:w="1038"/>
            <w:tcBorders>
              <w:top w:val="none" w:color="000000" w:sz="4"/>
              <w:left w:val="none" w:color="000000" w:sz="4"/>
              <w:bottom w:val="single" w:color="000000" w:sz="4"/>
              <w:right w:val="single" w:color="000000" w:sz="4"/>
            </w:tcBorders>
            <w:vAlign w:val="top"/>
          </w:tcPr>
          <w:p>
            <w:pPr>
              <w:jc w:val="center"/>
            </w:pPr>
            <w:r>
              <w:rPr>
                <w:sz w:val="24"/>
              </w:rPr>
              <w:t>1</w:t>
            </w:r>
          </w:p>
        </w:tc>
        <w:tc>
          <w:tcPr>
            <w:tcW w:type="dxa" w:w="1038"/>
            <w:tcBorders>
              <w:top w:val="none" w:color="000000" w:sz="4"/>
              <w:left w:val="none" w:color="000000" w:sz="4"/>
              <w:bottom w:val="single" w:color="000000" w:sz="4"/>
              <w:right w:val="single" w:color="000000" w:sz="4"/>
            </w:tcBorders>
            <w:vAlign w:val="top"/>
          </w:tcPr>
          <w:p>
            <w:pPr>
              <w:jc w:val="center"/>
            </w:pPr>
            <w:r>
              <w:rPr>
                <w:color w:val="000000"/>
                <w:sz w:val="24"/>
              </w:rPr>
              <w:t>¥</w:t>
            </w:r>
          </w:p>
        </w:tc>
        <w:tc>
          <w:tcPr>
            <w:tcW w:type="dxa" w:w="1038"/>
            <w:tcBorders>
              <w:top w:val="none" w:color="000000" w:sz="4"/>
              <w:left w:val="none" w:color="000000" w:sz="4"/>
              <w:bottom w:val="single" w:color="000000" w:sz="4"/>
              <w:right w:val="single" w:color="000000" w:sz="4"/>
            </w:tcBorders>
            <w:vAlign w:val="top"/>
          </w:tcPr>
          <w:p>
            <w:pPr>
              <w:jc w:val="center"/>
            </w:pPr>
            <w:r>
              <w:rPr>
                <w:color w:val="000000"/>
                <w:sz w:val="24"/>
              </w:rPr>
              <w:t>¥</w:t>
            </w:r>
          </w:p>
        </w:tc>
      </w:tr>
      <w:tr>
        <w:tc>
          <w:tcPr>
            <w:tcW w:type="dxa" w:w="6228"/>
            <w:gridSpan w:val="6"/>
            <w:tcBorders>
              <w:top w:val="none" w:color="000000" w:sz="4"/>
              <w:left w:val="single" w:color="000000" w:sz="4"/>
              <w:bottom w:val="single" w:color="000000" w:sz="4"/>
              <w:right w:val="single" w:color="000000" w:sz="4"/>
            </w:tcBorders>
            <w:vAlign w:val="top"/>
          </w:tcPr>
          <w:p>
            <w:pPr>
              <w:jc w:val="center"/>
            </w:pPr>
            <w:r>
              <w:rPr>
                <w:sz w:val="24"/>
              </w:rPr>
              <w:t>合计：</w:t>
            </w:r>
          </w:p>
        </w:tc>
        <w:tc>
          <w:tcPr>
            <w:tcW w:type="dxa" w:w="2076"/>
            <w:gridSpan w:val="2"/>
            <w:tcBorders>
              <w:top w:val="none" w:color="000000" w:sz="4"/>
              <w:left w:val="none" w:color="000000" w:sz="4"/>
              <w:bottom w:val="single" w:color="000000" w:sz="4"/>
              <w:right w:val="single" w:color="000000" w:sz="4"/>
            </w:tcBorders>
            <w:vAlign w:val="top"/>
          </w:tcPr>
          <w:p>
            <w:pPr>
              <w:jc w:val="center"/>
            </w:pPr>
            <w:r>
              <w:rPr>
                <w:color w:val="000000"/>
                <w:sz w:val="24"/>
              </w:rPr>
              <w:t>¥</w:t>
            </w:r>
          </w:p>
        </w:tc>
      </w:tr>
      <w:tr>
        <w:tc>
          <w:tcPr>
            <w:tcW w:type="dxa" w:w="8304"/>
            <w:gridSpan w:val="8"/>
            <w:tcBorders>
              <w:top w:val="none" w:color="000000" w:sz="4"/>
              <w:left w:val="single" w:color="000000" w:sz="4"/>
              <w:bottom w:val="single" w:color="000000" w:sz="4"/>
              <w:right w:val="single" w:color="000000" w:sz="4"/>
            </w:tcBorders>
            <w:vAlign w:val="top"/>
          </w:tcPr>
          <w:p>
            <w:pPr>
              <w:jc w:val="both"/>
            </w:pPr>
            <w:r>
              <w:rPr>
                <w:sz w:val="24"/>
              </w:rPr>
              <w:t>随机配件：无</w:t>
            </w:r>
          </w:p>
        </w:tc>
      </w:tr>
      <w:tr>
        <w:tc>
          <w:tcPr>
            <w:tcW w:type="dxa" w:w="8304"/>
            <w:gridSpan w:val="8"/>
            <w:tcBorders>
              <w:top w:val="none" w:color="000000" w:sz="4"/>
              <w:left w:val="single" w:color="000000" w:sz="4"/>
              <w:bottom w:val="single" w:color="000000" w:sz="4"/>
              <w:right w:val="single" w:color="000000" w:sz="4"/>
            </w:tcBorders>
            <w:vAlign w:val="top"/>
          </w:tcPr>
          <w:p>
            <w:pPr>
              <w:jc w:val="both"/>
            </w:pPr>
            <w:r>
              <w:rPr>
                <w:sz w:val="24"/>
              </w:rPr>
              <w:t>交货地点：中山市石岐苏华赞医院指定地点。</w:t>
            </w:r>
          </w:p>
        </w:tc>
      </w:tr>
      <w:tr>
        <w:tc>
          <w:tcPr>
            <w:tcW w:type="dxa" w:w="8304"/>
            <w:gridSpan w:val="8"/>
            <w:tcBorders>
              <w:top w:val="none" w:color="000000" w:sz="4"/>
              <w:left w:val="single" w:color="000000" w:sz="4"/>
              <w:bottom w:val="single" w:color="000000" w:sz="4"/>
              <w:right w:val="single" w:color="000000" w:sz="4"/>
            </w:tcBorders>
            <w:vAlign w:val="top"/>
          </w:tcPr>
          <w:p>
            <w:pPr>
              <w:jc w:val="both"/>
            </w:pPr>
            <w:r>
              <w:rPr>
                <w:sz w:val="24"/>
              </w:rPr>
              <w:t>交货时间：签订合同后</w:t>
            </w:r>
            <w:r>
              <w:rPr>
                <w:sz w:val="21"/>
                <w:u w:val="single"/>
              </w:rPr>
              <w:t xml:space="preserve">      </w:t>
            </w:r>
            <w:r>
              <w:rPr>
                <w:sz w:val="24"/>
              </w:rPr>
              <w:t>天内到货完成装机。</w:t>
            </w:r>
          </w:p>
        </w:tc>
      </w:tr>
    </w:tbl>
    <w:p>
      <w:pPr>
        <w:jc w:val="both"/>
      </w:pPr>
    </w:p>
    <w:p>
      <w:pPr>
        <w:jc w:val="both"/>
      </w:pPr>
      <w:r>
        <w:rPr>
          <w:b/>
          <w:sz w:val="24"/>
        </w:rPr>
        <w:t>2</w:t>
      </w:r>
      <w:r>
        <w:rPr>
          <w:b/>
          <w:sz w:val="24"/>
        </w:rPr>
        <w:t>、合同总价</w:t>
      </w:r>
    </w:p>
    <w:p>
      <w:pPr>
        <w:ind w:firstLine="420"/>
        <w:jc w:val="both"/>
      </w:pPr>
      <w:r>
        <w:rPr>
          <w:sz w:val="24"/>
        </w:rPr>
        <w:t>总价为人民币（大写）：</w:t>
      </w:r>
      <w:r>
        <w:rPr>
          <w:sz w:val="21"/>
          <w:u w:val="single"/>
        </w:rPr>
        <w:t xml:space="preserve">      </w:t>
      </w:r>
      <w:r>
        <w:rPr>
          <w:b/>
          <w:sz w:val="24"/>
          <w:u w:val="single"/>
        </w:rPr>
        <w:t>整</w:t>
      </w:r>
      <w:r>
        <w:rPr>
          <w:b/>
          <w:sz w:val="24"/>
        </w:rPr>
        <w:t>；（小写：</w:t>
      </w:r>
      <w:r>
        <w:rPr>
          <w:b/>
          <w:color w:val="000000"/>
          <w:sz w:val="24"/>
        </w:rPr>
        <w:t>¥</w:t>
      </w:r>
      <w:r>
        <w:rPr>
          <w:b/>
          <w:sz w:val="21"/>
          <w:u w:val="single"/>
        </w:rPr>
        <w:t xml:space="preserve">     </w:t>
      </w:r>
      <w:r>
        <w:rPr>
          <w:b/>
          <w:color w:val="000000"/>
          <w:sz w:val="24"/>
        </w:rPr>
        <w:t>元</w:t>
      </w:r>
      <w:r>
        <w:rPr>
          <w:b/>
          <w:sz w:val="24"/>
        </w:rPr>
        <w:t>）</w:t>
      </w:r>
      <w:r>
        <w:rPr>
          <w:sz w:val="24"/>
        </w:rPr>
        <w:t>，该合同总金额是设计、设备制造、包装、仓储、运输、装卸、安装及验收合格之前及保修期与备品备件发生的所有含税费用。本合同执行期间合同总金额不变。</w:t>
      </w:r>
    </w:p>
    <w:p>
      <w:pPr>
        <w:jc w:val="both"/>
      </w:pPr>
      <w:r>
        <w:rPr>
          <w:b/>
          <w:sz w:val="24"/>
        </w:rPr>
        <w:t>3</w:t>
      </w:r>
      <w:r>
        <w:rPr>
          <w:b/>
          <w:sz w:val="24"/>
        </w:rPr>
        <w:t>、合同组成</w:t>
      </w:r>
    </w:p>
    <w:p>
      <w:pPr>
        <w:ind w:firstLine="480"/>
        <w:jc w:val="both"/>
      </w:pPr>
      <w:r>
        <w:rPr>
          <w:sz w:val="24"/>
        </w:rPr>
        <w:t>详细价格、技术说明及其他有关合同设备的特定信息由合同附件说明。所有附件及本项目的招投标文件、会议纪要、协议等均为本合同不可分割之一部分，与本合同之间内容应认为是互为补充和解释，但如有模棱两可或者不一致的，以最有利于甲方的条款和内容为准。</w:t>
      </w:r>
    </w:p>
    <w:p>
      <w:pPr>
        <w:jc w:val="both"/>
      </w:pPr>
      <w:r>
        <w:rPr>
          <w:b/>
          <w:sz w:val="24"/>
        </w:rPr>
        <w:t>4</w:t>
      </w:r>
      <w:r>
        <w:rPr>
          <w:b/>
          <w:sz w:val="24"/>
        </w:rPr>
        <w:t>、技术要求</w:t>
      </w:r>
    </w:p>
    <w:p>
      <w:pPr>
        <w:ind w:firstLine="420"/>
        <w:jc w:val="both"/>
      </w:pPr>
      <w:r>
        <w:rPr>
          <w:sz w:val="24"/>
        </w:rPr>
        <w:t>乙方所提供设备，必须符合国家有关规范和环保要求及招标文件中甲方的技术要求，并提供设备的出厂测试检验报告，详见招标文件之用户需求技术标准与要求及附表。所有货物及服务不得侵犯第三方版权、专利、税费等。</w:t>
      </w:r>
    </w:p>
    <w:p>
      <w:pPr>
        <w:jc w:val="both"/>
      </w:pPr>
      <w:r>
        <w:rPr>
          <w:b/>
          <w:sz w:val="24"/>
        </w:rPr>
        <w:t>5</w:t>
      </w:r>
      <w:r>
        <w:rPr>
          <w:b/>
          <w:sz w:val="24"/>
        </w:rPr>
        <w:t>、合同设备包装、交货、安装、调试及验收</w:t>
      </w:r>
    </w:p>
    <w:p>
      <w:pPr>
        <w:ind w:firstLine="480"/>
        <w:jc w:val="both"/>
      </w:pPr>
      <w:r>
        <w:rPr>
          <w:sz w:val="24"/>
        </w:rPr>
        <w:t>5.1</w:t>
      </w:r>
      <w:r>
        <w:rPr>
          <w:sz w:val="24"/>
        </w:rPr>
        <w:t>合同设备的包装均应有良好的防湿、防锈、防潮、防雨、防腐及防碰撞的措施。凡由于包装不良造成的损失和由此产生的费用均由乙方承担。</w:t>
      </w:r>
    </w:p>
    <w:p>
      <w:pPr>
        <w:ind w:firstLine="480"/>
        <w:jc w:val="both"/>
      </w:pPr>
      <w:r>
        <w:rPr>
          <w:sz w:val="24"/>
        </w:rPr>
        <w:t>5.2</w:t>
      </w:r>
      <w:r>
        <w:rPr>
          <w:sz w:val="24"/>
        </w:rPr>
        <w:t>合同设备的交货</w:t>
      </w:r>
    </w:p>
    <w:p>
      <w:pPr>
        <w:ind w:firstLine="480"/>
        <w:jc w:val="both"/>
      </w:pPr>
      <w:r>
        <w:rPr>
          <w:sz w:val="24"/>
        </w:rPr>
        <w:t>5.2.1</w:t>
      </w:r>
      <w:r>
        <w:rPr>
          <w:sz w:val="24"/>
        </w:rPr>
        <w:t>乙方交货时间：签订合同后</w:t>
      </w:r>
      <w:r>
        <w:rPr>
          <w:sz w:val="21"/>
          <w:u w:val="single"/>
        </w:rPr>
        <w:t xml:space="preserve">     </w:t>
      </w:r>
      <w:r>
        <w:rPr>
          <w:sz w:val="24"/>
        </w:rPr>
        <w:t>天内到货完成装机。</w:t>
      </w:r>
    </w:p>
    <w:p>
      <w:pPr>
        <w:ind w:firstLine="480"/>
        <w:jc w:val="both"/>
      </w:pPr>
      <w:r>
        <w:rPr>
          <w:sz w:val="24"/>
        </w:rPr>
        <w:t>5.2.2</w:t>
      </w:r>
      <w:r>
        <w:rPr>
          <w:sz w:val="24"/>
        </w:rPr>
        <w:t>乙方交货地点：中山市石岐苏华赞医院</w:t>
      </w:r>
    </w:p>
    <w:p>
      <w:pPr>
        <w:ind w:firstLine="480"/>
        <w:jc w:val="both"/>
      </w:pPr>
      <w:r>
        <w:rPr>
          <w:sz w:val="24"/>
        </w:rPr>
        <w:t>5.3</w:t>
      </w:r>
      <w:r>
        <w:rPr>
          <w:sz w:val="24"/>
        </w:rPr>
        <w:t>合同设备的安装调试</w:t>
      </w:r>
    </w:p>
    <w:p>
      <w:pPr>
        <w:ind w:firstLine="480"/>
        <w:jc w:val="both"/>
      </w:pPr>
      <w:r>
        <w:rPr>
          <w:sz w:val="24"/>
        </w:rPr>
        <w:t>5.3.1</w:t>
      </w:r>
      <w:r>
        <w:rPr>
          <w:sz w:val="24"/>
        </w:rPr>
        <w:t>乙方负责合同项下的安装调试，一切费用由乙方负责。</w:t>
      </w:r>
    </w:p>
    <w:p>
      <w:pPr>
        <w:ind w:firstLine="480"/>
        <w:jc w:val="both"/>
      </w:pPr>
      <w:r>
        <w:rPr>
          <w:sz w:val="24"/>
        </w:rPr>
        <w:t>5.3.2</w:t>
      </w:r>
      <w:r>
        <w:rPr>
          <w:sz w:val="24"/>
        </w:rPr>
        <w:t>乙方安装时须对各安装场地内的其他设备、设施有良好保护措施。</w:t>
      </w:r>
    </w:p>
    <w:p>
      <w:pPr>
        <w:ind w:firstLine="480"/>
        <w:jc w:val="both"/>
      </w:pPr>
      <w:r>
        <w:rPr>
          <w:sz w:val="24"/>
        </w:rPr>
        <w:t xml:space="preserve">5.4  </w:t>
      </w:r>
      <w:r>
        <w:rPr>
          <w:sz w:val="24"/>
        </w:rPr>
        <w:t>设备的验收</w:t>
      </w:r>
    </w:p>
    <w:p>
      <w:pPr>
        <w:ind w:firstLine="480"/>
        <w:jc w:val="both"/>
      </w:pPr>
      <w:r>
        <w:rPr>
          <w:sz w:val="24"/>
        </w:rPr>
        <w:t>5.4.1</w:t>
      </w:r>
      <w:r>
        <w:rPr>
          <w:sz w:val="24"/>
        </w:rPr>
        <w:t>合同设备安装调试完成并移交所有资料文档后</w:t>
      </w:r>
      <w:r>
        <w:rPr>
          <w:sz w:val="24"/>
        </w:rPr>
        <w:t>5</w:t>
      </w:r>
      <w:r>
        <w:rPr>
          <w:sz w:val="24"/>
        </w:rPr>
        <w:t>个工作日内验收，验收应在双方共同参加下进行，验收标准按照国家有关标准。</w:t>
      </w:r>
    </w:p>
    <w:p>
      <w:pPr>
        <w:ind w:firstLine="480"/>
        <w:jc w:val="both"/>
      </w:pPr>
      <w:r>
        <w:rPr>
          <w:sz w:val="24"/>
        </w:rPr>
        <w:t>5.4.2</w:t>
      </w:r>
      <w:r>
        <w:rPr>
          <w:sz w:val="24"/>
        </w:rPr>
        <w:t>验收按国家有关的规定、规范进行，设备必须符合及具备招标文件之用户需求规定的技术标准与要求。验收时如发现所交付的设备有短装、次品、损坏或其他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480"/>
        <w:jc w:val="both"/>
      </w:pPr>
      <w:r>
        <w:rPr>
          <w:sz w:val="24"/>
        </w:rPr>
        <w:t>5.4.3</w:t>
      </w:r>
      <w:r>
        <w:rPr>
          <w:sz w:val="24"/>
        </w:rPr>
        <w:t>如果合同设备运输和安装调试过程中因事故造成货物短缺、损坏，乙方应及时安排换装，以保证合同设备安装调试的成功完成。换货的相关费用由乙方承担。</w:t>
      </w:r>
    </w:p>
    <w:p>
      <w:pPr>
        <w:ind w:firstLine="480"/>
        <w:jc w:val="both"/>
      </w:pPr>
      <w:r>
        <w:rPr>
          <w:sz w:val="24"/>
        </w:rPr>
        <w:t>5.4.4</w:t>
      </w:r>
      <w:r>
        <w:rPr>
          <w:sz w:val="24"/>
        </w:rPr>
        <w:t>国内产品或合资厂的产品必须具备出厂合格证。</w:t>
      </w:r>
    </w:p>
    <w:p>
      <w:pPr>
        <w:ind w:firstLine="480"/>
        <w:jc w:val="both"/>
      </w:pPr>
      <w:r>
        <w:rPr>
          <w:sz w:val="24"/>
        </w:rPr>
        <w:t>5.4.5</w:t>
      </w:r>
      <w:r>
        <w:rPr>
          <w:sz w:val="24"/>
        </w:rPr>
        <w:t>进口产品必须具备省级（或相当于省级）商检部门的检验证明，及正常报关证明。</w:t>
      </w:r>
    </w:p>
    <w:p>
      <w:pPr>
        <w:ind w:firstLine="480"/>
        <w:jc w:val="both"/>
      </w:pPr>
      <w:r>
        <w:rPr>
          <w:sz w:val="24"/>
        </w:rPr>
        <w:t xml:space="preserve">5.5  </w:t>
      </w:r>
      <w:r>
        <w:rPr>
          <w:sz w:val="24"/>
        </w:rPr>
        <w:t>如乙方没有及时提供相关证件（如商检证等），有可能影响验收进程，所导致的经济损失，由乙方自行承担。</w:t>
      </w:r>
    </w:p>
    <w:p>
      <w:pPr>
        <w:ind w:firstLine="480"/>
        <w:jc w:val="both"/>
      </w:pPr>
      <w:r>
        <w:rPr>
          <w:sz w:val="24"/>
        </w:rPr>
        <w:t xml:space="preserve">5.6  </w:t>
      </w:r>
      <w:r>
        <w:rPr>
          <w:sz w:val="24"/>
        </w:rPr>
        <w:t>乙方保证合同项下提供的设备不侵犯任何第三方的专利、商标或版权。否则，乙方须承担对第三方的专利或版权的侵权责任并承担因此而发生的所有费用。</w:t>
      </w:r>
    </w:p>
    <w:p>
      <w:pPr>
        <w:jc w:val="both"/>
      </w:pPr>
      <w:r>
        <w:rPr>
          <w:b/>
          <w:sz w:val="24"/>
        </w:rPr>
        <w:t>6</w:t>
      </w:r>
      <w:r>
        <w:rPr>
          <w:b/>
          <w:sz w:val="24"/>
        </w:rPr>
        <w:t>、质量保证及售后服务</w:t>
      </w:r>
    </w:p>
    <w:p>
      <w:pPr>
        <w:ind w:firstLine="480"/>
        <w:jc w:val="both"/>
      </w:pPr>
      <w:r>
        <w:rPr>
          <w:sz w:val="24"/>
        </w:rPr>
        <w:t>6.1</w:t>
      </w:r>
      <w:r>
        <w:rPr>
          <w:sz w:val="24"/>
        </w:rPr>
        <w:t>提供设备整机</w:t>
      </w:r>
      <w:r>
        <w:rPr>
          <w:sz w:val="24"/>
        </w:rPr>
        <w:t>3</w:t>
      </w:r>
      <w:r>
        <w:rPr>
          <w:sz w:val="24"/>
        </w:rPr>
        <w:t>年全保。</w:t>
      </w:r>
    </w:p>
    <w:p>
      <w:pPr>
        <w:ind w:firstLine="480"/>
        <w:jc w:val="both"/>
      </w:pPr>
      <w:r>
        <w:rPr>
          <w:sz w:val="24"/>
        </w:rPr>
        <w:t>6.2</w:t>
      </w:r>
      <w:r>
        <w:rPr>
          <w:sz w:val="24"/>
        </w:rPr>
        <w:t>保修期内免费维修。设备发生故障时，乙方在接到甲方的故障通知后</w:t>
      </w:r>
      <w:r>
        <w:rPr>
          <w:sz w:val="24"/>
          <w:u w:val="single"/>
        </w:rPr>
        <w:t xml:space="preserve"> 2  </w:t>
      </w:r>
      <w:r>
        <w:rPr>
          <w:sz w:val="24"/>
        </w:rPr>
        <w:t>小时内响应，</w:t>
      </w:r>
      <w:r>
        <w:rPr>
          <w:sz w:val="24"/>
          <w:u w:val="single"/>
        </w:rPr>
        <w:t xml:space="preserve">  24  </w:t>
      </w:r>
      <w:r>
        <w:rPr>
          <w:sz w:val="24"/>
        </w:rPr>
        <w:t>小时内到达现场，</w:t>
      </w:r>
      <w:r>
        <w:rPr>
          <w:sz w:val="24"/>
          <w:u w:val="single"/>
        </w:rPr>
        <w:t xml:space="preserve"> 48  </w:t>
      </w:r>
      <w:r>
        <w:rPr>
          <w:sz w:val="24"/>
        </w:rPr>
        <w:t>小时内处理完毕。</w:t>
      </w:r>
      <w:r>
        <w:rPr>
          <w:sz w:val="24"/>
        </w:rPr>
        <w:t>3</w:t>
      </w:r>
      <w:r>
        <w:rPr>
          <w:sz w:val="24"/>
        </w:rPr>
        <w:t>年原厂全保期内，若在</w:t>
      </w:r>
      <w:r>
        <w:rPr>
          <w:sz w:val="24"/>
          <w:u w:val="single"/>
        </w:rPr>
        <w:t xml:space="preserve"> 48</w:t>
      </w:r>
      <w:r>
        <w:rPr>
          <w:sz w:val="24"/>
        </w:rPr>
        <w:t>小时内仍未能有效解决，造成停机，保修期按照停机时长的</w:t>
      </w:r>
      <w:r>
        <w:rPr>
          <w:sz w:val="24"/>
          <w:u w:val="single"/>
        </w:rPr>
        <w:t xml:space="preserve"> 2</w:t>
      </w:r>
      <w:r>
        <w:rPr>
          <w:sz w:val="24"/>
        </w:rPr>
        <w:t>倍顺延。</w:t>
      </w:r>
    </w:p>
    <w:p>
      <w:pPr>
        <w:ind w:firstLine="480"/>
        <w:jc w:val="both"/>
      </w:pPr>
      <w:r>
        <w:rPr>
          <w:sz w:val="24"/>
        </w:rPr>
        <w:t>6.3</w:t>
      </w:r>
      <w:r>
        <w:rPr>
          <w:sz w:val="24"/>
        </w:rPr>
        <w:t>在保修期内乙方负责每季度末安排原厂工程师上门对设备进行维护保养。</w:t>
      </w:r>
    </w:p>
    <w:p>
      <w:pPr>
        <w:ind w:firstLine="480"/>
        <w:jc w:val="both"/>
      </w:pPr>
      <w:r>
        <w:rPr>
          <w:sz w:val="24"/>
        </w:rPr>
        <w:t>6.4</w:t>
      </w:r>
      <w:r>
        <w:rPr>
          <w:sz w:val="24"/>
        </w:rPr>
        <w:t>保修期过后，乙方按照质控标准，以设备维修保养的记录向甲方提供一份</w:t>
      </w:r>
      <w:r>
        <w:rPr>
          <w:sz w:val="24"/>
        </w:rPr>
        <w:t>PDCA</w:t>
      </w:r>
      <w:r>
        <w:rPr>
          <w:sz w:val="24"/>
        </w:rPr>
        <w:t>质控报告。</w:t>
      </w:r>
    </w:p>
    <w:p>
      <w:pPr>
        <w:ind w:firstLine="480"/>
        <w:jc w:val="both"/>
      </w:pPr>
      <w:r>
        <w:rPr>
          <w:sz w:val="24"/>
        </w:rPr>
        <w:t>6.5</w:t>
      </w:r>
      <w:r>
        <w:rPr>
          <w:sz w:val="24"/>
        </w:rPr>
        <w:t>提供技术资料，含使用说明书、图纸等。</w:t>
      </w:r>
    </w:p>
    <w:p>
      <w:pPr>
        <w:ind w:firstLine="480"/>
        <w:jc w:val="both"/>
      </w:pPr>
      <w:r>
        <w:rPr>
          <w:sz w:val="24"/>
        </w:rPr>
        <w:t>6.6</w:t>
      </w:r>
      <w:r>
        <w:rPr>
          <w:sz w:val="24"/>
        </w:rPr>
        <w:t>须在广东省设有售后服务点并提供维修的详细地址及工程师联系方式（</w:t>
      </w:r>
      <w:r>
        <w:rPr>
          <w:sz w:val="24"/>
          <w:u w:val="single"/>
        </w:rPr>
        <w:t>工程师姓名</w:t>
      </w:r>
      <w:r>
        <w:rPr>
          <w:sz w:val="24"/>
          <w:u w:val="single"/>
        </w:rPr>
        <w:t>/</w:t>
      </w:r>
      <w:r>
        <w:rPr>
          <w:sz w:val="24"/>
          <w:u w:val="single"/>
        </w:rPr>
        <w:t>联系电话）</w:t>
      </w:r>
      <w:r>
        <w:rPr>
          <w:sz w:val="24"/>
        </w:rPr>
        <w:t>，负责设备的安装调试。售后服务点：</w:t>
      </w:r>
      <w:r>
        <w:rPr>
          <w:sz w:val="21"/>
          <w:u w:val="single"/>
        </w:rPr>
        <w:t xml:space="preserve">            </w:t>
      </w:r>
      <w:r>
        <w:rPr>
          <w:sz w:val="24"/>
        </w:rPr>
        <w:t>。</w:t>
      </w:r>
    </w:p>
    <w:p>
      <w:pPr>
        <w:ind w:firstLine="480"/>
        <w:jc w:val="both"/>
      </w:pPr>
      <w:r>
        <w:rPr>
          <w:sz w:val="24"/>
        </w:rPr>
        <w:t>6.7</w:t>
      </w:r>
      <w:r>
        <w:rPr>
          <w:sz w:val="24"/>
        </w:rPr>
        <w:t>有操作、维护、维修培训计划，必须由原厂工程师及技术人员直接提供保修、维修、免费技术培训服务。</w:t>
      </w:r>
    </w:p>
    <w:p>
      <w:pPr>
        <w:ind w:firstLine="480"/>
        <w:jc w:val="both"/>
      </w:pPr>
      <w:r>
        <w:rPr>
          <w:sz w:val="24"/>
        </w:rPr>
        <w:t>6.8</w:t>
      </w:r>
      <w:r>
        <w:rPr>
          <w:color w:val="000000"/>
          <w:sz w:val="24"/>
        </w:rPr>
        <w:t>乙方提供操作技术培训，包括</w:t>
      </w:r>
      <w:r>
        <w:rPr>
          <w:color w:val="000000"/>
          <w:sz w:val="24"/>
        </w:rPr>
        <w:t>2</w:t>
      </w:r>
      <w:r>
        <w:rPr>
          <w:color w:val="000000"/>
          <w:sz w:val="24"/>
        </w:rPr>
        <w:t>次以上场地培训，</w:t>
      </w:r>
      <w:r>
        <w:rPr>
          <w:color w:val="000000"/>
          <w:sz w:val="24"/>
        </w:rPr>
        <w:t>2</w:t>
      </w:r>
      <w:r>
        <w:rPr>
          <w:color w:val="000000"/>
          <w:sz w:val="24"/>
        </w:rPr>
        <w:t>天</w:t>
      </w:r>
      <w:r>
        <w:rPr>
          <w:color w:val="000000"/>
          <w:sz w:val="24"/>
        </w:rPr>
        <w:t>/</w:t>
      </w:r>
      <w:r>
        <w:rPr>
          <w:color w:val="000000"/>
          <w:sz w:val="24"/>
        </w:rPr>
        <w:t>次；</w:t>
      </w:r>
      <w:r>
        <w:rPr>
          <w:color w:val="000000"/>
          <w:sz w:val="24"/>
        </w:rPr>
        <w:t>2</w:t>
      </w:r>
      <w:r>
        <w:rPr>
          <w:color w:val="000000"/>
          <w:sz w:val="24"/>
        </w:rPr>
        <w:t>人外出培训，每人至少半个月。（所需费用包含在中标金额内）</w:t>
      </w:r>
    </w:p>
    <w:p>
      <w:pPr>
        <w:ind w:firstLine="480"/>
        <w:jc w:val="both"/>
      </w:pPr>
    </w:p>
    <w:p>
      <w:pPr>
        <w:ind w:firstLine="480"/>
        <w:jc w:val="both"/>
      </w:pPr>
      <w:r>
        <w:rPr>
          <w:sz w:val="24"/>
        </w:rPr>
        <w:t>6.9</w:t>
      </w:r>
      <w:r>
        <w:rPr>
          <w:sz w:val="24"/>
        </w:rPr>
        <w:t>保证供应设备的维修与原厂配件。</w:t>
      </w:r>
    </w:p>
    <w:p>
      <w:pPr>
        <w:ind w:firstLine="480"/>
        <w:jc w:val="both"/>
      </w:pPr>
      <w:r>
        <w:rPr>
          <w:sz w:val="24"/>
        </w:rPr>
        <w:t>6.10</w:t>
      </w:r>
      <w:r>
        <w:rPr>
          <w:sz w:val="24"/>
        </w:rPr>
        <w:t>如果设备检验不合格，乙方包换。</w:t>
      </w:r>
    </w:p>
    <w:p>
      <w:pPr>
        <w:ind w:firstLine="480"/>
        <w:jc w:val="both"/>
      </w:pPr>
      <w:r>
        <w:rPr>
          <w:sz w:val="24"/>
        </w:rPr>
        <w:t>6.11</w:t>
      </w:r>
      <w:r>
        <w:rPr>
          <w:sz w:val="24"/>
        </w:rPr>
        <w:t>乙方需要帮助甲方培训两名以上工程师，并取相应的培训证书，所涉及的培训费和差旅费由乙方承担。</w:t>
      </w:r>
    </w:p>
    <w:p>
      <w:pPr>
        <w:ind w:firstLine="480"/>
        <w:jc w:val="both"/>
      </w:pPr>
      <w:r>
        <w:rPr>
          <w:sz w:val="24"/>
        </w:rPr>
        <w:t>6.12</w:t>
      </w:r>
      <w:r>
        <w:rPr>
          <w:sz w:val="24"/>
        </w:rPr>
        <w:t>保证提供的是全新产品，未曾使用过的；要求合同必须注明该产品（或主机）产地。</w:t>
      </w:r>
    </w:p>
    <w:p>
      <w:pPr>
        <w:ind w:firstLine="480"/>
        <w:jc w:val="both"/>
      </w:pPr>
      <w:r>
        <w:rPr>
          <w:sz w:val="24"/>
        </w:rPr>
        <w:t>6.13</w:t>
      </w:r>
      <w:r>
        <w:rPr>
          <w:sz w:val="24"/>
        </w:rPr>
        <w:t>乙方保证设备能够接入我院</w:t>
      </w:r>
      <w:r>
        <w:rPr>
          <w:sz w:val="24"/>
        </w:rPr>
        <w:t>PACS</w:t>
      </w:r>
      <w:r>
        <w:rPr>
          <w:sz w:val="24"/>
        </w:rPr>
        <w:t>、</w:t>
      </w:r>
      <w:r>
        <w:rPr>
          <w:sz w:val="24"/>
        </w:rPr>
        <w:t>HIS</w:t>
      </w:r>
      <w:r>
        <w:rPr>
          <w:sz w:val="24"/>
        </w:rPr>
        <w:t>、</w:t>
      </w:r>
      <w:r>
        <w:rPr>
          <w:sz w:val="24"/>
        </w:rPr>
        <w:t>RIS</w:t>
      </w:r>
      <w:r>
        <w:rPr>
          <w:sz w:val="24"/>
        </w:rPr>
        <w:t>等系统，并承担对接所产生的所有费用。</w:t>
      </w:r>
    </w:p>
    <w:p>
      <w:pPr>
        <w:jc w:val="both"/>
      </w:pPr>
      <w:r>
        <w:rPr>
          <w:b/>
          <w:sz w:val="24"/>
        </w:rPr>
        <w:t>7</w:t>
      </w:r>
      <w:r>
        <w:rPr>
          <w:b/>
          <w:sz w:val="24"/>
        </w:rPr>
        <w:t>、履约保证金及付款方式</w:t>
      </w:r>
    </w:p>
    <w:p>
      <w:pPr>
        <w:ind w:firstLine="480"/>
        <w:jc w:val="left"/>
      </w:pPr>
      <w:r>
        <w:rPr>
          <w:sz w:val="24"/>
        </w:rPr>
        <w:t>7.1</w:t>
      </w:r>
      <w:r>
        <w:rPr>
          <w:sz w:val="24"/>
        </w:rPr>
        <w:t>乙方收到中标通知书之日起</w:t>
      </w:r>
      <w:r>
        <w:rPr>
          <w:sz w:val="24"/>
        </w:rPr>
        <w:t>5</w:t>
      </w:r>
      <w:r>
        <w:rPr>
          <w:sz w:val="24"/>
        </w:rPr>
        <w:t>日内，须向甲方指定账户汇入合同总额</w:t>
      </w:r>
      <w:r>
        <w:rPr>
          <w:sz w:val="24"/>
        </w:rPr>
        <w:t>5%</w:t>
      </w:r>
      <w:r>
        <w:rPr>
          <w:sz w:val="24"/>
        </w:rPr>
        <w:t>的履约保证金，履约服务期满，经考核合格，履约保证金不计利息一次性返还；乙方不能按规定提交履约保证金的，视为放弃中标，给甲方造成损失的，乙方还应当予以赔偿。</w:t>
      </w:r>
    </w:p>
    <w:p>
      <w:pPr>
        <w:jc w:val="left"/>
      </w:pPr>
      <w:r>
        <w:rPr>
          <w:sz w:val="24"/>
        </w:rPr>
        <w:t xml:space="preserve"> 7.2</w:t>
      </w:r>
      <w:r>
        <w:rPr>
          <w:sz w:val="24"/>
        </w:rPr>
        <w:t>验收合格后</w:t>
      </w:r>
      <w:r>
        <w:rPr>
          <w:sz w:val="24"/>
        </w:rPr>
        <w:t>30</w:t>
      </w:r>
      <w:r>
        <w:rPr>
          <w:sz w:val="24"/>
        </w:rPr>
        <w:t>个工作日内一次性支付合同金额</w:t>
      </w:r>
      <w:r>
        <w:rPr>
          <w:sz w:val="24"/>
        </w:rPr>
        <w:t>100%</w:t>
      </w:r>
      <w:r>
        <w:rPr>
          <w:sz w:val="24"/>
        </w:rPr>
        <w:t>，即大写人民币</w:t>
      </w:r>
      <w:r>
        <w:rPr>
          <w:sz w:val="21"/>
          <w:u w:val="single"/>
        </w:rPr>
        <w:t xml:space="preserve">         </w:t>
      </w:r>
      <w:r>
        <w:rPr>
          <w:sz w:val="24"/>
        </w:rPr>
        <w:t>元整</w:t>
      </w:r>
      <w:r>
        <w:rPr>
          <w:sz w:val="24"/>
          <w:u w:val="single"/>
        </w:rPr>
        <w:t>（</w:t>
      </w:r>
      <w:r>
        <w:rPr>
          <w:color w:val="000000"/>
          <w:sz w:val="22"/>
          <w:u w:val="single"/>
        </w:rPr>
        <w:t>¥</w:t>
      </w:r>
      <w:r>
        <w:rPr>
          <w:sz w:val="21"/>
          <w:u w:val="single"/>
        </w:rPr>
        <w:t xml:space="preserve">   </w:t>
      </w:r>
      <w:r>
        <w:rPr>
          <w:color w:val="000000"/>
          <w:sz w:val="22"/>
          <w:u w:val="single"/>
        </w:rPr>
        <w:t>元</w:t>
      </w:r>
      <w:r>
        <w:rPr>
          <w:sz w:val="24"/>
          <w:u w:val="single"/>
        </w:rPr>
        <w:t>）</w:t>
      </w:r>
      <w:r>
        <w:rPr>
          <w:sz w:val="24"/>
        </w:rPr>
        <w:t>；并且乙方应向甲方提供真实的、合法的发票。如果乙方提供的发票证实为虚假发票或与税务局数据不符的，甲方有权拒付票面金额，甲方已付款的，乙方应退回；由于发票原因造成的一切损失由乙方承担。</w:t>
      </w:r>
    </w:p>
    <w:p>
      <w:pPr>
        <w:jc w:val="both"/>
      </w:pPr>
      <w:r>
        <w:rPr>
          <w:b/>
          <w:sz w:val="21"/>
        </w:rPr>
        <w:t xml:space="preserve">  </w:t>
      </w:r>
      <w:r>
        <w:rPr>
          <w:sz w:val="24"/>
        </w:rPr>
        <w:t xml:space="preserve"> 7.3</w:t>
      </w:r>
      <w:r>
        <w:rPr>
          <w:sz w:val="24"/>
        </w:rPr>
        <w:t>履约保证金没收的情形：</w:t>
      </w:r>
    </w:p>
    <w:p>
      <w:pPr>
        <w:jc w:val="both"/>
      </w:pPr>
      <w:r>
        <w:rPr>
          <w:sz w:val="24"/>
        </w:rPr>
        <w:t>（</w:t>
      </w:r>
      <w:r>
        <w:rPr>
          <w:sz w:val="24"/>
        </w:rPr>
        <w:t>1</w:t>
      </w:r>
      <w:r>
        <w:rPr>
          <w:sz w:val="24"/>
        </w:rPr>
        <w:t>）乙方拒绝签订合同的；</w:t>
      </w:r>
    </w:p>
    <w:p>
      <w:pPr>
        <w:jc w:val="both"/>
      </w:pPr>
      <w:r>
        <w:rPr>
          <w:sz w:val="24"/>
        </w:rPr>
        <w:t>（</w:t>
      </w:r>
      <w:r>
        <w:rPr>
          <w:sz w:val="24"/>
        </w:rPr>
        <w:t>2</w:t>
      </w:r>
      <w:r>
        <w:rPr>
          <w:sz w:val="24"/>
        </w:rPr>
        <w:t>）合同期未结束或服务事项未完成，乙方自行终止合同的；</w:t>
      </w:r>
    </w:p>
    <w:p>
      <w:pPr>
        <w:jc w:val="both"/>
      </w:pPr>
      <w:r>
        <w:rPr>
          <w:sz w:val="24"/>
        </w:rPr>
        <w:t>（</w:t>
      </w:r>
      <w:r>
        <w:rPr>
          <w:sz w:val="24"/>
        </w:rPr>
        <w:t>3</w:t>
      </w:r>
      <w:r>
        <w:rPr>
          <w:sz w:val="24"/>
        </w:rPr>
        <w:t>）合同期内，乙方未遵守合同条款承诺，在服务工作中有重大过失的；</w:t>
      </w:r>
    </w:p>
    <w:p>
      <w:pPr>
        <w:jc w:val="both"/>
      </w:pPr>
      <w:r>
        <w:rPr>
          <w:sz w:val="24"/>
        </w:rPr>
        <w:t>（</w:t>
      </w:r>
      <w:r>
        <w:rPr>
          <w:sz w:val="24"/>
        </w:rPr>
        <w:t>4</w:t>
      </w:r>
      <w:r>
        <w:rPr>
          <w:sz w:val="24"/>
        </w:rPr>
        <w:t>）乙方若存在严重违约行为的，甲方有权没收履约保证金，以赔偿甲方的损失，由于乙方的过失给甲方造成的损失超过履约保证金数额的，乙方应当对超过部分金额予以赔偿。</w:t>
      </w:r>
    </w:p>
    <w:p>
      <w:pPr>
        <w:jc w:val="both"/>
      </w:pPr>
      <w:r>
        <w:rPr>
          <w:b/>
          <w:sz w:val="24"/>
        </w:rPr>
        <w:t>8</w:t>
      </w:r>
      <w:r>
        <w:rPr>
          <w:b/>
          <w:sz w:val="24"/>
        </w:rPr>
        <w:t>、技术服务</w:t>
      </w:r>
    </w:p>
    <w:p>
      <w:pPr>
        <w:ind w:firstLine="480"/>
        <w:jc w:val="both"/>
      </w:pPr>
      <w:r>
        <w:rPr>
          <w:sz w:val="24"/>
        </w:rPr>
        <w:t>8.1</w:t>
      </w:r>
      <w:r>
        <w:rPr>
          <w:sz w:val="24"/>
        </w:rPr>
        <w:t>乙方应派员到甲方指定地点配合工作。</w:t>
      </w:r>
    </w:p>
    <w:p>
      <w:pPr>
        <w:ind w:firstLine="480"/>
        <w:jc w:val="both"/>
      </w:pPr>
      <w:r>
        <w:rPr>
          <w:sz w:val="24"/>
        </w:rPr>
        <w:t>8.2</w:t>
      </w:r>
      <w:r>
        <w:rPr>
          <w:sz w:val="24"/>
        </w:rPr>
        <w:t>乙方按甲方提供的合同执行进度计划，再配合甲方及有关单位，以此做好合同执行进度上的配合工作。</w:t>
      </w:r>
    </w:p>
    <w:p>
      <w:pPr>
        <w:jc w:val="both"/>
      </w:pPr>
      <w:r>
        <w:rPr>
          <w:b/>
          <w:sz w:val="24"/>
        </w:rPr>
        <w:t>9</w:t>
      </w:r>
      <w:r>
        <w:rPr>
          <w:b/>
          <w:sz w:val="24"/>
        </w:rPr>
        <w:t>、不可抗力</w:t>
      </w:r>
    </w:p>
    <w:p>
      <w:pPr>
        <w:ind w:firstLine="480"/>
        <w:jc w:val="both"/>
      </w:pPr>
      <w:r>
        <w:rPr>
          <w:sz w:val="24"/>
        </w:rPr>
        <w:t>9.1</w:t>
      </w:r>
      <w:r>
        <w:rPr>
          <w:sz w:val="24"/>
        </w:rPr>
        <w:t>不可抗力指战争、严重火灾、洪水、台风、地震等或其他双方认定的不可抗力事件。</w:t>
      </w:r>
    </w:p>
    <w:p>
      <w:pPr>
        <w:ind w:firstLine="480"/>
        <w:jc w:val="both"/>
      </w:pPr>
      <w:r>
        <w:rPr>
          <w:sz w:val="24"/>
        </w:rPr>
        <w:t>9.2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4"/>
        </w:rPr>
        <w:t>10</w:t>
      </w:r>
      <w:r>
        <w:rPr>
          <w:b/>
          <w:sz w:val="24"/>
        </w:rPr>
        <w:t>、索赔</w:t>
      </w:r>
    </w:p>
    <w:p>
      <w:pPr>
        <w:ind w:firstLine="480"/>
        <w:jc w:val="both"/>
      </w:pPr>
      <w:r>
        <w:rPr>
          <w:sz w:val="24"/>
        </w:rPr>
        <w:t>10.1</w:t>
      </w:r>
      <w:r>
        <w:rPr>
          <w:sz w:val="24"/>
        </w:rPr>
        <w:t>如有异议，甲方有权根据有关政府部门的检验结果向乙方提出索赔。</w:t>
      </w:r>
    </w:p>
    <w:p>
      <w:pPr>
        <w:ind w:firstLine="480"/>
        <w:jc w:val="both"/>
      </w:pPr>
      <w:r>
        <w:rPr>
          <w:sz w:val="24"/>
        </w:rPr>
        <w:t>10.2</w:t>
      </w:r>
      <w:r>
        <w:rPr>
          <w:sz w:val="24"/>
        </w:rPr>
        <w:t>在合同执行期间，如果乙方对甲方提出的索赔和差异负有责任，乙方应按照甲方同意的下列一种或多种方式解决索赔事宜：</w:t>
      </w:r>
    </w:p>
    <w:p>
      <w:pPr>
        <w:ind w:firstLine="480"/>
        <w:jc w:val="both"/>
      </w:pPr>
      <w:r>
        <w:rPr>
          <w:sz w:val="24"/>
        </w:rPr>
        <w:t>（</w:t>
      </w:r>
      <w:r>
        <w:rPr>
          <w:sz w:val="24"/>
        </w:rPr>
        <w:t>1</w:t>
      </w:r>
      <w:r>
        <w:rPr>
          <w:sz w:val="24"/>
        </w:rPr>
        <w:t>）乙方同意退货，并按合同规定的同种货币将货款退还给甲方，并承担由此发生的一切损失和费用。</w:t>
      </w:r>
    </w:p>
    <w:p>
      <w:pPr>
        <w:ind w:firstLine="480"/>
        <w:jc w:val="both"/>
      </w:pPr>
      <w:r>
        <w:rPr>
          <w:sz w:val="24"/>
        </w:rPr>
        <w:t>（</w:t>
      </w:r>
      <w:r>
        <w:rPr>
          <w:sz w:val="24"/>
        </w:rPr>
        <w:t>2</w:t>
      </w:r>
      <w:r>
        <w:rPr>
          <w:sz w:val="24"/>
        </w:rPr>
        <w:t>）根据货物低劣程度、损坏程度以及甲方所遭受损失的数额甲乙双方商定降低货物的价格。</w:t>
      </w:r>
    </w:p>
    <w:p>
      <w:pPr>
        <w:ind w:firstLine="480"/>
        <w:jc w:val="both"/>
      </w:pPr>
      <w:r>
        <w:rPr>
          <w:sz w:val="24"/>
        </w:rPr>
        <w:t>（</w:t>
      </w:r>
      <w:r>
        <w:rPr>
          <w:sz w:val="24"/>
        </w:rPr>
        <w:t>3</w:t>
      </w:r>
      <w:r>
        <w:rPr>
          <w:sz w:val="24"/>
        </w:rPr>
        <w:t>）用符合规格、质量和性能要求的新零件、部件或货物来更换有缺陷的部分或修补缺陷的部分，乙方应承担一切费用和风险并负有甲方所发生的一切直接费用。同时，相应延长质量保证期。</w:t>
      </w:r>
    </w:p>
    <w:p>
      <w:pPr>
        <w:ind w:firstLine="480"/>
        <w:jc w:val="both"/>
      </w:pPr>
      <w:r>
        <w:rPr>
          <w:sz w:val="24"/>
        </w:rPr>
        <w:t>10.3</w:t>
      </w:r>
      <w:r>
        <w:rPr>
          <w:sz w:val="24"/>
        </w:rPr>
        <w:t>如果在甲方发出索赔通知后</w:t>
      </w:r>
      <w:r>
        <w:rPr>
          <w:sz w:val="24"/>
        </w:rPr>
        <w:t>10</w:t>
      </w:r>
      <w:r>
        <w:rPr>
          <w:sz w:val="24"/>
        </w:rPr>
        <w:t>天内，乙方未作答复，上述索赔应视为已被乙方接受。甲方将从合同款项中扣回索赔金额。如果这些金额不足以补偿索赔金额，甲方有权向乙方提出不足部分的补偿。</w:t>
      </w:r>
    </w:p>
    <w:p>
      <w:pPr>
        <w:jc w:val="both"/>
      </w:pPr>
      <w:r>
        <w:rPr>
          <w:b/>
          <w:sz w:val="24"/>
        </w:rPr>
        <w:t>11</w:t>
      </w:r>
      <w:r>
        <w:rPr>
          <w:b/>
          <w:sz w:val="24"/>
        </w:rPr>
        <w:t>、违约与处罚</w:t>
      </w:r>
    </w:p>
    <w:p>
      <w:pPr>
        <w:ind w:firstLine="480"/>
        <w:jc w:val="both"/>
      </w:pPr>
      <w:r>
        <w:rPr>
          <w:sz w:val="24"/>
        </w:rPr>
        <w:t>11.1</w:t>
      </w:r>
      <w:r>
        <w:rPr>
          <w:sz w:val="24"/>
        </w:rPr>
        <w:t>甲方应依合同规定时间内，向乙方支付货款，每拖延一天乙方可向甲方加收合同金额的</w:t>
      </w:r>
      <w:r>
        <w:rPr>
          <w:sz w:val="24"/>
          <w:u w:val="single"/>
        </w:rPr>
        <w:t>1‰</w:t>
      </w:r>
      <w:r>
        <w:rPr>
          <w:sz w:val="24"/>
        </w:rPr>
        <w:t>的违约金。</w:t>
      </w:r>
    </w:p>
    <w:p>
      <w:pPr>
        <w:ind w:firstLine="480"/>
        <w:jc w:val="both"/>
      </w:pPr>
      <w:r>
        <w:rPr>
          <w:sz w:val="24"/>
        </w:rPr>
        <w:t>11.2</w:t>
      </w:r>
      <w:r>
        <w:rPr>
          <w:sz w:val="24"/>
        </w:rPr>
        <w:t>乙方未能按时交货，每拖延一天，须向甲方支付合同金额的</w:t>
      </w:r>
      <w:r>
        <w:rPr>
          <w:sz w:val="24"/>
          <w:u w:val="single"/>
        </w:rPr>
        <w:t>5%</w:t>
      </w:r>
      <w:r>
        <w:rPr>
          <w:sz w:val="24"/>
        </w:rPr>
        <w:t>的违约金。</w:t>
      </w:r>
    </w:p>
    <w:p>
      <w:pPr>
        <w:ind w:firstLine="480"/>
        <w:jc w:val="both"/>
      </w:pPr>
      <w:r>
        <w:rPr>
          <w:sz w:val="24"/>
        </w:rPr>
        <w:t>11.3</w:t>
      </w:r>
      <w:r>
        <w:rPr>
          <w:sz w:val="24"/>
        </w:rPr>
        <w:t>乙方交付的货物不符合合同规定的，甲方有权拒收，乙方向甲方支付合同金额的</w:t>
      </w:r>
      <w:r>
        <w:rPr>
          <w:sz w:val="24"/>
          <w:u w:val="single"/>
        </w:rPr>
        <w:t>10%</w:t>
      </w:r>
      <w:r>
        <w:rPr>
          <w:sz w:val="24"/>
        </w:rPr>
        <w:t>的违约金。</w:t>
      </w:r>
    </w:p>
    <w:p>
      <w:pPr>
        <w:ind w:firstLine="480"/>
        <w:jc w:val="both"/>
      </w:pPr>
      <w:r>
        <w:rPr>
          <w:sz w:val="24"/>
        </w:rPr>
        <w:t>11.4</w:t>
      </w:r>
      <w:r>
        <w:rPr>
          <w:sz w:val="24"/>
        </w:rPr>
        <w:t>甲方无正当理由拒收货物的，甲方向乙方支付合同金额的</w:t>
      </w:r>
      <w:r>
        <w:rPr>
          <w:sz w:val="24"/>
          <w:u w:val="single"/>
        </w:rPr>
        <w:t>1%</w:t>
      </w:r>
      <w:r>
        <w:rPr>
          <w:sz w:val="24"/>
        </w:rPr>
        <w:t>的违约金。</w:t>
      </w:r>
    </w:p>
    <w:p>
      <w:pPr>
        <w:ind w:firstLine="480"/>
        <w:jc w:val="both"/>
      </w:pPr>
      <w:r>
        <w:rPr>
          <w:sz w:val="24"/>
        </w:rPr>
        <w:t>11.5</w:t>
      </w:r>
      <w:r>
        <w:rPr>
          <w:sz w:val="24"/>
        </w:rPr>
        <w:t>乙方未能交付货物，则向甲方支付合同金额的</w:t>
      </w:r>
      <w:r>
        <w:rPr>
          <w:sz w:val="24"/>
          <w:u w:val="single"/>
        </w:rPr>
        <w:t>10%</w:t>
      </w:r>
      <w:r>
        <w:rPr>
          <w:sz w:val="24"/>
        </w:rPr>
        <w:t>的违约金。</w:t>
      </w:r>
    </w:p>
    <w:p>
      <w:pPr>
        <w:jc w:val="both"/>
      </w:pPr>
      <w:r>
        <w:rPr>
          <w:b/>
          <w:sz w:val="24"/>
        </w:rPr>
        <w:t>12</w:t>
      </w:r>
      <w:r>
        <w:rPr>
          <w:b/>
          <w:sz w:val="24"/>
        </w:rPr>
        <w:t>、合同终止</w:t>
      </w:r>
    </w:p>
    <w:p>
      <w:pPr>
        <w:ind w:firstLine="480"/>
        <w:jc w:val="both"/>
      </w:pPr>
      <w:r>
        <w:rPr>
          <w:sz w:val="24"/>
        </w:rPr>
        <w:t>如果一方严重违反合同，并在收到对方违约通知书后在</w:t>
      </w:r>
      <w:r>
        <w:rPr>
          <w:b/>
          <w:sz w:val="24"/>
          <w:u w:val="single"/>
        </w:rPr>
        <w:t>10</w:t>
      </w:r>
      <w:r>
        <w:rPr>
          <w:sz w:val="24"/>
        </w:rPr>
        <w:t>天内仍未能改正违约的，另一方可立即终止本合同。</w:t>
      </w:r>
    </w:p>
    <w:p>
      <w:pPr>
        <w:jc w:val="both"/>
      </w:pPr>
      <w:r>
        <w:rPr>
          <w:b/>
          <w:sz w:val="24"/>
        </w:rPr>
        <w:t>13</w:t>
      </w:r>
      <w:r>
        <w:rPr>
          <w:b/>
          <w:sz w:val="24"/>
        </w:rPr>
        <w:t>、法律诉讼</w:t>
      </w:r>
    </w:p>
    <w:p>
      <w:pPr>
        <w:ind w:firstLine="480"/>
        <w:jc w:val="both"/>
      </w:pPr>
      <w:r>
        <w:rPr>
          <w:sz w:val="24"/>
        </w:rPr>
        <w:t>在解释或者执行本合同的过程中发生争议时，双方应通过协商方式解决。协商不成的，由甲方所在地人民法院管辖。</w:t>
      </w:r>
    </w:p>
    <w:p>
      <w:pPr>
        <w:jc w:val="both"/>
      </w:pPr>
      <w:r>
        <w:rPr>
          <w:b/>
          <w:sz w:val="24"/>
        </w:rPr>
        <w:t>14</w:t>
      </w:r>
      <w:r>
        <w:rPr>
          <w:b/>
          <w:sz w:val="24"/>
        </w:rPr>
        <w:t>、其他</w:t>
      </w:r>
    </w:p>
    <w:p>
      <w:pPr>
        <w:ind w:firstLine="360"/>
        <w:jc w:val="both"/>
      </w:pPr>
      <w:r>
        <w:rPr>
          <w:sz w:val="24"/>
        </w:rPr>
        <w:t>14.1</w:t>
      </w:r>
      <w:r>
        <w:rPr>
          <w:sz w:val="24"/>
        </w:rPr>
        <w:t>本合同正本</w:t>
      </w:r>
      <w:r>
        <w:rPr>
          <w:sz w:val="24"/>
          <w:u w:val="single"/>
        </w:rPr>
        <w:t>柒</w:t>
      </w:r>
      <w:r>
        <w:rPr>
          <w:sz w:val="24"/>
        </w:rPr>
        <w:t>份，甲方</w:t>
      </w:r>
      <w:r>
        <w:rPr>
          <w:sz w:val="24"/>
          <w:u w:val="single"/>
        </w:rPr>
        <w:t>肆</w:t>
      </w:r>
      <w:r>
        <w:rPr>
          <w:sz w:val="24"/>
        </w:rPr>
        <w:t>份，乙方</w:t>
      </w:r>
      <w:r>
        <w:rPr>
          <w:sz w:val="24"/>
          <w:u w:val="single"/>
        </w:rPr>
        <w:t>贰</w:t>
      </w:r>
      <w:r>
        <w:rPr>
          <w:sz w:val="24"/>
        </w:rPr>
        <w:t>份，招标代理机构</w:t>
      </w:r>
      <w:r>
        <w:rPr>
          <w:sz w:val="24"/>
          <w:u w:val="single"/>
        </w:rPr>
        <w:t>壹</w:t>
      </w:r>
      <w:r>
        <w:rPr>
          <w:sz w:val="24"/>
        </w:rPr>
        <w:t>份，具有同等法律效力，合同自签字之日起即时生效。</w:t>
      </w:r>
    </w:p>
    <w:p>
      <w:pPr>
        <w:ind w:firstLine="360"/>
        <w:jc w:val="both"/>
      </w:pPr>
      <w:r>
        <w:rPr>
          <w:sz w:val="24"/>
        </w:rPr>
        <w:t>14.2</w:t>
      </w:r>
      <w:r>
        <w:rPr>
          <w:sz w:val="24"/>
        </w:rPr>
        <w:t>本合同未尽事宜，由双方协商处理。</w:t>
      </w:r>
    </w:p>
    <w:p>
      <w:pPr>
        <w:ind w:firstLine="360"/>
        <w:jc w:val="both"/>
      </w:pPr>
    </w:p>
    <w:p>
      <w:pPr>
        <w:jc w:val="both"/>
      </w:pPr>
    </w:p>
    <w:p>
      <w:pPr>
        <w:jc w:val="both"/>
      </w:pP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vAlign w:val="top"/>
          </w:tcPr>
          <w:p>
            <w:pPr>
              <w:jc w:val="both"/>
            </w:pPr>
            <w:r>
              <w:rPr>
                <w:sz w:val="24"/>
              </w:rPr>
              <w:t>甲方：中山市石岐苏华赞医院</w:t>
            </w:r>
          </w:p>
        </w:tc>
        <w:tc>
          <w:tcPr>
            <w:tcW w:type="dxa" w:w="4153"/>
            <w:tcBorders>
              <w:top w:val="single" w:color="000000" w:sz="4"/>
              <w:left w:val="none" w:color="000000" w:sz="4"/>
              <w:bottom w:val="single" w:color="000000" w:sz="4"/>
              <w:right w:val="single" w:color="000000" w:sz="4"/>
            </w:tcBorders>
            <w:vAlign w:val="top"/>
          </w:tcPr>
          <w:p>
            <w:pPr>
              <w:jc w:val="both"/>
            </w:pPr>
            <w:r>
              <w:rPr>
                <w:sz w:val="21"/>
              </w:rPr>
              <w:t>乙方：</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法定代表人（负责人）：</w:t>
            </w:r>
          </w:p>
        </w:tc>
        <w:tc>
          <w:tcPr>
            <w:tcW w:type="dxa" w:w="4153"/>
            <w:tcBorders>
              <w:top w:val="none" w:color="000000" w:sz="4"/>
              <w:left w:val="none" w:color="000000" w:sz="4"/>
              <w:bottom w:val="single" w:color="000000" w:sz="4"/>
              <w:right w:val="single" w:color="000000" w:sz="4"/>
            </w:tcBorders>
            <w:vAlign w:val="top"/>
          </w:tcPr>
          <w:p>
            <w:pPr>
              <w:jc w:val="both"/>
            </w:pPr>
            <w:r>
              <w:rPr>
                <w:sz w:val="24"/>
              </w:rPr>
              <w:t>法定代表人（负责人）：</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签约代表：</w:t>
            </w:r>
          </w:p>
        </w:tc>
        <w:tc>
          <w:tcPr>
            <w:tcW w:type="dxa" w:w="4153"/>
            <w:tcBorders>
              <w:top w:val="none" w:color="000000" w:sz="4"/>
              <w:left w:val="none" w:color="000000" w:sz="4"/>
              <w:bottom w:val="single" w:color="000000" w:sz="4"/>
              <w:right w:val="single" w:color="000000" w:sz="4"/>
            </w:tcBorders>
            <w:vAlign w:val="top"/>
          </w:tcPr>
          <w:p>
            <w:pPr>
              <w:jc w:val="both"/>
            </w:pPr>
            <w:r>
              <w:rPr>
                <w:sz w:val="24"/>
              </w:rPr>
              <w:t>签约代表：</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地址：中山市</w:t>
            </w:r>
          </w:p>
        </w:tc>
        <w:tc>
          <w:tcPr>
            <w:tcW w:type="dxa" w:w="4153"/>
            <w:tcBorders>
              <w:top w:val="none" w:color="000000" w:sz="4"/>
              <w:left w:val="none" w:color="000000" w:sz="4"/>
              <w:bottom w:val="single" w:color="000000" w:sz="4"/>
              <w:right w:val="single" w:color="000000" w:sz="4"/>
            </w:tcBorders>
            <w:vAlign w:val="top"/>
          </w:tcPr>
          <w:p>
            <w:pPr>
              <w:jc w:val="both"/>
            </w:pPr>
            <w:r>
              <w:rPr>
                <w:sz w:val="21"/>
              </w:rPr>
              <w:t>地址：</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电话：</w:t>
            </w:r>
            <w:r>
              <w:rPr>
                <w:color w:val="000000"/>
                <w:sz w:val="24"/>
              </w:rPr>
              <w:t>0760-</w:t>
            </w:r>
          </w:p>
        </w:tc>
        <w:tc>
          <w:tcPr>
            <w:tcW w:type="dxa" w:w="4153"/>
            <w:tcBorders>
              <w:top w:val="none" w:color="000000" w:sz="4"/>
              <w:left w:val="none" w:color="000000" w:sz="4"/>
              <w:bottom w:val="single" w:color="000000" w:sz="4"/>
              <w:right w:val="single" w:color="000000" w:sz="4"/>
            </w:tcBorders>
            <w:vAlign w:val="top"/>
          </w:tcPr>
          <w:p>
            <w:pPr>
              <w:jc w:val="both"/>
            </w:pPr>
            <w:r>
              <w:rPr>
                <w:sz w:val="24"/>
              </w:rPr>
              <w:t>电话：</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传真：</w:t>
            </w:r>
          </w:p>
        </w:tc>
        <w:tc>
          <w:tcPr>
            <w:tcW w:type="dxa" w:w="4153"/>
            <w:tcBorders>
              <w:top w:val="none" w:color="000000" w:sz="4"/>
              <w:left w:val="none" w:color="000000" w:sz="4"/>
              <w:bottom w:val="single" w:color="000000" w:sz="4"/>
              <w:right w:val="single" w:color="000000" w:sz="4"/>
            </w:tcBorders>
            <w:vAlign w:val="top"/>
          </w:tcPr>
          <w:p>
            <w:pPr>
              <w:jc w:val="both"/>
            </w:pPr>
            <w:r>
              <w:rPr>
                <w:sz w:val="24"/>
              </w:rPr>
              <w:t>传真：</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纳税人识别号：</w:t>
            </w:r>
          </w:p>
        </w:tc>
        <w:tc>
          <w:tcPr>
            <w:tcW w:type="dxa" w:w="4153"/>
            <w:tcBorders>
              <w:top w:val="none" w:color="000000" w:sz="4"/>
              <w:left w:val="none" w:color="000000" w:sz="4"/>
              <w:bottom w:val="single" w:color="000000" w:sz="4"/>
              <w:right w:val="single" w:color="000000" w:sz="4"/>
            </w:tcBorders>
            <w:vAlign w:val="top"/>
          </w:tcPr>
          <w:p>
            <w:pPr>
              <w:jc w:val="both"/>
            </w:pPr>
            <w:r>
              <w:rPr>
                <w:sz w:val="24"/>
              </w:rPr>
              <w:t>纳税人识别号：</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开户银行：</w:t>
            </w:r>
            <w:r>
              <w:rPr>
                <w:sz w:val="24"/>
              </w:rPr>
              <w:t xml:space="preserve">                    </w:t>
            </w:r>
          </w:p>
          <w:p>
            <w:pPr>
              <w:jc w:val="both"/>
            </w:pPr>
          </w:p>
        </w:tc>
        <w:tc>
          <w:tcPr>
            <w:tcW w:type="dxa" w:w="4153"/>
            <w:tcBorders>
              <w:top w:val="none" w:color="000000" w:sz="4"/>
              <w:left w:val="none" w:color="000000" w:sz="4"/>
              <w:bottom w:val="single" w:color="000000" w:sz="4"/>
              <w:right w:val="single" w:color="000000" w:sz="4"/>
            </w:tcBorders>
            <w:vAlign w:val="top"/>
          </w:tcPr>
          <w:p>
            <w:pPr>
              <w:jc w:val="both"/>
            </w:pPr>
            <w:r>
              <w:rPr>
                <w:sz w:val="24"/>
              </w:rPr>
              <w:t>开户行：</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银行账号：</w:t>
            </w:r>
          </w:p>
        </w:tc>
        <w:tc>
          <w:tcPr>
            <w:tcW w:type="dxa" w:w="4153"/>
            <w:tcBorders>
              <w:top w:val="none" w:color="000000" w:sz="4"/>
              <w:left w:val="none" w:color="000000" w:sz="4"/>
              <w:bottom w:val="single" w:color="000000" w:sz="4"/>
              <w:right w:val="single" w:color="000000" w:sz="4"/>
            </w:tcBorders>
            <w:vAlign w:val="top"/>
          </w:tcPr>
          <w:p>
            <w:pPr>
              <w:jc w:val="both"/>
            </w:pPr>
            <w:r>
              <w:rPr>
                <w:sz w:val="24"/>
              </w:rPr>
              <w:t>账号：</w:t>
            </w:r>
          </w:p>
        </w:tc>
      </w:tr>
      <w:tr>
        <w:tc>
          <w:tcPr>
            <w:tcW w:type="dxa" w:w="4153"/>
            <w:tcBorders>
              <w:top w:val="none" w:color="000000" w:sz="4"/>
              <w:left w:val="single" w:color="000000" w:sz="4"/>
              <w:bottom w:val="single" w:color="000000" w:sz="4"/>
              <w:right w:val="single" w:color="000000" w:sz="4"/>
            </w:tcBorders>
            <w:vAlign w:val="top"/>
          </w:tcPr>
          <w:p>
            <w:pPr>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single" w:color="000000" w:sz="4"/>
              <w:right w:val="single" w:color="000000" w:sz="4"/>
            </w:tcBorders>
            <w:vAlign w:val="top"/>
          </w:tcPr>
          <w:p>
            <w:pPr>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bl>
    <w:p>
      <w:pPr>
        <w:jc w:val="both"/>
      </w:pPr>
    </w:p>
    <w:p>
      <w:pPr>
        <w:jc w:val="both"/>
      </w:pPr>
    </w:p>
    <w:p>
      <w:pPr>
        <w:jc w:val="both"/>
      </w:pPr>
      <w:r>
        <w:rPr>
          <w:sz w:val="21"/>
        </w:rPr>
        <w:t xml:space="preserve"> </w:t>
      </w:r>
    </w:p>
    <w:p>
      <w:pPr>
        <w:jc w:val="both"/>
      </w:pPr>
      <w:r>
        <w:rPr>
          <w:sz w:val="21"/>
        </w:rPr>
        <w:t xml:space="preserve"> </w:t>
      </w:r>
    </w:p>
    <w:p>
      <w:pPr>
        <w:jc w:val="both"/>
      </w:pPr>
      <w:r>
        <w:rPr>
          <w:sz w:val="21"/>
        </w:rPr>
        <w:t xml:space="preserve"> </w:t>
      </w:r>
    </w:p>
    <w:p>
      <w:pPr>
        <w:jc w:val="both"/>
      </w:pPr>
      <w:r>
        <w:rPr>
          <w:sz w:val="21"/>
        </w:rPr>
        <w:t xml:space="preserve"> </w:t>
      </w:r>
    </w:p>
    <w:p>
      <w:pPr>
        <w:jc w:val="both"/>
      </w:pPr>
      <w:r>
        <w:rPr>
          <w:b/>
          <w:sz w:val="28"/>
        </w:rPr>
        <w:t>附件：设备配置及技术参数</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442000001-2023-00359</w:t>
      </w:r>
    </w:p>
    <w:p>
      <w:pPr>
        <w:jc w:val="center"/>
      </w:pPr>
      <w:r>
        <w:rPr>
          <w:b/>
          <w:sz w:val="24"/>
        </w:rPr>
        <w:t>采购项目编号：</w:t>
      </w:r>
      <w:r>
        <w:rPr>
          <w:b/>
          <w:sz w:val="24"/>
        </w:rPr>
        <w:t>442000001-2023-00359</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中山市石岐苏华赞医院腰椎脊柱非手术减压治疗系统采购项目</w:t>
      </w:r>
      <w:r>
        <w:rPr>
          <w:u w:val="single"/>
        </w:rPr>
        <w:t>”</w:t>
      </w:r>
      <w:r>
        <w:rPr/>
        <w:t>项目的招标[采购项目编号为：</w:t>
      </w:r>
      <w:r>
        <w:rPr>
          <w:u w:val="single"/>
        </w:rPr>
        <w:t>442000001-2023-00359</w:t>
      </w:r>
      <w:r>
        <w:rPr/>
        <w:t>]，我方愿参与投标。</w:t>
      </w:r>
    </w:p>
    <w:p>
      <w:pPr>
        <w:ind w:firstLine="480"/>
      </w:pPr>
      <w:r>
        <w:rPr/>
        <w:t>我方确认收到贵方提供的</w:t>
      </w:r>
      <w:r>
        <w:rPr>
          <w:u w:val="single"/>
        </w:rPr>
        <w:t>“</w:t>
      </w:r>
      <w:r>
        <w:rPr>
          <w:u w:val="single"/>
        </w:rPr>
        <w:t>中山市石岐苏华赞医院腰椎脊柱非手术减压治疗系统采购项目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中山市石岐苏华赞医院腰椎脊柱非手术减压治疗系统采购项目</w:t>
      </w:r>
      <w:r>
        <w:rPr/>
        <w:t>”项目采购[采购项目编号为</w:t>
      </w:r>
      <w:r>
        <w:rPr/>
        <w:t>442000001-2023-00359</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中山市石岐苏华赞医院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中山市石岐苏华赞医院腰椎脊柱非手术减压治疗系统采购项目</w:t>
      </w:r>
      <w:r>
        <w:rPr/>
        <w:t>招标中获中标（采购项目编号：</w:t>
      </w:r>
      <w:r>
        <w:rPr/>
        <w:t>442000001-2023-00359</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中山市石岐苏华赞医院腰椎脊柱非手术减压治疗系统采购项目</w:t>
      </w:r>
      <w:r>
        <w:rPr/>
        <w:t>”项目（采购项目编号：</w:t>
      </w:r>
      <w:r>
        <w:rPr/>
        <w:t>442000001-2023-00359</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