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type="textWrapping"/>
      </w:r>
      <w:r>
        <w:br w:type="textWrapping"/>
      </w:r>
      <w:r>
        <w:br w:type="textWrapping"/>
      </w:r>
      <w:r>
        <w:br w:type="textWrapping"/>
      </w:r>
      <w:r>
        <w:br w:type="textWrapping"/>
      </w:r>
    </w:p>
    <w:p>
      <w:pPr>
        <w:jc w:val="center"/>
      </w:pPr>
      <w:r>
        <w:rPr>
          <w:b/>
          <w:sz w:val="48"/>
        </w:rPr>
        <w:t>广东省政府采购</w:t>
      </w:r>
    </w:p>
    <w:p/>
    <w:p>
      <w:pPr>
        <w:jc w:val="center"/>
      </w:pPr>
      <w:r>
        <w:rPr>
          <w:b/>
          <w:sz w:val="48"/>
        </w:rPr>
        <w:t>公开招标文件</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pPr>
        <w:jc w:val="center"/>
      </w:pPr>
      <w:r>
        <w:rPr>
          <w:b/>
          <w:sz w:val="24"/>
        </w:rPr>
        <w:t>采购计划编号：442000-2023-02175</w:t>
      </w:r>
    </w:p>
    <w:p>
      <w:pPr>
        <w:jc w:val="center"/>
      </w:pPr>
      <w:r>
        <w:rPr>
          <w:b/>
          <w:sz w:val="24"/>
        </w:rPr>
        <w:t>采购项目编号：442000-2023-02175</w:t>
      </w:r>
    </w:p>
    <w:p>
      <w:pPr>
        <w:jc w:val="center"/>
      </w:pPr>
      <w:r>
        <w:rPr>
          <w:b/>
          <w:sz w:val="24"/>
        </w:rPr>
        <w:t>项目名称：中山市食品药品检验所检验检测设备更新和能力提高项目</w:t>
      </w:r>
    </w:p>
    <w:p>
      <w:pPr>
        <w:jc w:val="center"/>
      </w:pPr>
      <w:r>
        <w:rPr>
          <w:b/>
          <w:sz w:val="24"/>
        </w:rPr>
        <w:t>采购人：中山市食品药品检验所</w:t>
      </w:r>
    </w:p>
    <w:p>
      <w:pPr>
        <w:jc w:val="center"/>
      </w:pPr>
      <w:r>
        <w:rPr>
          <w:b/>
          <w:sz w:val="24"/>
        </w:rPr>
        <w:t>采购代理机构：智林招标（广东）有限公司</w:t>
      </w:r>
    </w:p>
    <w:p>
      <w:pPr>
        <w:ind w:firstLine="480"/>
      </w:pPr>
    </w:p>
    <w:p>
      <w:r>
        <w:t xml:space="preserve"> </w:t>
      </w:r>
    </w:p>
    <w:p/>
    <w:p>
      <w:bookmarkStart w:id="0" w:name="_GoBack"/>
      <w:bookmarkEnd w:id="0"/>
    </w:p>
    <w:p>
      <w:pPr>
        <w:jc w:val="center"/>
      </w:pPr>
      <w:r>
        <w:rPr>
          <w:b/>
          <w:sz w:val="36"/>
        </w:rPr>
        <w:t>第一章投标邀请</w:t>
      </w:r>
    </w:p>
    <w:p>
      <w:pPr>
        <w:ind w:firstLine="480"/>
      </w:pPr>
      <w:r>
        <w:t>智林招标（广东）有限公司受中山市食品药品检验所的委托，采用公开招标方式组织采购中山市食品药品检验所检验检测设备更新和能力提高项目。欢迎符合资格条件的国内供应商参加投标。</w:t>
      </w:r>
    </w:p>
    <w:p>
      <w:r>
        <w:rPr>
          <w:b/>
          <w:sz w:val="28"/>
        </w:rPr>
        <w:t>一.项目概述</w:t>
      </w:r>
    </w:p>
    <w:p>
      <w:r>
        <w:rPr>
          <w:b/>
          <w:sz w:val="24"/>
        </w:rPr>
        <w:t>1.名称与编号</w:t>
      </w:r>
    </w:p>
    <w:p>
      <w:pPr>
        <w:ind w:firstLine="480"/>
      </w:pPr>
      <w:r>
        <w:t>项目名称：中山市食品药品检验所检验检测设备更新和能力提高项目</w:t>
      </w:r>
    </w:p>
    <w:p>
      <w:pPr>
        <w:ind w:firstLine="480"/>
      </w:pPr>
      <w:r>
        <w:t>采购计划编号：442000-2023-02175</w:t>
      </w:r>
    </w:p>
    <w:p>
      <w:pPr>
        <w:ind w:firstLine="480"/>
      </w:pPr>
      <w:r>
        <w:t>采购项目编号：442000-2023-02175</w:t>
      </w:r>
    </w:p>
    <w:p>
      <w:pPr>
        <w:ind w:firstLine="480"/>
      </w:pPr>
      <w:r>
        <w:t>采购方式：公开招标</w:t>
      </w:r>
    </w:p>
    <w:p>
      <w:pPr>
        <w:ind w:firstLine="480"/>
      </w:pPr>
      <w:r>
        <w:t>预算金额：2,000,000.00元</w:t>
      </w:r>
    </w:p>
    <w:p>
      <w:r>
        <w:rPr>
          <w:b/>
          <w:sz w:val="24"/>
        </w:rPr>
        <w:t>2.项目内容及需求情况（采购项目技术规格、参数及要求）</w:t>
      </w:r>
    </w:p>
    <w:p>
      <w:pPr>
        <w:ind w:firstLine="480"/>
      </w:pPr>
    </w:p>
    <w:p/>
    <w:p>
      <w:r>
        <w:t>采购包1(中山市食品药品检验所检验检测设备更新和能力提高项目):</w:t>
      </w:r>
    </w:p>
    <w:p>
      <w:r>
        <w:t>采购包预算金额：2,000,000.00元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424"/>
        <w:gridCol w:w="2136"/>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品目号</w:t>
            </w:r>
          </w:p>
        </w:tc>
        <w:tc>
          <w:tcPr>
            <w:tcW w:w="1424" w:type="dxa"/>
          </w:tcPr>
          <w:p>
            <w:r>
              <w:t>品目名称</w:t>
            </w:r>
          </w:p>
        </w:tc>
        <w:tc>
          <w:tcPr>
            <w:tcW w:w="2136" w:type="dxa"/>
          </w:tcPr>
          <w:p>
            <w:r>
              <w:t>采购标的</w:t>
            </w:r>
          </w:p>
        </w:tc>
        <w:tc>
          <w:tcPr>
            <w:tcW w:w="1187" w:type="dxa"/>
          </w:tcPr>
          <w:p>
            <w:r>
              <w:t>数量（单位）</w:t>
            </w:r>
          </w:p>
        </w:tc>
        <w:tc>
          <w:tcPr>
            <w:tcW w:w="1187" w:type="dxa"/>
          </w:tcPr>
          <w:p>
            <w:r>
              <w:t>技术规格、参数及要求</w:t>
            </w:r>
          </w:p>
        </w:tc>
        <w:tc>
          <w:tcPr>
            <w:tcW w:w="1187" w:type="dxa"/>
          </w:tcPr>
          <w:p>
            <w: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1-1</w:t>
            </w:r>
          </w:p>
        </w:tc>
        <w:tc>
          <w:tcPr>
            <w:tcW w:w="1424" w:type="dxa"/>
          </w:tcPr>
          <w:p>
            <w:r>
              <w:t>色谱仪</w:t>
            </w:r>
          </w:p>
        </w:tc>
        <w:tc>
          <w:tcPr>
            <w:tcW w:w="2136" w:type="dxa"/>
          </w:tcPr>
          <w:p>
            <w:r>
              <w:t>高效液相色谱仪</w:t>
            </w:r>
          </w:p>
        </w:tc>
        <w:tc>
          <w:tcPr>
            <w:tcW w:w="1187" w:type="dxa"/>
          </w:tcPr>
          <w:p>
            <w:r>
              <w:t>1(台)</w:t>
            </w:r>
          </w:p>
        </w:tc>
        <w:tc>
          <w:tcPr>
            <w:tcW w:w="1187" w:type="dxa"/>
          </w:tcPr>
          <w:p>
            <w:r>
              <w:t>详见第二章</w:t>
            </w:r>
          </w:p>
        </w:tc>
        <w:tc>
          <w:tcPr>
            <w:tcW w:w="1187" w:type="dxa"/>
          </w:tcPr>
          <w:p>
            <w:r>
              <w:t>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1-2</w:t>
            </w:r>
          </w:p>
        </w:tc>
        <w:tc>
          <w:tcPr>
            <w:tcW w:w="1424" w:type="dxa"/>
          </w:tcPr>
          <w:p>
            <w:r>
              <w:t>其他分析仪器</w:t>
            </w:r>
          </w:p>
        </w:tc>
        <w:tc>
          <w:tcPr>
            <w:tcW w:w="2136" w:type="dxa"/>
          </w:tcPr>
          <w:p>
            <w:r>
              <w:t>溶出试验仪</w:t>
            </w:r>
          </w:p>
        </w:tc>
        <w:tc>
          <w:tcPr>
            <w:tcW w:w="1187" w:type="dxa"/>
          </w:tcPr>
          <w:p>
            <w:r>
              <w:t>1(台)</w:t>
            </w:r>
          </w:p>
        </w:tc>
        <w:tc>
          <w:tcPr>
            <w:tcW w:w="1187" w:type="dxa"/>
          </w:tcPr>
          <w:p>
            <w:r>
              <w:t>详见第二章</w:t>
            </w:r>
          </w:p>
        </w:tc>
        <w:tc>
          <w:tcPr>
            <w:tcW w:w="1187"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1-3</w:t>
            </w:r>
          </w:p>
        </w:tc>
        <w:tc>
          <w:tcPr>
            <w:tcW w:w="1424" w:type="dxa"/>
          </w:tcPr>
          <w:p>
            <w:r>
              <w:t>物理特性分析仪器及校准仪器</w:t>
            </w:r>
          </w:p>
        </w:tc>
        <w:tc>
          <w:tcPr>
            <w:tcW w:w="2136" w:type="dxa"/>
          </w:tcPr>
          <w:p>
            <w:r>
              <w:t>粘度测量系统</w:t>
            </w:r>
          </w:p>
        </w:tc>
        <w:tc>
          <w:tcPr>
            <w:tcW w:w="1187" w:type="dxa"/>
          </w:tcPr>
          <w:p>
            <w:r>
              <w:t>1(台)</w:t>
            </w:r>
          </w:p>
        </w:tc>
        <w:tc>
          <w:tcPr>
            <w:tcW w:w="1187" w:type="dxa"/>
          </w:tcPr>
          <w:p>
            <w:r>
              <w:t>详见第二章</w:t>
            </w:r>
          </w:p>
        </w:tc>
        <w:tc>
          <w:tcPr>
            <w:tcW w:w="1187"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1-4</w:t>
            </w:r>
          </w:p>
        </w:tc>
        <w:tc>
          <w:tcPr>
            <w:tcW w:w="1424" w:type="dxa"/>
          </w:tcPr>
          <w:p>
            <w:r>
              <w:t>电化学分析仪器</w:t>
            </w:r>
          </w:p>
        </w:tc>
        <w:tc>
          <w:tcPr>
            <w:tcW w:w="2136" w:type="dxa"/>
          </w:tcPr>
          <w:p>
            <w:r>
              <w:t>pH计</w:t>
            </w:r>
          </w:p>
        </w:tc>
        <w:tc>
          <w:tcPr>
            <w:tcW w:w="1187" w:type="dxa"/>
          </w:tcPr>
          <w:p>
            <w:r>
              <w:t>1(台)</w:t>
            </w:r>
          </w:p>
        </w:tc>
        <w:tc>
          <w:tcPr>
            <w:tcW w:w="1187" w:type="dxa"/>
          </w:tcPr>
          <w:p>
            <w:r>
              <w:t>详见第二章</w:t>
            </w:r>
          </w:p>
        </w:tc>
        <w:tc>
          <w:tcPr>
            <w:tcW w:w="1187" w:type="dxa"/>
          </w:tcPr>
          <w:p>
            <w:r>
              <w:t>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1-5</w:t>
            </w:r>
          </w:p>
        </w:tc>
        <w:tc>
          <w:tcPr>
            <w:tcW w:w="1424" w:type="dxa"/>
          </w:tcPr>
          <w:p>
            <w:r>
              <w:t>其他分析仪器</w:t>
            </w:r>
          </w:p>
        </w:tc>
        <w:tc>
          <w:tcPr>
            <w:tcW w:w="2136" w:type="dxa"/>
          </w:tcPr>
          <w:p>
            <w:r>
              <w:t>超级微波消解仪</w:t>
            </w:r>
          </w:p>
        </w:tc>
        <w:tc>
          <w:tcPr>
            <w:tcW w:w="1187" w:type="dxa"/>
          </w:tcPr>
          <w:p>
            <w:r>
              <w:t>1(台)</w:t>
            </w:r>
          </w:p>
        </w:tc>
        <w:tc>
          <w:tcPr>
            <w:tcW w:w="1187" w:type="dxa"/>
          </w:tcPr>
          <w:p>
            <w:r>
              <w:t>详见第二章</w:t>
            </w:r>
          </w:p>
        </w:tc>
        <w:tc>
          <w:tcPr>
            <w:tcW w:w="1187"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1-6</w:t>
            </w:r>
          </w:p>
        </w:tc>
        <w:tc>
          <w:tcPr>
            <w:tcW w:w="1424" w:type="dxa"/>
          </w:tcPr>
          <w:p>
            <w:r>
              <w:t>其他仪器仪表</w:t>
            </w:r>
          </w:p>
        </w:tc>
        <w:tc>
          <w:tcPr>
            <w:tcW w:w="2136" w:type="dxa"/>
          </w:tcPr>
          <w:p>
            <w:r>
              <w:t>高压灭菌器</w:t>
            </w:r>
          </w:p>
        </w:tc>
        <w:tc>
          <w:tcPr>
            <w:tcW w:w="1187" w:type="dxa"/>
          </w:tcPr>
          <w:p>
            <w:r>
              <w:t>1(台)</w:t>
            </w:r>
          </w:p>
        </w:tc>
        <w:tc>
          <w:tcPr>
            <w:tcW w:w="1187" w:type="dxa"/>
          </w:tcPr>
          <w:p>
            <w:r>
              <w:t>详见第二章</w:t>
            </w:r>
          </w:p>
        </w:tc>
        <w:tc>
          <w:tcPr>
            <w:tcW w:w="1187"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1-7</w:t>
            </w:r>
          </w:p>
        </w:tc>
        <w:tc>
          <w:tcPr>
            <w:tcW w:w="1424" w:type="dxa"/>
          </w:tcPr>
          <w:p>
            <w:r>
              <w:t>其他仪器仪表</w:t>
            </w:r>
          </w:p>
        </w:tc>
        <w:tc>
          <w:tcPr>
            <w:tcW w:w="2136" w:type="dxa"/>
          </w:tcPr>
          <w:p>
            <w:r>
              <w:t>超低温冰箱</w:t>
            </w:r>
          </w:p>
        </w:tc>
        <w:tc>
          <w:tcPr>
            <w:tcW w:w="1187" w:type="dxa"/>
          </w:tcPr>
          <w:p>
            <w:r>
              <w:t>1(台)</w:t>
            </w:r>
          </w:p>
        </w:tc>
        <w:tc>
          <w:tcPr>
            <w:tcW w:w="1187" w:type="dxa"/>
          </w:tcPr>
          <w:p>
            <w:r>
              <w:t>详见第二章</w:t>
            </w:r>
          </w:p>
        </w:tc>
        <w:tc>
          <w:tcPr>
            <w:tcW w:w="1187"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1-8</w:t>
            </w:r>
          </w:p>
        </w:tc>
        <w:tc>
          <w:tcPr>
            <w:tcW w:w="1424" w:type="dxa"/>
          </w:tcPr>
          <w:p>
            <w:r>
              <w:t>其他分析仪器</w:t>
            </w:r>
          </w:p>
        </w:tc>
        <w:tc>
          <w:tcPr>
            <w:tcW w:w="2136" w:type="dxa"/>
          </w:tcPr>
          <w:p>
            <w:r>
              <w:t>凝胶成像系统</w:t>
            </w:r>
          </w:p>
        </w:tc>
        <w:tc>
          <w:tcPr>
            <w:tcW w:w="1187" w:type="dxa"/>
          </w:tcPr>
          <w:p>
            <w:r>
              <w:t>1(台)</w:t>
            </w:r>
          </w:p>
        </w:tc>
        <w:tc>
          <w:tcPr>
            <w:tcW w:w="1187" w:type="dxa"/>
          </w:tcPr>
          <w:p>
            <w:r>
              <w:t>详见第二章</w:t>
            </w:r>
          </w:p>
        </w:tc>
        <w:tc>
          <w:tcPr>
            <w:tcW w:w="1187" w:type="dxa"/>
          </w:tcPr>
          <w:p>
            <w:r>
              <w:t>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1-9</w:t>
            </w:r>
          </w:p>
        </w:tc>
        <w:tc>
          <w:tcPr>
            <w:tcW w:w="1424" w:type="dxa"/>
          </w:tcPr>
          <w:p>
            <w:r>
              <w:t>其他仪器仪表</w:t>
            </w:r>
          </w:p>
        </w:tc>
        <w:tc>
          <w:tcPr>
            <w:tcW w:w="2136" w:type="dxa"/>
          </w:tcPr>
          <w:p>
            <w:r>
              <w:t>隔水式恒温培养箱</w:t>
            </w:r>
          </w:p>
        </w:tc>
        <w:tc>
          <w:tcPr>
            <w:tcW w:w="1187" w:type="dxa"/>
          </w:tcPr>
          <w:p>
            <w:r>
              <w:t>1(台)</w:t>
            </w:r>
          </w:p>
        </w:tc>
        <w:tc>
          <w:tcPr>
            <w:tcW w:w="1187" w:type="dxa"/>
          </w:tcPr>
          <w:p>
            <w:r>
              <w:t>详见第二章</w:t>
            </w:r>
          </w:p>
        </w:tc>
        <w:tc>
          <w:tcPr>
            <w:tcW w:w="1187"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1-10</w:t>
            </w:r>
          </w:p>
        </w:tc>
        <w:tc>
          <w:tcPr>
            <w:tcW w:w="1424" w:type="dxa"/>
          </w:tcPr>
          <w:p>
            <w:r>
              <w:t>光学式分析仪器</w:t>
            </w:r>
          </w:p>
        </w:tc>
        <w:tc>
          <w:tcPr>
            <w:tcW w:w="2136" w:type="dxa"/>
          </w:tcPr>
          <w:p>
            <w:r>
              <w:t>偏光显微成像系统</w:t>
            </w:r>
          </w:p>
        </w:tc>
        <w:tc>
          <w:tcPr>
            <w:tcW w:w="1187" w:type="dxa"/>
          </w:tcPr>
          <w:p>
            <w:r>
              <w:t>1(台)</w:t>
            </w:r>
          </w:p>
        </w:tc>
        <w:tc>
          <w:tcPr>
            <w:tcW w:w="1187" w:type="dxa"/>
          </w:tcPr>
          <w:p>
            <w:r>
              <w:t>详见第二章</w:t>
            </w:r>
          </w:p>
        </w:tc>
        <w:tc>
          <w:tcPr>
            <w:tcW w:w="1187"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1-11</w:t>
            </w:r>
          </w:p>
        </w:tc>
        <w:tc>
          <w:tcPr>
            <w:tcW w:w="1424" w:type="dxa"/>
          </w:tcPr>
          <w:p>
            <w:r>
              <w:t>其他分析仪器</w:t>
            </w:r>
          </w:p>
        </w:tc>
        <w:tc>
          <w:tcPr>
            <w:tcW w:w="2136" w:type="dxa"/>
          </w:tcPr>
          <w:p>
            <w:r>
              <w:t>半自动定氮仪</w:t>
            </w:r>
          </w:p>
        </w:tc>
        <w:tc>
          <w:tcPr>
            <w:tcW w:w="1187" w:type="dxa"/>
          </w:tcPr>
          <w:p>
            <w:r>
              <w:t>1(台)</w:t>
            </w:r>
          </w:p>
        </w:tc>
        <w:tc>
          <w:tcPr>
            <w:tcW w:w="1187" w:type="dxa"/>
          </w:tcPr>
          <w:p>
            <w:r>
              <w:t>详见第二章</w:t>
            </w:r>
          </w:p>
        </w:tc>
        <w:tc>
          <w:tcPr>
            <w:tcW w:w="1187" w:type="dxa"/>
          </w:tcPr>
          <w:p>
            <w:r>
              <w:t>否</w:t>
            </w:r>
          </w:p>
        </w:tc>
      </w:tr>
    </w:tbl>
    <w:p/>
    <w:p>
      <w:r>
        <w:t>本采购包不接受联合体投标</w:t>
      </w:r>
    </w:p>
    <w:p/>
    <w:p>
      <w:r>
        <w:t>合同履行期限：中标后30天内凭中标通知书签订合同，签订合同后90个日历天内完成货物安装验收及交付使用。</w:t>
      </w:r>
    </w:p>
    <w:p/>
    <w:p>
      <w:r>
        <w:rPr>
          <w:b/>
          <w:sz w:val="28"/>
        </w:rPr>
        <w:t>二.投标人的资格要求</w:t>
      </w:r>
    </w:p>
    <w:p>
      <w:r>
        <w:rPr>
          <w:b/>
          <w:sz w:val="24"/>
        </w:rPr>
        <w:t>1.投标人应具备《中华人民共和国政府采购法》第二十二条规定的条件，提供下列材料：</w:t>
      </w:r>
    </w:p>
    <w:p>
      <w:pPr>
        <w:ind w:firstLine="480"/>
      </w:pPr>
    </w:p>
    <w:p/>
    <w:p>
      <w: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t>2）有依法缴纳税收和社会保障资金的良好记录：提供投标截止日前12个月内任意1个月依法缴纳税收和社会保障资金的相关材料。 如依法免税或不需要缴纳社会保障资金的， 提供相应证明材料。</w:t>
      </w:r>
    </w:p>
    <w:p/>
    <w:p>
      <w:r>
        <w:t>3）具有良好的商业信誉和健全的财务会计制度：提供2021年度或2022年度财务状况报告或投标截止日前12个月内任意1个月的财务报表复印件，财务报表须包含资产负债表、利润表或银行出具的资信证明材料复印件。</w:t>
      </w:r>
    </w:p>
    <w:p/>
    <w:p>
      <w:r>
        <w:t>4）履行合同所必需的设备和专业技术能力：请在投标文件里提供承诺书或说明书。</w:t>
      </w:r>
    </w:p>
    <w:p/>
    <w:p>
      <w: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t>采购包1（中山市食品药品检验所检验检测设备更新和能力提高项目）：本项目不专门面向中小企业采购。</w:t>
      </w:r>
    </w:p>
    <w:p/>
    <w:p>
      <w:r>
        <w:rPr>
          <w:b/>
          <w:sz w:val="24"/>
        </w:rPr>
        <w:t>3.本项目特定的资格要求：</w:t>
      </w:r>
    </w:p>
    <w:p>
      <w:pPr>
        <w:ind w:firstLine="480"/>
      </w:pPr>
    </w:p>
    <w:p/>
    <w:p>
      <w:r>
        <w:t>采购包1（中山市食品药品检验所检验检测设备更新和能力提高项目）：</w:t>
      </w:r>
    </w:p>
    <w:p/>
    <w:p>
      <w: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t>时间：详见招标公告及其变更公告（如有）</w:t>
      </w:r>
    </w:p>
    <w:p>
      <w:pPr>
        <w:ind w:firstLine="480"/>
      </w:pPr>
      <w:r>
        <w:t>地点：详见招标公告及其变更公告（如有）</w:t>
      </w:r>
    </w:p>
    <w:p>
      <w:pPr>
        <w:ind w:firstLine="480"/>
      </w:pPr>
      <w: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t>售价：免费</w:t>
      </w:r>
    </w:p>
    <w:p>
      <w:r>
        <w:rPr>
          <w:b/>
          <w:sz w:val="28"/>
        </w:rPr>
        <w:t>四.提交投标文件截止时间、开标时间和地点：</w:t>
      </w:r>
    </w:p>
    <w:p>
      <w:pPr>
        <w:ind w:firstLine="480"/>
      </w:pPr>
      <w:r>
        <w:t>提交投标文件截止时间和开标时间：详见招标公告及其变更公告（如有）</w:t>
      </w:r>
    </w:p>
    <w:p>
      <w:pPr>
        <w:ind w:firstLine="480"/>
      </w:pPr>
      <w:r>
        <w:t>（自招标文件开始发出之日起至投标人提交投标文件截止之日止，不得少于20日）</w:t>
      </w:r>
    </w:p>
    <w:p>
      <w:pPr>
        <w:ind w:firstLine="480"/>
      </w:pPr>
      <w:r>
        <w:t>地点：详见招标公告及其变更公告（如有）</w:t>
      </w:r>
    </w:p>
    <w:p>
      <w:r>
        <w:rPr>
          <w:b/>
          <w:sz w:val="28"/>
        </w:rPr>
        <w:t>五.公告期限、发布公告的媒介：</w:t>
      </w:r>
    </w:p>
    <w:p>
      <w:pPr>
        <w:ind w:firstLine="480"/>
      </w:pPr>
      <w:r>
        <w:t>1、公告期限：自本公告发布之日起不得少于5个工作日。</w:t>
      </w:r>
    </w:p>
    <w:p>
      <w:pPr>
        <w:ind w:firstLine="480"/>
      </w:pPr>
      <w:r>
        <w:t>2、发布公告的媒介：中国政府采购网(www.ccgp.gov.cn)、广东省政府采购网(https://gdgpo.czt.gd.gov.cn/)；中山市政府采购网(http://120.234.108.5:8088/zfcg/）、广东省公共资源交易平台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t>名称：中山市食品药品检验所</w:t>
      </w:r>
    </w:p>
    <w:p>
      <w:pPr>
        <w:ind w:firstLine="480"/>
      </w:pPr>
      <w:r>
        <w:t>地址：中山市火炬开发区步云路8号之四</w:t>
      </w:r>
    </w:p>
    <w:p>
      <w:pPr>
        <w:ind w:firstLine="480"/>
      </w:pPr>
      <w:r>
        <w:t>联系方式：0760-85336509</w:t>
      </w:r>
    </w:p>
    <w:p>
      <w:r>
        <w:rPr>
          <w:b/>
          <w:sz w:val="24"/>
        </w:rPr>
        <w:t>2.采购代理机构信息</w:t>
      </w:r>
    </w:p>
    <w:p>
      <w:pPr>
        <w:ind w:firstLine="480"/>
      </w:pPr>
      <w:r>
        <w:t>名称：智林招标（广东）有限公司</w:t>
      </w:r>
    </w:p>
    <w:p>
      <w:pPr>
        <w:ind w:firstLine="480"/>
      </w:pPr>
      <w:r>
        <w:t>地址：广东省中山市石岐街道中山市石岐区东明北路18号206卡（之十一）</w:t>
      </w:r>
    </w:p>
    <w:p>
      <w:pPr>
        <w:ind w:firstLine="480"/>
      </w:pPr>
      <w:r>
        <w:t>联系方式：0760-88889687</w:t>
      </w:r>
    </w:p>
    <w:p>
      <w:r>
        <w:rPr>
          <w:b/>
          <w:sz w:val="24"/>
        </w:rPr>
        <w:t>3.项目联系方式</w:t>
      </w:r>
    </w:p>
    <w:p>
      <w:pPr>
        <w:ind w:firstLine="480"/>
      </w:pPr>
      <w:r>
        <w:t>项目联系人：刘晓婷</w:t>
      </w:r>
    </w:p>
    <w:p>
      <w:pPr>
        <w:ind w:firstLine="480"/>
      </w:pPr>
      <w:r>
        <w:t>电话：0760-88889687</w:t>
      </w:r>
    </w:p>
    <w:p>
      <w:r>
        <w:rPr>
          <w:b/>
          <w:sz w:val="24"/>
        </w:rPr>
        <w:t>4.技术支持联系方式</w:t>
      </w:r>
    </w:p>
    <w:p>
      <w:pPr>
        <w:ind w:firstLine="480"/>
      </w:pPr>
      <w:r>
        <w:t>云平台联系方式：020-88696588</w:t>
      </w:r>
    </w:p>
    <w:p>
      <w:r>
        <w:t>采购代理机构：智林招标（广东）有限公司</w:t>
      </w:r>
    </w:p>
    <w:p>
      <w:pPr>
        <w:ind w:firstLine="480"/>
      </w:pPr>
    </w:p>
    <w:p>
      <w:r>
        <w:t xml:space="preserve"> </w:t>
      </w:r>
    </w:p>
    <w:p/>
    <w:p>
      <w:pPr>
        <w:jc w:val="center"/>
      </w:pPr>
      <w:r>
        <w:rPr>
          <w:b/>
          <w:sz w:val="36"/>
        </w:rPr>
        <w:t>第二章 采购需求</w:t>
      </w:r>
    </w:p>
    <w:p>
      <w:r>
        <w:rPr>
          <w:b/>
          <w:sz w:val="28"/>
        </w:rPr>
        <w:t>一、项目概况：</w:t>
      </w:r>
    </w:p>
    <w:p>
      <w:pPr>
        <w:ind w:firstLine="480"/>
      </w:pPr>
    </w:p>
    <w:p/>
    <w:p>
      <w:pPr>
        <w:jc w:val="both"/>
      </w:pPr>
      <w:r>
        <w:rPr>
          <w:sz w:val="24"/>
        </w:rPr>
        <w:t>1.项目名称：中山市食品药品检验所检验检测设备更新和能力提高项目</w:t>
      </w:r>
    </w:p>
    <w:p>
      <w:pPr>
        <w:jc w:val="left"/>
      </w:pPr>
      <w:r>
        <w:rPr>
          <w:sz w:val="24"/>
        </w:rPr>
        <w:t>2.采购计划编号：442000-2023-02175</w:t>
      </w:r>
    </w:p>
    <w:p>
      <w:pPr>
        <w:jc w:val="left"/>
      </w:pPr>
      <w:r>
        <w:rPr>
          <w:sz w:val="24"/>
        </w:rPr>
        <w:t>3.采购项目编号：442000-2023-02175</w:t>
      </w:r>
    </w:p>
    <w:p>
      <w:pPr>
        <w:jc w:val="left"/>
      </w:pPr>
      <w:r>
        <w:rPr>
          <w:sz w:val="24"/>
        </w:rPr>
        <w:t>4.采购方式：公开招标</w:t>
      </w:r>
    </w:p>
    <w:p>
      <w:pPr>
        <w:jc w:val="left"/>
      </w:pPr>
      <w:r>
        <w:rPr>
          <w:sz w:val="24"/>
        </w:rPr>
        <w:t>5.项目总预算：2,000,000.00元</w:t>
      </w:r>
    </w:p>
    <w:p>
      <w:pPr>
        <w:jc w:val="left"/>
      </w:pPr>
      <w:r>
        <w:rPr>
          <w:sz w:val="24"/>
        </w:rPr>
        <w:t xml:space="preserve">6.项目内容：  </w:t>
      </w:r>
      <w:r>
        <w:br w:type="textWrapping"/>
      </w:r>
    </w:p>
    <w:p>
      <w:r>
        <w:t xml:space="preserve">   </w:t>
      </w:r>
    </w:p>
    <w:tbl>
      <w:tblPr>
        <w:tblStyle w:val="2"/>
        <w:tblW w:w="0" w:type="auto"/>
        <w:tblInd w:w="15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60"/>
        <w:gridCol w:w="1729"/>
        <w:gridCol w:w="597"/>
        <w:gridCol w:w="1473"/>
        <w:gridCol w:w="1633"/>
        <w:gridCol w:w="2402"/>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single" w:color="000000" w:sz="4" w:space="0"/>
              <w:left w:val="single" w:color="000000" w:sz="4" w:space="0"/>
              <w:bottom w:val="single" w:color="000000" w:sz="4" w:space="0"/>
              <w:right w:val="single" w:color="000000" w:sz="4" w:space="0"/>
            </w:tcBorders>
            <w:vAlign w:val="top"/>
          </w:tcPr>
          <w:p>
            <w:pPr>
              <w:jc w:val="both"/>
            </w:pPr>
            <w:r>
              <w:rPr>
                <w:sz w:val="24"/>
              </w:rPr>
              <w:t>序号</w:t>
            </w:r>
          </w:p>
        </w:tc>
        <w:tc>
          <w:tcPr>
            <w:tcW w:w="1729" w:type="dxa"/>
            <w:tcBorders>
              <w:top w:val="single" w:color="000000" w:sz="4" w:space="0"/>
              <w:left w:val="single" w:color="000000" w:sz="4" w:space="0"/>
              <w:bottom w:val="single" w:color="000000" w:sz="4" w:space="0"/>
              <w:right w:val="single" w:color="000000" w:sz="4" w:space="0"/>
            </w:tcBorders>
            <w:vAlign w:val="top"/>
          </w:tcPr>
          <w:p>
            <w:pPr>
              <w:jc w:val="center"/>
            </w:pPr>
            <w:r>
              <w:rPr>
                <w:sz w:val="24"/>
              </w:rPr>
              <w:t>产品名称</w:t>
            </w:r>
          </w:p>
        </w:tc>
        <w:tc>
          <w:tcPr>
            <w:tcW w:w="597" w:type="dxa"/>
            <w:tcBorders>
              <w:top w:val="single" w:color="000000" w:sz="4" w:space="0"/>
              <w:left w:val="single" w:color="000000" w:sz="4" w:space="0"/>
              <w:bottom w:val="single" w:color="000000" w:sz="4" w:space="0"/>
              <w:right w:val="single" w:color="000000" w:sz="4" w:space="0"/>
            </w:tcBorders>
            <w:vAlign w:val="top"/>
          </w:tcPr>
          <w:p>
            <w:pPr>
              <w:jc w:val="center"/>
            </w:pPr>
            <w:r>
              <w:rPr>
                <w:sz w:val="24"/>
              </w:rPr>
              <w:t>数量</w:t>
            </w:r>
          </w:p>
        </w:tc>
        <w:tc>
          <w:tcPr>
            <w:tcW w:w="1473" w:type="dxa"/>
            <w:tcBorders>
              <w:top w:val="single" w:color="000000" w:sz="4" w:space="0"/>
              <w:left w:val="single" w:color="000000" w:sz="4" w:space="0"/>
              <w:bottom w:val="single" w:color="000000" w:sz="4" w:space="0"/>
              <w:right w:val="single" w:color="000000" w:sz="4" w:space="0"/>
            </w:tcBorders>
            <w:vAlign w:val="top"/>
          </w:tcPr>
          <w:p>
            <w:pPr>
              <w:jc w:val="center"/>
            </w:pPr>
            <w:r>
              <w:rPr>
                <w:sz w:val="24"/>
              </w:rPr>
              <w:t>预算金额（元）</w:t>
            </w:r>
          </w:p>
        </w:tc>
        <w:tc>
          <w:tcPr>
            <w:tcW w:w="1633" w:type="dxa"/>
            <w:tcBorders>
              <w:top w:val="single" w:color="000000" w:sz="4" w:space="0"/>
              <w:left w:val="single" w:color="000000" w:sz="4" w:space="0"/>
              <w:bottom w:val="single" w:color="000000" w:sz="4" w:space="0"/>
              <w:right w:val="single" w:color="000000" w:sz="4" w:space="0"/>
            </w:tcBorders>
            <w:vAlign w:val="top"/>
          </w:tcPr>
          <w:p>
            <w:pPr>
              <w:jc w:val="center"/>
            </w:pPr>
            <w:r>
              <w:rPr>
                <w:sz w:val="24"/>
              </w:rPr>
              <w:t>投标上限价（元）</w:t>
            </w:r>
            <w:r>
              <w:br w:type="textWrapping"/>
            </w:r>
          </w:p>
        </w:tc>
        <w:tc>
          <w:tcPr>
            <w:tcW w:w="2402" w:type="dxa"/>
            <w:tcBorders>
              <w:top w:val="single" w:color="000000" w:sz="4" w:space="0"/>
              <w:left w:val="single" w:color="000000" w:sz="4" w:space="0"/>
              <w:bottom w:val="single" w:color="000000" w:sz="4" w:space="0"/>
              <w:right w:val="single" w:color="000000" w:sz="4" w:space="0"/>
            </w:tcBorders>
            <w:vAlign w:val="top"/>
          </w:tcPr>
          <w:p>
            <w:pPr>
              <w:jc w:val="center"/>
            </w:pPr>
            <w:r>
              <w:rPr>
                <w:sz w:val="24"/>
              </w:rPr>
              <w:t>备注</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nil"/>
              <w:left w:val="single" w:color="000000" w:sz="4" w:space="0"/>
              <w:bottom w:val="single" w:color="000000" w:sz="4" w:space="0"/>
              <w:right w:val="single" w:color="000000" w:sz="4" w:space="0"/>
            </w:tcBorders>
            <w:vAlign w:val="top"/>
          </w:tcPr>
          <w:p>
            <w:pPr>
              <w:jc w:val="both"/>
            </w:pPr>
            <w:r>
              <w:rPr>
                <w:sz w:val="24"/>
              </w:rPr>
              <w:t>1</w:t>
            </w:r>
          </w:p>
        </w:tc>
        <w:tc>
          <w:tcPr>
            <w:tcW w:w="1729" w:type="dxa"/>
            <w:tcBorders>
              <w:top w:val="nil"/>
              <w:left w:val="single" w:color="000000" w:sz="4" w:space="0"/>
              <w:bottom w:val="single" w:color="000000" w:sz="4" w:space="0"/>
              <w:right w:val="single" w:color="000000" w:sz="4" w:space="0"/>
            </w:tcBorders>
            <w:vAlign w:val="top"/>
          </w:tcPr>
          <w:p>
            <w:pPr>
              <w:jc w:val="both"/>
            </w:pPr>
            <w:r>
              <w:rPr>
                <w:sz w:val="24"/>
              </w:rPr>
              <w:t>高效液相色谱仪</w:t>
            </w:r>
          </w:p>
        </w:tc>
        <w:tc>
          <w:tcPr>
            <w:tcW w:w="597" w:type="dxa"/>
            <w:tcBorders>
              <w:top w:val="nil"/>
              <w:left w:val="single" w:color="000000" w:sz="4" w:space="0"/>
              <w:bottom w:val="single" w:color="000000" w:sz="4" w:space="0"/>
              <w:right w:val="single" w:color="000000" w:sz="4" w:space="0"/>
            </w:tcBorders>
            <w:vAlign w:val="top"/>
          </w:tcPr>
          <w:p>
            <w:pPr>
              <w:jc w:val="center"/>
            </w:pPr>
            <w:r>
              <w:rPr>
                <w:color w:val="000000"/>
                <w:sz w:val="24"/>
              </w:rPr>
              <w:t>1台</w:t>
            </w:r>
          </w:p>
        </w:tc>
        <w:tc>
          <w:tcPr>
            <w:tcW w:w="1473" w:type="dxa"/>
            <w:tcBorders>
              <w:top w:val="nil"/>
              <w:left w:val="single" w:color="000000" w:sz="4" w:space="0"/>
              <w:bottom w:val="single" w:color="000000" w:sz="4" w:space="0"/>
              <w:right w:val="single" w:color="000000" w:sz="4" w:space="0"/>
            </w:tcBorders>
            <w:vAlign w:val="top"/>
          </w:tcPr>
          <w:p>
            <w:pPr>
              <w:jc w:val="center"/>
            </w:pPr>
            <w:r>
              <w:rPr>
                <w:sz w:val="24"/>
              </w:rPr>
              <w:t>380000.00</w:t>
            </w:r>
          </w:p>
        </w:tc>
        <w:tc>
          <w:tcPr>
            <w:tcW w:w="1633" w:type="dxa"/>
            <w:tcBorders>
              <w:top w:val="nil"/>
              <w:left w:val="single" w:color="000000" w:sz="4" w:space="0"/>
              <w:bottom w:val="single" w:color="000000" w:sz="4" w:space="0"/>
              <w:right w:val="single" w:color="000000" w:sz="4" w:space="0"/>
            </w:tcBorders>
            <w:vAlign w:val="top"/>
          </w:tcPr>
          <w:p>
            <w:pPr>
              <w:jc w:val="center"/>
            </w:pPr>
            <w:r>
              <w:rPr>
                <w:sz w:val="24"/>
              </w:rPr>
              <w:t>380000.00</w:t>
            </w:r>
          </w:p>
        </w:tc>
        <w:tc>
          <w:tcPr>
            <w:tcW w:w="2402" w:type="dxa"/>
            <w:tcBorders>
              <w:top w:val="nil"/>
              <w:left w:val="single" w:color="000000" w:sz="4" w:space="0"/>
              <w:bottom w:val="single" w:color="000000" w:sz="4" w:space="0"/>
              <w:right w:val="single" w:color="000000" w:sz="4" w:space="0"/>
            </w:tcBorders>
            <w:vAlign w:val="top"/>
          </w:tcPr>
          <w:p>
            <w:pPr>
              <w:jc w:val="center"/>
            </w:pPr>
            <w:r>
              <w:rPr>
                <w:sz w:val="24"/>
              </w:rPr>
              <w:t>允许采购进口产品</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nil"/>
              <w:left w:val="single" w:color="000000" w:sz="4" w:space="0"/>
              <w:bottom w:val="single" w:color="000000" w:sz="4" w:space="0"/>
              <w:right w:val="single" w:color="000000" w:sz="4" w:space="0"/>
            </w:tcBorders>
            <w:vAlign w:val="top"/>
          </w:tcPr>
          <w:p>
            <w:pPr>
              <w:jc w:val="both"/>
            </w:pPr>
            <w:r>
              <w:rPr>
                <w:sz w:val="24"/>
              </w:rPr>
              <w:t>2</w:t>
            </w:r>
          </w:p>
        </w:tc>
        <w:tc>
          <w:tcPr>
            <w:tcW w:w="1729" w:type="dxa"/>
            <w:tcBorders>
              <w:top w:val="nil"/>
              <w:left w:val="single" w:color="000000" w:sz="4" w:space="0"/>
              <w:bottom w:val="single" w:color="000000" w:sz="4" w:space="0"/>
              <w:right w:val="single" w:color="000000" w:sz="4" w:space="0"/>
            </w:tcBorders>
            <w:vAlign w:val="top"/>
          </w:tcPr>
          <w:p>
            <w:pPr>
              <w:jc w:val="both"/>
            </w:pPr>
            <w:r>
              <w:rPr>
                <w:sz w:val="24"/>
              </w:rPr>
              <w:t>溶出试验仪</w:t>
            </w:r>
          </w:p>
        </w:tc>
        <w:tc>
          <w:tcPr>
            <w:tcW w:w="597" w:type="dxa"/>
            <w:tcBorders>
              <w:top w:val="nil"/>
              <w:left w:val="single" w:color="000000" w:sz="4" w:space="0"/>
              <w:bottom w:val="single" w:color="000000" w:sz="4" w:space="0"/>
              <w:right w:val="single" w:color="000000" w:sz="4" w:space="0"/>
            </w:tcBorders>
            <w:vAlign w:val="top"/>
          </w:tcPr>
          <w:p>
            <w:pPr>
              <w:jc w:val="center"/>
            </w:pPr>
            <w:r>
              <w:rPr>
                <w:color w:val="000000"/>
                <w:sz w:val="24"/>
              </w:rPr>
              <w:t>1台</w:t>
            </w:r>
          </w:p>
        </w:tc>
        <w:tc>
          <w:tcPr>
            <w:tcW w:w="1473" w:type="dxa"/>
            <w:tcBorders>
              <w:top w:val="nil"/>
              <w:left w:val="single" w:color="000000" w:sz="4" w:space="0"/>
              <w:bottom w:val="single" w:color="000000" w:sz="4" w:space="0"/>
              <w:right w:val="single" w:color="000000" w:sz="4" w:space="0"/>
            </w:tcBorders>
            <w:vAlign w:val="top"/>
          </w:tcPr>
          <w:p>
            <w:pPr>
              <w:jc w:val="center"/>
            </w:pPr>
            <w:r>
              <w:rPr>
                <w:sz w:val="24"/>
              </w:rPr>
              <w:t>61000.00</w:t>
            </w:r>
          </w:p>
        </w:tc>
        <w:tc>
          <w:tcPr>
            <w:tcW w:w="1633" w:type="dxa"/>
            <w:tcBorders>
              <w:top w:val="nil"/>
              <w:left w:val="single" w:color="000000" w:sz="4" w:space="0"/>
              <w:bottom w:val="single" w:color="000000" w:sz="4" w:space="0"/>
              <w:right w:val="single" w:color="000000" w:sz="4" w:space="0"/>
            </w:tcBorders>
            <w:vAlign w:val="top"/>
          </w:tcPr>
          <w:p>
            <w:pPr>
              <w:jc w:val="center"/>
            </w:pPr>
            <w:r>
              <w:rPr>
                <w:sz w:val="24"/>
              </w:rPr>
              <w:t>61000.00</w:t>
            </w:r>
          </w:p>
        </w:tc>
        <w:tc>
          <w:tcPr>
            <w:tcW w:w="2402"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nil"/>
              <w:left w:val="single" w:color="000000" w:sz="4" w:space="0"/>
              <w:bottom w:val="single" w:color="000000" w:sz="4" w:space="0"/>
              <w:right w:val="single" w:color="000000" w:sz="4" w:space="0"/>
            </w:tcBorders>
            <w:vAlign w:val="top"/>
          </w:tcPr>
          <w:p>
            <w:pPr>
              <w:jc w:val="both"/>
            </w:pPr>
            <w:r>
              <w:rPr>
                <w:sz w:val="24"/>
              </w:rPr>
              <w:t>3</w:t>
            </w:r>
          </w:p>
        </w:tc>
        <w:tc>
          <w:tcPr>
            <w:tcW w:w="1729" w:type="dxa"/>
            <w:tcBorders>
              <w:top w:val="nil"/>
              <w:left w:val="single" w:color="000000" w:sz="4" w:space="0"/>
              <w:bottom w:val="single" w:color="000000" w:sz="4" w:space="0"/>
              <w:right w:val="single" w:color="000000" w:sz="4" w:space="0"/>
            </w:tcBorders>
            <w:vAlign w:val="top"/>
          </w:tcPr>
          <w:p>
            <w:pPr>
              <w:jc w:val="both"/>
            </w:pPr>
            <w:r>
              <w:rPr>
                <w:sz w:val="24"/>
              </w:rPr>
              <w:t>粘度测量系统</w:t>
            </w:r>
          </w:p>
        </w:tc>
        <w:tc>
          <w:tcPr>
            <w:tcW w:w="597" w:type="dxa"/>
            <w:tcBorders>
              <w:top w:val="nil"/>
              <w:left w:val="single" w:color="000000" w:sz="4" w:space="0"/>
              <w:bottom w:val="single" w:color="000000" w:sz="4" w:space="0"/>
              <w:right w:val="single" w:color="000000" w:sz="4" w:space="0"/>
            </w:tcBorders>
            <w:vAlign w:val="top"/>
          </w:tcPr>
          <w:p>
            <w:pPr>
              <w:jc w:val="center"/>
            </w:pPr>
            <w:r>
              <w:rPr>
                <w:color w:val="000000"/>
                <w:sz w:val="24"/>
              </w:rPr>
              <w:t>1台</w:t>
            </w:r>
          </w:p>
        </w:tc>
        <w:tc>
          <w:tcPr>
            <w:tcW w:w="1473" w:type="dxa"/>
            <w:tcBorders>
              <w:top w:val="nil"/>
              <w:left w:val="single" w:color="000000" w:sz="4" w:space="0"/>
              <w:bottom w:val="single" w:color="000000" w:sz="4" w:space="0"/>
              <w:right w:val="single" w:color="000000" w:sz="4" w:space="0"/>
            </w:tcBorders>
            <w:vAlign w:val="top"/>
          </w:tcPr>
          <w:p>
            <w:pPr>
              <w:jc w:val="center"/>
            </w:pPr>
            <w:r>
              <w:rPr>
                <w:sz w:val="24"/>
              </w:rPr>
              <w:t>100000.00</w:t>
            </w:r>
          </w:p>
        </w:tc>
        <w:tc>
          <w:tcPr>
            <w:tcW w:w="1633" w:type="dxa"/>
            <w:tcBorders>
              <w:top w:val="nil"/>
              <w:left w:val="single" w:color="000000" w:sz="4" w:space="0"/>
              <w:bottom w:val="single" w:color="000000" w:sz="4" w:space="0"/>
              <w:right w:val="single" w:color="000000" w:sz="4" w:space="0"/>
            </w:tcBorders>
            <w:vAlign w:val="top"/>
          </w:tcPr>
          <w:p>
            <w:pPr>
              <w:jc w:val="center"/>
            </w:pPr>
            <w:r>
              <w:rPr>
                <w:sz w:val="24"/>
              </w:rPr>
              <w:t>100000.00</w:t>
            </w:r>
          </w:p>
        </w:tc>
        <w:tc>
          <w:tcPr>
            <w:tcW w:w="2402"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nil"/>
              <w:left w:val="single" w:color="000000" w:sz="4" w:space="0"/>
              <w:bottom w:val="single" w:color="000000" w:sz="4" w:space="0"/>
              <w:right w:val="single" w:color="000000" w:sz="4" w:space="0"/>
            </w:tcBorders>
            <w:vAlign w:val="top"/>
          </w:tcPr>
          <w:p>
            <w:pPr>
              <w:jc w:val="both"/>
            </w:pPr>
            <w:r>
              <w:rPr>
                <w:sz w:val="24"/>
              </w:rPr>
              <w:t>4</w:t>
            </w:r>
          </w:p>
        </w:tc>
        <w:tc>
          <w:tcPr>
            <w:tcW w:w="1729" w:type="dxa"/>
            <w:tcBorders>
              <w:top w:val="nil"/>
              <w:left w:val="single" w:color="000000" w:sz="4" w:space="0"/>
              <w:bottom w:val="single" w:color="000000" w:sz="4" w:space="0"/>
              <w:right w:val="single" w:color="000000" w:sz="4" w:space="0"/>
            </w:tcBorders>
            <w:vAlign w:val="top"/>
          </w:tcPr>
          <w:p>
            <w:pPr>
              <w:jc w:val="both"/>
            </w:pPr>
            <w:r>
              <w:rPr>
                <w:sz w:val="24"/>
              </w:rPr>
              <w:t>pH计</w:t>
            </w:r>
          </w:p>
        </w:tc>
        <w:tc>
          <w:tcPr>
            <w:tcW w:w="597" w:type="dxa"/>
            <w:tcBorders>
              <w:top w:val="nil"/>
              <w:left w:val="single" w:color="000000" w:sz="4" w:space="0"/>
              <w:bottom w:val="single" w:color="000000" w:sz="4" w:space="0"/>
              <w:right w:val="single" w:color="000000" w:sz="4" w:space="0"/>
            </w:tcBorders>
            <w:vAlign w:val="top"/>
          </w:tcPr>
          <w:p>
            <w:pPr>
              <w:jc w:val="center"/>
            </w:pPr>
            <w:r>
              <w:rPr>
                <w:color w:val="000000"/>
                <w:sz w:val="24"/>
              </w:rPr>
              <w:t>1台</w:t>
            </w:r>
          </w:p>
        </w:tc>
        <w:tc>
          <w:tcPr>
            <w:tcW w:w="1473" w:type="dxa"/>
            <w:tcBorders>
              <w:top w:val="nil"/>
              <w:left w:val="single" w:color="000000" w:sz="4" w:space="0"/>
              <w:bottom w:val="single" w:color="000000" w:sz="4" w:space="0"/>
              <w:right w:val="single" w:color="000000" w:sz="4" w:space="0"/>
            </w:tcBorders>
            <w:vAlign w:val="top"/>
          </w:tcPr>
          <w:p>
            <w:pPr>
              <w:jc w:val="center"/>
            </w:pPr>
            <w:r>
              <w:rPr>
                <w:sz w:val="24"/>
              </w:rPr>
              <w:t>21000.00</w:t>
            </w:r>
          </w:p>
        </w:tc>
        <w:tc>
          <w:tcPr>
            <w:tcW w:w="1633" w:type="dxa"/>
            <w:tcBorders>
              <w:top w:val="nil"/>
              <w:left w:val="single" w:color="000000" w:sz="4" w:space="0"/>
              <w:bottom w:val="single" w:color="000000" w:sz="4" w:space="0"/>
              <w:right w:val="single" w:color="000000" w:sz="4" w:space="0"/>
            </w:tcBorders>
            <w:vAlign w:val="top"/>
          </w:tcPr>
          <w:p>
            <w:pPr>
              <w:jc w:val="center"/>
            </w:pPr>
            <w:r>
              <w:rPr>
                <w:sz w:val="24"/>
              </w:rPr>
              <w:t>21000.00</w:t>
            </w:r>
          </w:p>
        </w:tc>
        <w:tc>
          <w:tcPr>
            <w:tcW w:w="2402" w:type="dxa"/>
            <w:tcBorders>
              <w:top w:val="nil"/>
              <w:left w:val="single" w:color="000000" w:sz="4" w:space="0"/>
              <w:bottom w:val="single" w:color="000000" w:sz="4" w:space="0"/>
              <w:right w:val="single" w:color="000000" w:sz="4" w:space="0"/>
            </w:tcBorders>
            <w:vAlign w:val="top"/>
          </w:tcPr>
          <w:p>
            <w:pPr>
              <w:jc w:val="center"/>
            </w:pPr>
            <w:r>
              <w:rPr>
                <w:sz w:val="24"/>
              </w:rPr>
              <w:t>允许采购进口产品</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nil"/>
              <w:left w:val="single" w:color="000000" w:sz="4" w:space="0"/>
              <w:bottom w:val="single" w:color="000000" w:sz="4" w:space="0"/>
              <w:right w:val="single" w:color="000000" w:sz="4" w:space="0"/>
            </w:tcBorders>
            <w:vAlign w:val="top"/>
          </w:tcPr>
          <w:p>
            <w:pPr>
              <w:jc w:val="both"/>
            </w:pPr>
            <w:r>
              <w:rPr>
                <w:sz w:val="24"/>
              </w:rPr>
              <w:t>5</w:t>
            </w:r>
          </w:p>
        </w:tc>
        <w:tc>
          <w:tcPr>
            <w:tcW w:w="1729" w:type="dxa"/>
            <w:tcBorders>
              <w:top w:val="nil"/>
              <w:left w:val="single" w:color="000000" w:sz="4" w:space="0"/>
              <w:bottom w:val="single" w:color="000000" w:sz="4" w:space="0"/>
              <w:right w:val="single" w:color="000000" w:sz="4" w:space="0"/>
            </w:tcBorders>
            <w:vAlign w:val="top"/>
          </w:tcPr>
          <w:p>
            <w:pPr>
              <w:jc w:val="both"/>
            </w:pPr>
            <w:r>
              <w:rPr>
                <w:sz w:val="24"/>
              </w:rPr>
              <w:t>超级微波消解仪</w:t>
            </w:r>
          </w:p>
        </w:tc>
        <w:tc>
          <w:tcPr>
            <w:tcW w:w="597" w:type="dxa"/>
            <w:tcBorders>
              <w:top w:val="nil"/>
              <w:left w:val="single" w:color="000000" w:sz="4" w:space="0"/>
              <w:bottom w:val="single" w:color="000000" w:sz="4" w:space="0"/>
              <w:right w:val="single" w:color="000000" w:sz="4" w:space="0"/>
            </w:tcBorders>
            <w:vAlign w:val="top"/>
          </w:tcPr>
          <w:p>
            <w:pPr>
              <w:jc w:val="center"/>
            </w:pPr>
            <w:r>
              <w:rPr>
                <w:color w:val="000000"/>
                <w:sz w:val="24"/>
              </w:rPr>
              <w:t>1台</w:t>
            </w:r>
          </w:p>
        </w:tc>
        <w:tc>
          <w:tcPr>
            <w:tcW w:w="1473" w:type="dxa"/>
            <w:tcBorders>
              <w:top w:val="nil"/>
              <w:left w:val="single" w:color="000000" w:sz="4" w:space="0"/>
              <w:bottom w:val="single" w:color="000000" w:sz="4" w:space="0"/>
              <w:right w:val="single" w:color="000000" w:sz="4" w:space="0"/>
            </w:tcBorders>
            <w:vAlign w:val="top"/>
          </w:tcPr>
          <w:p>
            <w:pPr>
              <w:jc w:val="center"/>
            </w:pPr>
            <w:r>
              <w:rPr>
                <w:sz w:val="24"/>
              </w:rPr>
              <w:t>800000.00</w:t>
            </w:r>
          </w:p>
        </w:tc>
        <w:tc>
          <w:tcPr>
            <w:tcW w:w="1633" w:type="dxa"/>
            <w:tcBorders>
              <w:top w:val="nil"/>
              <w:left w:val="single" w:color="000000" w:sz="4" w:space="0"/>
              <w:bottom w:val="single" w:color="000000" w:sz="4" w:space="0"/>
              <w:right w:val="single" w:color="000000" w:sz="4" w:space="0"/>
            </w:tcBorders>
            <w:vAlign w:val="top"/>
          </w:tcPr>
          <w:p>
            <w:pPr>
              <w:jc w:val="center"/>
            </w:pPr>
            <w:r>
              <w:rPr>
                <w:sz w:val="24"/>
              </w:rPr>
              <w:t>800000.00</w:t>
            </w:r>
          </w:p>
        </w:tc>
        <w:tc>
          <w:tcPr>
            <w:tcW w:w="2402"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nil"/>
              <w:left w:val="single" w:color="000000" w:sz="4" w:space="0"/>
              <w:bottom w:val="single" w:color="000000" w:sz="4" w:space="0"/>
              <w:right w:val="single" w:color="000000" w:sz="4" w:space="0"/>
            </w:tcBorders>
            <w:vAlign w:val="top"/>
          </w:tcPr>
          <w:p>
            <w:pPr>
              <w:jc w:val="both"/>
            </w:pPr>
            <w:r>
              <w:rPr>
                <w:sz w:val="24"/>
              </w:rPr>
              <w:t>6</w:t>
            </w:r>
          </w:p>
        </w:tc>
        <w:tc>
          <w:tcPr>
            <w:tcW w:w="1729" w:type="dxa"/>
            <w:tcBorders>
              <w:top w:val="nil"/>
              <w:left w:val="single" w:color="000000" w:sz="4" w:space="0"/>
              <w:bottom w:val="single" w:color="000000" w:sz="4" w:space="0"/>
              <w:right w:val="single" w:color="000000" w:sz="4" w:space="0"/>
            </w:tcBorders>
            <w:vAlign w:val="top"/>
          </w:tcPr>
          <w:p>
            <w:pPr>
              <w:jc w:val="both"/>
            </w:pPr>
            <w:r>
              <w:rPr>
                <w:sz w:val="24"/>
              </w:rPr>
              <w:t>高压灭菌器</w:t>
            </w:r>
          </w:p>
        </w:tc>
        <w:tc>
          <w:tcPr>
            <w:tcW w:w="597" w:type="dxa"/>
            <w:tcBorders>
              <w:top w:val="nil"/>
              <w:left w:val="single" w:color="000000" w:sz="4" w:space="0"/>
              <w:bottom w:val="single" w:color="000000" w:sz="4" w:space="0"/>
              <w:right w:val="single" w:color="000000" w:sz="4" w:space="0"/>
            </w:tcBorders>
            <w:vAlign w:val="top"/>
          </w:tcPr>
          <w:p>
            <w:pPr>
              <w:jc w:val="center"/>
            </w:pPr>
            <w:r>
              <w:rPr>
                <w:color w:val="000000"/>
                <w:sz w:val="24"/>
              </w:rPr>
              <w:t>1台</w:t>
            </w:r>
          </w:p>
        </w:tc>
        <w:tc>
          <w:tcPr>
            <w:tcW w:w="1473" w:type="dxa"/>
            <w:tcBorders>
              <w:top w:val="nil"/>
              <w:left w:val="single" w:color="000000" w:sz="4" w:space="0"/>
              <w:bottom w:val="single" w:color="000000" w:sz="4" w:space="0"/>
              <w:right w:val="single" w:color="000000" w:sz="4" w:space="0"/>
            </w:tcBorders>
            <w:vAlign w:val="top"/>
          </w:tcPr>
          <w:p>
            <w:pPr>
              <w:jc w:val="center"/>
            </w:pPr>
            <w:r>
              <w:rPr>
                <w:sz w:val="24"/>
              </w:rPr>
              <w:t>50000.00</w:t>
            </w:r>
          </w:p>
        </w:tc>
        <w:tc>
          <w:tcPr>
            <w:tcW w:w="1633" w:type="dxa"/>
            <w:tcBorders>
              <w:top w:val="nil"/>
              <w:left w:val="single" w:color="000000" w:sz="4" w:space="0"/>
              <w:bottom w:val="single" w:color="000000" w:sz="4" w:space="0"/>
              <w:right w:val="single" w:color="000000" w:sz="4" w:space="0"/>
            </w:tcBorders>
            <w:vAlign w:val="top"/>
          </w:tcPr>
          <w:p>
            <w:pPr>
              <w:jc w:val="center"/>
            </w:pPr>
            <w:r>
              <w:rPr>
                <w:sz w:val="24"/>
              </w:rPr>
              <w:t>50000.00</w:t>
            </w:r>
          </w:p>
        </w:tc>
        <w:tc>
          <w:tcPr>
            <w:tcW w:w="2402"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nil"/>
              <w:left w:val="single" w:color="000000" w:sz="4" w:space="0"/>
              <w:bottom w:val="single" w:color="000000" w:sz="4" w:space="0"/>
              <w:right w:val="single" w:color="000000" w:sz="4" w:space="0"/>
            </w:tcBorders>
            <w:vAlign w:val="top"/>
          </w:tcPr>
          <w:p>
            <w:pPr>
              <w:jc w:val="both"/>
            </w:pPr>
            <w:r>
              <w:rPr>
                <w:sz w:val="24"/>
              </w:rPr>
              <w:t>7</w:t>
            </w:r>
          </w:p>
        </w:tc>
        <w:tc>
          <w:tcPr>
            <w:tcW w:w="1729" w:type="dxa"/>
            <w:tcBorders>
              <w:top w:val="nil"/>
              <w:left w:val="single" w:color="000000" w:sz="4" w:space="0"/>
              <w:bottom w:val="single" w:color="000000" w:sz="4" w:space="0"/>
              <w:right w:val="single" w:color="000000" w:sz="4" w:space="0"/>
            </w:tcBorders>
            <w:vAlign w:val="top"/>
          </w:tcPr>
          <w:p>
            <w:pPr>
              <w:jc w:val="both"/>
            </w:pPr>
            <w:r>
              <w:rPr>
                <w:sz w:val="24"/>
              </w:rPr>
              <w:t>超低温冰箱</w:t>
            </w:r>
          </w:p>
        </w:tc>
        <w:tc>
          <w:tcPr>
            <w:tcW w:w="597" w:type="dxa"/>
            <w:tcBorders>
              <w:top w:val="nil"/>
              <w:left w:val="single" w:color="000000" w:sz="4" w:space="0"/>
              <w:bottom w:val="single" w:color="000000" w:sz="4" w:space="0"/>
              <w:right w:val="single" w:color="000000" w:sz="4" w:space="0"/>
            </w:tcBorders>
            <w:vAlign w:val="top"/>
          </w:tcPr>
          <w:p>
            <w:pPr>
              <w:jc w:val="center"/>
            </w:pPr>
            <w:r>
              <w:rPr>
                <w:color w:val="000000"/>
                <w:sz w:val="24"/>
              </w:rPr>
              <w:t>1台</w:t>
            </w:r>
          </w:p>
        </w:tc>
        <w:tc>
          <w:tcPr>
            <w:tcW w:w="1473" w:type="dxa"/>
            <w:tcBorders>
              <w:top w:val="nil"/>
              <w:left w:val="single" w:color="000000" w:sz="4" w:space="0"/>
              <w:bottom w:val="single" w:color="000000" w:sz="4" w:space="0"/>
              <w:right w:val="single" w:color="000000" w:sz="4" w:space="0"/>
            </w:tcBorders>
            <w:vAlign w:val="top"/>
          </w:tcPr>
          <w:p>
            <w:pPr>
              <w:jc w:val="center"/>
            </w:pPr>
            <w:r>
              <w:rPr>
                <w:sz w:val="24"/>
              </w:rPr>
              <w:t>77000.00</w:t>
            </w:r>
          </w:p>
        </w:tc>
        <w:tc>
          <w:tcPr>
            <w:tcW w:w="1633" w:type="dxa"/>
            <w:tcBorders>
              <w:top w:val="nil"/>
              <w:left w:val="single" w:color="000000" w:sz="4" w:space="0"/>
              <w:bottom w:val="single" w:color="000000" w:sz="4" w:space="0"/>
              <w:right w:val="single" w:color="000000" w:sz="4" w:space="0"/>
            </w:tcBorders>
            <w:vAlign w:val="top"/>
          </w:tcPr>
          <w:p>
            <w:pPr>
              <w:jc w:val="center"/>
            </w:pPr>
            <w:r>
              <w:rPr>
                <w:sz w:val="24"/>
              </w:rPr>
              <w:t>77000.00</w:t>
            </w:r>
          </w:p>
        </w:tc>
        <w:tc>
          <w:tcPr>
            <w:tcW w:w="2402"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nil"/>
              <w:left w:val="single" w:color="000000" w:sz="4" w:space="0"/>
              <w:bottom w:val="single" w:color="000000" w:sz="4" w:space="0"/>
              <w:right w:val="single" w:color="000000" w:sz="4" w:space="0"/>
            </w:tcBorders>
            <w:vAlign w:val="top"/>
          </w:tcPr>
          <w:p>
            <w:pPr>
              <w:jc w:val="both"/>
            </w:pPr>
            <w:r>
              <w:rPr>
                <w:sz w:val="24"/>
              </w:rPr>
              <w:t>8</w:t>
            </w:r>
          </w:p>
        </w:tc>
        <w:tc>
          <w:tcPr>
            <w:tcW w:w="1729" w:type="dxa"/>
            <w:tcBorders>
              <w:top w:val="nil"/>
              <w:left w:val="single" w:color="000000" w:sz="4" w:space="0"/>
              <w:bottom w:val="single" w:color="000000" w:sz="4" w:space="0"/>
              <w:right w:val="single" w:color="000000" w:sz="4" w:space="0"/>
            </w:tcBorders>
            <w:vAlign w:val="top"/>
          </w:tcPr>
          <w:p>
            <w:pPr>
              <w:jc w:val="both"/>
            </w:pPr>
            <w:r>
              <w:rPr>
                <w:sz w:val="24"/>
              </w:rPr>
              <w:t>凝胶成像系统</w:t>
            </w:r>
          </w:p>
        </w:tc>
        <w:tc>
          <w:tcPr>
            <w:tcW w:w="597" w:type="dxa"/>
            <w:tcBorders>
              <w:top w:val="nil"/>
              <w:left w:val="single" w:color="000000" w:sz="4" w:space="0"/>
              <w:bottom w:val="single" w:color="000000" w:sz="4" w:space="0"/>
              <w:right w:val="single" w:color="000000" w:sz="4" w:space="0"/>
            </w:tcBorders>
            <w:vAlign w:val="top"/>
          </w:tcPr>
          <w:p>
            <w:pPr>
              <w:jc w:val="center"/>
            </w:pPr>
            <w:r>
              <w:rPr>
                <w:color w:val="000000"/>
                <w:sz w:val="24"/>
              </w:rPr>
              <w:t>1台</w:t>
            </w:r>
          </w:p>
        </w:tc>
        <w:tc>
          <w:tcPr>
            <w:tcW w:w="1473" w:type="dxa"/>
            <w:tcBorders>
              <w:top w:val="nil"/>
              <w:left w:val="single" w:color="000000" w:sz="4" w:space="0"/>
              <w:bottom w:val="single" w:color="000000" w:sz="4" w:space="0"/>
              <w:right w:val="single" w:color="000000" w:sz="4" w:space="0"/>
            </w:tcBorders>
            <w:vAlign w:val="top"/>
          </w:tcPr>
          <w:p>
            <w:pPr>
              <w:jc w:val="center"/>
            </w:pPr>
            <w:r>
              <w:rPr>
                <w:sz w:val="24"/>
              </w:rPr>
              <w:t>180000.00</w:t>
            </w:r>
          </w:p>
        </w:tc>
        <w:tc>
          <w:tcPr>
            <w:tcW w:w="1633" w:type="dxa"/>
            <w:tcBorders>
              <w:top w:val="nil"/>
              <w:left w:val="single" w:color="000000" w:sz="4" w:space="0"/>
              <w:bottom w:val="single" w:color="000000" w:sz="4" w:space="0"/>
              <w:right w:val="single" w:color="000000" w:sz="4" w:space="0"/>
            </w:tcBorders>
            <w:vAlign w:val="top"/>
          </w:tcPr>
          <w:p>
            <w:pPr>
              <w:jc w:val="center"/>
            </w:pPr>
            <w:r>
              <w:rPr>
                <w:sz w:val="24"/>
              </w:rPr>
              <w:t>180000.00</w:t>
            </w:r>
          </w:p>
        </w:tc>
        <w:tc>
          <w:tcPr>
            <w:tcW w:w="2402" w:type="dxa"/>
            <w:tcBorders>
              <w:top w:val="nil"/>
              <w:left w:val="single" w:color="000000" w:sz="4" w:space="0"/>
              <w:bottom w:val="single" w:color="000000" w:sz="4" w:space="0"/>
              <w:right w:val="single" w:color="000000" w:sz="4" w:space="0"/>
            </w:tcBorders>
            <w:vAlign w:val="top"/>
          </w:tcPr>
          <w:p>
            <w:pPr>
              <w:jc w:val="center"/>
            </w:pPr>
            <w:r>
              <w:rPr>
                <w:sz w:val="24"/>
              </w:rPr>
              <w:t>允许采购进口产品</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nil"/>
              <w:left w:val="single" w:color="000000" w:sz="4" w:space="0"/>
              <w:bottom w:val="single" w:color="000000" w:sz="4" w:space="0"/>
              <w:right w:val="single" w:color="000000" w:sz="4" w:space="0"/>
            </w:tcBorders>
            <w:vAlign w:val="top"/>
          </w:tcPr>
          <w:p>
            <w:pPr>
              <w:jc w:val="both"/>
            </w:pPr>
            <w:r>
              <w:rPr>
                <w:sz w:val="24"/>
              </w:rPr>
              <w:t>9</w:t>
            </w:r>
          </w:p>
        </w:tc>
        <w:tc>
          <w:tcPr>
            <w:tcW w:w="1729" w:type="dxa"/>
            <w:tcBorders>
              <w:top w:val="nil"/>
              <w:left w:val="single" w:color="000000" w:sz="4" w:space="0"/>
              <w:bottom w:val="single" w:color="000000" w:sz="4" w:space="0"/>
              <w:right w:val="single" w:color="000000" w:sz="4" w:space="0"/>
            </w:tcBorders>
            <w:vAlign w:val="top"/>
          </w:tcPr>
          <w:p>
            <w:pPr>
              <w:jc w:val="both"/>
            </w:pPr>
            <w:r>
              <w:rPr>
                <w:sz w:val="24"/>
              </w:rPr>
              <w:t>隔水式恒温培养箱</w:t>
            </w:r>
          </w:p>
        </w:tc>
        <w:tc>
          <w:tcPr>
            <w:tcW w:w="597" w:type="dxa"/>
            <w:tcBorders>
              <w:top w:val="nil"/>
              <w:left w:val="single" w:color="000000" w:sz="4" w:space="0"/>
              <w:bottom w:val="single" w:color="000000" w:sz="4" w:space="0"/>
              <w:right w:val="single" w:color="000000" w:sz="4" w:space="0"/>
            </w:tcBorders>
            <w:vAlign w:val="top"/>
          </w:tcPr>
          <w:p>
            <w:pPr>
              <w:jc w:val="center"/>
            </w:pPr>
            <w:r>
              <w:rPr>
                <w:color w:val="000000"/>
                <w:sz w:val="24"/>
              </w:rPr>
              <w:t>1台</w:t>
            </w:r>
          </w:p>
        </w:tc>
        <w:tc>
          <w:tcPr>
            <w:tcW w:w="1473" w:type="dxa"/>
            <w:tcBorders>
              <w:top w:val="nil"/>
              <w:left w:val="single" w:color="000000" w:sz="4" w:space="0"/>
              <w:bottom w:val="single" w:color="000000" w:sz="4" w:space="0"/>
              <w:right w:val="single" w:color="000000" w:sz="4" w:space="0"/>
            </w:tcBorders>
            <w:vAlign w:val="top"/>
          </w:tcPr>
          <w:p>
            <w:pPr>
              <w:jc w:val="center"/>
            </w:pPr>
            <w:r>
              <w:rPr>
                <w:sz w:val="24"/>
              </w:rPr>
              <w:t>11000.00</w:t>
            </w:r>
          </w:p>
        </w:tc>
        <w:tc>
          <w:tcPr>
            <w:tcW w:w="1633" w:type="dxa"/>
            <w:tcBorders>
              <w:top w:val="nil"/>
              <w:left w:val="single" w:color="000000" w:sz="4" w:space="0"/>
              <w:bottom w:val="single" w:color="000000" w:sz="4" w:space="0"/>
              <w:right w:val="single" w:color="000000" w:sz="4" w:space="0"/>
            </w:tcBorders>
            <w:vAlign w:val="top"/>
          </w:tcPr>
          <w:p>
            <w:pPr>
              <w:jc w:val="center"/>
            </w:pPr>
            <w:r>
              <w:rPr>
                <w:sz w:val="24"/>
              </w:rPr>
              <w:t>11000.00</w:t>
            </w:r>
          </w:p>
        </w:tc>
        <w:tc>
          <w:tcPr>
            <w:tcW w:w="2402"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nil"/>
              <w:left w:val="single" w:color="000000" w:sz="4" w:space="0"/>
              <w:bottom w:val="single" w:color="000000" w:sz="4" w:space="0"/>
              <w:right w:val="single" w:color="000000" w:sz="4" w:space="0"/>
            </w:tcBorders>
            <w:vAlign w:val="top"/>
          </w:tcPr>
          <w:p>
            <w:pPr>
              <w:jc w:val="both"/>
            </w:pPr>
            <w:r>
              <w:rPr>
                <w:sz w:val="24"/>
              </w:rPr>
              <w:t>10</w:t>
            </w:r>
          </w:p>
        </w:tc>
        <w:tc>
          <w:tcPr>
            <w:tcW w:w="1729" w:type="dxa"/>
            <w:tcBorders>
              <w:top w:val="nil"/>
              <w:left w:val="single" w:color="000000" w:sz="4" w:space="0"/>
              <w:bottom w:val="single" w:color="000000" w:sz="4" w:space="0"/>
              <w:right w:val="single" w:color="000000" w:sz="4" w:space="0"/>
            </w:tcBorders>
            <w:vAlign w:val="top"/>
          </w:tcPr>
          <w:p>
            <w:pPr>
              <w:jc w:val="both"/>
            </w:pPr>
            <w:r>
              <w:rPr>
                <w:sz w:val="24"/>
              </w:rPr>
              <w:t>偏光显微成像系统</w:t>
            </w:r>
          </w:p>
        </w:tc>
        <w:tc>
          <w:tcPr>
            <w:tcW w:w="597" w:type="dxa"/>
            <w:tcBorders>
              <w:top w:val="nil"/>
              <w:left w:val="single" w:color="000000" w:sz="4" w:space="0"/>
              <w:bottom w:val="single" w:color="000000" w:sz="4" w:space="0"/>
              <w:right w:val="single" w:color="000000" w:sz="4" w:space="0"/>
            </w:tcBorders>
            <w:vAlign w:val="top"/>
          </w:tcPr>
          <w:p>
            <w:pPr>
              <w:jc w:val="center"/>
            </w:pPr>
            <w:r>
              <w:rPr>
                <w:color w:val="000000"/>
                <w:sz w:val="24"/>
              </w:rPr>
              <w:t>1台</w:t>
            </w:r>
          </w:p>
        </w:tc>
        <w:tc>
          <w:tcPr>
            <w:tcW w:w="1473" w:type="dxa"/>
            <w:tcBorders>
              <w:top w:val="nil"/>
              <w:left w:val="single" w:color="000000" w:sz="4" w:space="0"/>
              <w:bottom w:val="single" w:color="000000" w:sz="4" w:space="0"/>
              <w:right w:val="single" w:color="000000" w:sz="4" w:space="0"/>
            </w:tcBorders>
            <w:vAlign w:val="top"/>
          </w:tcPr>
          <w:p>
            <w:pPr>
              <w:jc w:val="center"/>
            </w:pPr>
            <w:r>
              <w:rPr>
                <w:sz w:val="24"/>
              </w:rPr>
              <w:t>160000.00</w:t>
            </w:r>
          </w:p>
        </w:tc>
        <w:tc>
          <w:tcPr>
            <w:tcW w:w="1633" w:type="dxa"/>
            <w:tcBorders>
              <w:top w:val="nil"/>
              <w:left w:val="single" w:color="000000" w:sz="4" w:space="0"/>
              <w:bottom w:val="single" w:color="000000" w:sz="4" w:space="0"/>
              <w:right w:val="single" w:color="000000" w:sz="4" w:space="0"/>
            </w:tcBorders>
            <w:vAlign w:val="top"/>
          </w:tcPr>
          <w:p>
            <w:pPr>
              <w:jc w:val="center"/>
            </w:pPr>
            <w:r>
              <w:rPr>
                <w:sz w:val="24"/>
              </w:rPr>
              <w:t>160000.00</w:t>
            </w:r>
          </w:p>
        </w:tc>
        <w:tc>
          <w:tcPr>
            <w:tcW w:w="2402"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7" w:type="dxa"/>
            <w:tcBorders>
              <w:top w:val="nil"/>
              <w:left w:val="single" w:color="000000" w:sz="4" w:space="0"/>
              <w:bottom w:val="single" w:color="000000" w:sz="4" w:space="0"/>
              <w:right w:val="single" w:color="000000" w:sz="4" w:space="0"/>
            </w:tcBorders>
            <w:vAlign w:val="top"/>
          </w:tcPr>
          <w:p>
            <w:pPr>
              <w:jc w:val="both"/>
            </w:pPr>
            <w:r>
              <w:rPr>
                <w:sz w:val="24"/>
              </w:rPr>
              <w:t>11</w:t>
            </w:r>
          </w:p>
        </w:tc>
        <w:tc>
          <w:tcPr>
            <w:tcW w:w="1729" w:type="dxa"/>
            <w:tcBorders>
              <w:top w:val="nil"/>
              <w:left w:val="single" w:color="000000" w:sz="4" w:space="0"/>
              <w:bottom w:val="single" w:color="000000" w:sz="4" w:space="0"/>
              <w:right w:val="single" w:color="000000" w:sz="4" w:space="0"/>
            </w:tcBorders>
            <w:vAlign w:val="top"/>
          </w:tcPr>
          <w:p>
            <w:pPr>
              <w:jc w:val="both"/>
            </w:pPr>
            <w:r>
              <w:rPr>
                <w:sz w:val="24"/>
              </w:rPr>
              <w:t>半自动定氮仪</w:t>
            </w:r>
          </w:p>
        </w:tc>
        <w:tc>
          <w:tcPr>
            <w:tcW w:w="597" w:type="dxa"/>
            <w:tcBorders>
              <w:top w:val="nil"/>
              <w:left w:val="single" w:color="000000" w:sz="4" w:space="0"/>
              <w:bottom w:val="single" w:color="000000" w:sz="4" w:space="0"/>
              <w:right w:val="single" w:color="000000" w:sz="4" w:space="0"/>
            </w:tcBorders>
            <w:vAlign w:val="top"/>
          </w:tcPr>
          <w:p>
            <w:pPr>
              <w:jc w:val="center"/>
            </w:pPr>
            <w:r>
              <w:rPr>
                <w:color w:val="000000"/>
                <w:sz w:val="24"/>
              </w:rPr>
              <w:t>1台</w:t>
            </w:r>
          </w:p>
        </w:tc>
        <w:tc>
          <w:tcPr>
            <w:tcW w:w="1473" w:type="dxa"/>
            <w:tcBorders>
              <w:top w:val="nil"/>
              <w:left w:val="single" w:color="000000" w:sz="4" w:space="0"/>
              <w:bottom w:val="single" w:color="000000" w:sz="4" w:space="0"/>
              <w:right w:val="single" w:color="000000" w:sz="4" w:space="0"/>
            </w:tcBorders>
            <w:vAlign w:val="top"/>
          </w:tcPr>
          <w:p>
            <w:pPr>
              <w:jc w:val="center"/>
            </w:pPr>
            <w:r>
              <w:rPr>
                <w:sz w:val="24"/>
              </w:rPr>
              <w:t>160000.00</w:t>
            </w:r>
          </w:p>
        </w:tc>
        <w:tc>
          <w:tcPr>
            <w:tcW w:w="1633" w:type="dxa"/>
            <w:tcBorders>
              <w:top w:val="nil"/>
              <w:left w:val="single" w:color="000000" w:sz="4" w:space="0"/>
              <w:bottom w:val="single" w:color="000000" w:sz="4" w:space="0"/>
              <w:right w:val="single" w:color="000000" w:sz="4" w:space="0"/>
            </w:tcBorders>
            <w:vAlign w:val="top"/>
          </w:tcPr>
          <w:p>
            <w:pPr>
              <w:jc w:val="center"/>
            </w:pPr>
            <w:r>
              <w:rPr>
                <w:sz w:val="24"/>
              </w:rPr>
              <w:t>160000.00</w:t>
            </w:r>
          </w:p>
        </w:tc>
        <w:tc>
          <w:tcPr>
            <w:tcW w:w="2402" w:type="dxa"/>
            <w:tcBorders>
              <w:top w:val="nil"/>
              <w:left w:val="single" w:color="000000" w:sz="4" w:space="0"/>
              <w:bottom w:val="single" w:color="000000" w:sz="4" w:space="0"/>
              <w:right w:val="single" w:color="000000" w:sz="4" w:space="0"/>
            </w:tcBorders>
            <w:vAlign w:val="top"/>
          </w:tcPr>
          <w:p>
            <w:pPr>
              <w:jc w:val="center"/>
            </w:pPr>
          </w:p>
        </w:tc>
      </w:tr>
    </w:tbl>
    <w:p>
      <w:r>
        <w:t xml:space="preserve"> </w:t>
      </w:r>
    </w:p>
    <w:p>
      <w:pPr>
        <w:jc w:val="both"/>
      </w:pPr>
      <w:r>
        <w:rPr>
          <w:sz w:val="24"/>
        </w:rPr>
        <w:t>7.本项目不属于专门面向中小微企业项目。</w:t>
      </w:r>
    </w:p>
    <w:p>
      <w:pPr>
        <w:jc w:val="both"/>
      </w:pPr>
      <w:r>
        <w:rPr>
          <w:sz w:val="24"/>
        </w:rPr>
        <w:t>8.采购标的对应的中小企业划分标准所属行业为：工业。</w:t>
      </w:r>
    </w:p>
    <w:p>
      <w:pPr>
        <w:jc w:val="both"/>
      </w:pPr>
      <w:r>
        <w:rPr>
          <w:sz w:val="24"/>
        </w:rPr>
        <w:t>9.本采购包不接受联合体投标。</w:t>
      </w:r>
    </w:p>
    <w:p>
      <w:pPr>
        <w:jc w:val="both"/>
      </w:pPr>
      <w:r>
        <w:rPr>
          <w:sz w:val="24"/>
        </w:rPr>
        <w:t>10.合同履行期限：中标后30天内凭中标通知书签订合同，签订合同后90个日历天内完成货物安装验收及交付使用。</w:t>
      </w:r>
    </w:p>
    <w:p>
      <w:pPr>
        <w:jc w:val="both"/>
      </w:pPr>
      <w:r>
        <w:rPr>
          <w:sz w:val="24"/>
        </w:rPr>
        <w:t>11.未经采购人同意，中标人不得对现有包组以任何方式进行转包或分包。</w:t>
      </w:r>
    </w:p>
    <w:p>
      <w:pPr>
        <w:jc w:val="both"/>
      </w:pPr>
      <w:r>
        <w:rPr>
          <w:sz w:val="24"/>
        </w:rPr>
        <w:t>12.关于同品牌产品参加同一合同项投标</w:t>
      </w:r>
    </w:p>
    <w:p>
      <w:pPr>
        <w:ind w:firstLine="480"/>
        <w:jc w:val="both"/>
      </w:pPr>
      <w:r>
        <w:rPr>
          <w:sz w:val="24"/>
        </w:rPr>
        <w:t>12.1.提供相同品牌产品且通过资格审查、符合性审查的不同投标人参加同一合同项下投标的，按一家投标人计算，评审后得分最高的同品牌投标人获得中标人推荐资格。综合得分相同的，按下列顺序比较确定一个投标人获得中标人推荐资格，其他同品牌投标人不作为中标候选人。①投标报价（由低到高）；②技术商务部分得分（由高到低）。综合得分相同、投标报价和技术商务评分均相同的，名次由评标委员会抽签确定。法律法规有明确规定的，以法律法规规定为准。</w:t>
      </w:r>
    </w:p>
    <w:p>
      <w:pPr>
        <w:ind w:firstLine="480"/>
        <w:jc w:val="both"/>
      </w:pPr>
      <w:r>
        <w:rPr>
          <w:sz w:val="24"/>
        </w:rPr>
        <w:t>12.2.相同品牌的定义：多家中标人提供的核心产品的品牌均为相同的品牌。</w:t>
      </w:r>
    </w:p>
    <w:p>
      <w:pPr>
        <w:ind w:firstLine="482"/>
        <w:jc w:val="both"/>
      </w:pPr>
      <w:r>
        <w:rPr>
          <w:sz w:val="24"/>
        </w:rPr>
        <w:t>12.3.本项目核心产品为：超级微波消解仪。</w:t>
      </w:r>
    </w:p>
    <w:p>
      <w:pPr>
        <w:jc w:val="both"/>
      </w:pPr>
      <w:r>
        <w:rPr>
          <w:sz w:val="24"/>
        </w:rPr>
        <w:t>13.根据财政部关于《政府采购进口产品管理办法》（财库〔2007〕119号）的规定，通过专家论证并经政府采购监管部门同意，本项目拟采购设备：高效液相色谱仪、pH计和凝胶成像系统，可以采购本国产品或不属于国家法律法规政策明确规定限制的进口产品。（注：进口产品是指通过中国海关报关验放进入中国境内且产自关境外的产品，含已进入中国境内并在国内市场有销售的进口产品）。</w:t>
      </w:r>
    </w:p>
    <w:p>
      <w:pPr>
        <w:jc w:val="both"/>
      </w:pPr>
      <w:r>
        <w:rPr>
          <w:sz w:val="24"/>
        </w:rPr>
        <w:t>14.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both"/>
      </w:pPr>
      <w:r>
        <w:rPr>
          <w:sz w:val="24"/>
        </w:rPr>
        <w:t>15.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sz w:val="24"/>
        </w:rPr>
        <w:t>16.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r>
        <w:rPr>
          <w:b/>
          <w:sz w:val="24"/>
        </w:rPr>
        <w:t>17.本项目投标报价应包括：标的设备供货、其他附件、安装配件、安装和调试、相关措施费用、一切税费（包括关税、增值税等）、包装、运费、保险费、仓储费、验收、培训费、图纸、资料，质保期等相关的全部费用。</w:t>
      </w:r>
    </w:p>
    <w:p>
      <w:r>
        <w:rPr>
          <w:sz w:val="24"/>
        </w:rPr>
        <w:t>18.本项目纪检监督联系方式如下：</w:t>
      </w:r>
    </w:p>
    <w:p>
      <w:pPr>
        <w:ind w:firstLine="480"/>
        <w:jc w:val="both"/>
      </w:pPr>
      <w:r>
        <w:rPr>
          <w:sz w:val="24"/>
        </w:rPr>
        <w:t>联系人：陈小姐</w:t>
      </w:r>
    </w:p>
    <w:p>
      <w:pPr>
        <w:ind w:firstLine="480"/>
        <w:jc w:val="both"/>
      </w:pPr>
      <w:r>
        <w:rPr>
          <w:sz w:val="24"/>
        </w:rPr>
        <w:t>电话：0760-85336360</w:t>
      </w:r>
    </w:p>
    <w:p>
      <w:pPr>
        <w:jc w:val="both"/>
      </w:pPr>
    </w:p>
    <w:p>
      <w:pPr>
        <w:jc w:val="both"/>
      </w:pPr>
      <w:r>
        <w:rPr>
          <w:sz w:val="24"/>
        </w:rPr>
        <w:t>二、项目基本要求:</w:t>
      </w:r>
    </w:p>
    <w:p>
      <w:pPr>
        <w:jc w:val="both"/>
      </w:pPr>
      <w:r>
        <w:rPr>
          <w:sz w:val="24"/>
        </w:rPr>
        <w:t>★1.如所投设备为进口设备（仅限本项目明确可采购进口产品的设备），投标文件</w:t>
      </w:r>
      <w:r>
        <w:rPr>
          <w:sz w:val="24"/>
          <w:u w:val="single"/>
        </w:rPr>
        <w:t>应</w:t>
      </w:r>
      <w:r>
        <w:rPr>
          <w:sz w:val="24"/>
        </w:rPr>
        <w:t>提供设备的制造商或代理商对所投设备的有效授权证明文件。</w:t>
      </w:r>
    </w:p>
    <w:p>
      <w:pPr>
        <w:jc w:val="both"/>
      </w:pPr>
      <w:r>
        <w:rPr>
          <w:sz w:val="24"/>
        </w:rPr>
        <w:t>★2.投标人承诺所提供的设备及软件均为设备（软件）厂商原装、全新的、符合用户提出的有关质量标准的设备，所提供的软件必须是正版，否则，采购人有权拒绝接收其设备并视中标人违约，有权向中标人收取合同金额的20%作为违约金且取消其中标资格。（投标文件中提交《承诺函》加盖投标人公章，格式自拟。内容必须涵盖本条款的所有内容，如承诺不完全或有保留的，将被视为无效投标）</w:t>
      </w:r>
    </w:p>
    <w:p>
      <w:pPr>
        <w:jc w:val="both"/>
      </w:pPr>
      <w:r>
        <w:rPr>
          <w:sz w:val="24"/>
        </w:rPr>
        <w:t>3.所有货物在开箱检验时必须完好，无破损，配置与装箱单相符。货物外观清洁，标记编号以及盘面显示等字体清晰，明确。数量、质量及性能不低于本需求书中提出的要求。</w:t>
      </w:r>
    </w:p>
    <w:p>
      <w:pPr>
        <w:jc w:val="both"/>
      </w:pPr>
      <w:r>
        <w:rPr>
          <w:sz w:val="24"/>
        </w:rPr>
        <w:t>4.对于影响货物正常工作的必要组成部分，无论在技术规范中指出与否，中标人都应提供并在投标文件中明确列出。</w:t>
      </w:r>
    </w:p>
    <w:p>
      <w:pPr>
        <w:jc w:val="both"/>
      </w:pPr>
      <w:r>
        <w:rPr>
          <w:sz w:val="24"/>
        </w:rPr>
        <w:t>5.投标人投标时所提供的货物如在实际供货时已经停产（不列入该厂家当时的产品系统），如果未能按原价提供更优质的货物，则按违约处理。</w:t>
      </w:r>
    </w:p>
    <w:p>
      <w:pPr>
        <w:jc w:val="both"/>
      </w:pPr>
      <w:r>
        <w:rPr>
          <w:sz w:val="24"/>
        </w:rPr>
        <w:t>6.投标人在实际供货时，若被发现提供的货物未能达到招标文件和投标文件中的有关要求，将按有关法规进行处罚。</w:t>
      </w:r>
    </w:p>
    <w:p>
      <w:pPr>
        <w:jc w:val="both"/>
      </w:pPr>
      <w:r>
        <w:rPr>
          <w:sz w:val="24"/>
        </w:rPr>
        <w:t>7.投标人所提供产品的性能，配置参数等不能低于招标文件所提出的要求。</w:t>
      </w:r>
    </w:p>
    <w:p>
      <w:pPr>
        <w:jc w:val="both"/>
      </w:pPr>
      <w:r>
        <w:rPr>
          <w:sz w:val="24"/>
        </w:rPr>
        <w:t>8.由中标人负责按国家相关标准进行货物包装，设备的包装均应有良好的防湿、防锈、防潮、防雨、防腐及防碰撞的措施。凡由于包装不良造成的损失和由此产生的费用均由中标人承担。</w:t>
      </w:r>
    </w:p>
    <w:p>
      <w:pPr>
        <w:jc w:val="both"/>
      </w:pPr>
      <w:r>
        <w:rPr>
          <w:sz w:val="24"/>
        </w:rPr>
        <w:t>9.技术参数响应要求如下：</w:t>
      </w:r>
    </w:p>
    <w:p>
      <w:pPr>
        <w:ind w:firstLine="480"/>
        <w:jc w:val="both"/>
      </w:pPr>
      <w:r>
        <w:rPr>
          <w:sz w:val="24"/>
        </w:rPr>
        <w:t>9.1.投标人在技术和服务要求响应表中须列出具体参数或做出详细应答。如果投标人只简单注明“符合”或“满足”，将影响投标人技术商务评分。投标人须在投标文件中填写/应答技术规格参数，当投标文件中技术参数与招标文件中技术参数有偏离时，须在“偏离”栏内如实注明是“正偏离”或“负偏离”，“正偏离”指投标设备的技术参数优于招标文件中要求，“负偏离”指投标设备的技术参数低于招标文件中要求。投标文件中的技术参数、功能或其它内容优于《采购需求》要求的不视作负偏离，不构成无效投标条件，但投标人必须对这种优于《采购需求》要求的情况逐项单独做出说明，否则不予认可。投标文件中的技术参数、功能或其它内容多于《采购需求》要求的不作为正偏离，存在学术争议的内容不得视为正偏离。</w:t>
      </w:r>
    </w:p>
    <w:p>
      <w:pPr>
        <w:ind w:firstLine="480"/>
        <w:jc w:val="both"/>
      </w:pPr>
      <w:r>
        <w:rPr>
          <w:sz w:val="24"/>
        </w:rPr>
        <w:t>9.2.中标人所提供的设备必须是未使用过的全新产品，中标人需随设备装箱提供制造厂的设备检验、测试报告、设备检验合格证书、质量保证书和保修书等证明文件。</w:t>
      </w:r>
    </w:p>
    <w:p>
      <w:pPr>
        <w:ind w:firstLine="480"/>
        <w:jc w:val="both"/>
      </w:pPr>
      <w:r>
        <w:rPr>
          <w:sz w:val="24"/>
        </w:rPr>
        <w:t>9.3.投标人必须确保设备及所有配套件的完整性和可靠性。对于招标文件没有列出，而对该设备的正常运行和维护必不可少的部件、配件等，投标人有责任给予补充。</w:t>
      </w:r>
    </w:p>
    <w:p>
      <w:pPr>
        <w:jc w:val="both"/>
      </w:pPr>
      <w:r>
        <w:rPr>
          <w:sz w:val="24"/>
        </w:rPr>
        <w:t>10.根据《中华人民共和国国家质量监督检验检疫总局公告》[2005]年第145号文件的相关要求，若所投产品属于《中华人民共和国依法管理的计量器具目录（型式批准部分）》内的设备，投标时应提交计量器具许可证、型式批准或进口计量器具检定等的相关证明文件（复印件加盖公章）。（具体详见中华人民共和国国家质量监督检验检疫总局门户网站内相关内容。）同时，根据《中华人民共和国计量法》第十六条的要求，中标人应在合同签订前向采购人出示所投产品的相关证书原件。</w:t>
      </w:r>
    </w:p>
    <w:p>
      <w:pPr>
        <w:jc w:val="both"/>
      </w:pPr>
      <w:r>
        <w:rPr>
          <w:sz w:val="24"/>
        </w:rPr>
        <w:t>11.投标文件中重要设备性能指标及分析方法、参数符合及优于采购需求要求的，须提供设备制造商针对响应/优于内容出具证明材料加盖公章。</w:t>
      </w:r>
    </w:p>
    <w:p>
      <w:pPr>
        <w:jc w:val="both"/>
      </w:pPr>
      <w:r>
        <w:rPr>
          <w:sz w:val="24"/>
        </w:rPr>
        <w:t>12.提供外文资料的，应同时翻译成中文简体版资料并由投标人盖章，翻译内容的准确性由投标人负责。严禁翻译误导和错误，采购人有权拒绝验收并保留追责的权利。</w:t>
      </w:r>
    </w:p>
    <w:p>
      <w:pPr>
        <w:jc w:val="both"/>
      </w:pPr>
    </w:p>
    <w:p/>
    <w:p>
      <w:pPr>
        <w:ind w:firstLine="480"/>
      </w:pPr>
    </w:p>
    <w:p/>
    <w:p>
      <w:r>
        <w:t>采购包1（中山市食品药品检验所检验检测设备更新和能力提高项目）</w:t>
      </w:r>
      <w:r>
        <w:rPr>
          <w:b/>
        </w:rPr>
        <w:t>1.主要商务要求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r>
              <w:t>标的提供的时间</w:t>
            </w:r>
          </w:p>
        </w:tc>
        <w:tc>
          <w:tcPr>
            <w:tcW w:w="4153" w:type="dxa"/>
          </w:tcPr>
          <w:p/>
          <w:p>
            <w:r>
              <w:t>中标后30天内凭中标通知书签订合同，签订合同后90个日历天内完成货物安装验收及交付使用。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标的提供的地点</w:t>
            </w:r>
          </w:p>
        </w:tc>
        <w:tc>
          <w:tcPr>
            <w:tcW w:w="4153" w:type="dxa"/>
          </w:tcPr>
          <w:p/>
          <w:p>
            <w:r>
              <w:t>中山市食品药品检验所或采购人指定地点。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付款方式</w:t>
            </w:r>
          </w:p>
        </w:tc>
        <w:tc>
          <w:tcPr>
            <w:tcW w:w="4153" w:type="dxa"/>
          </w:tcPr>
          <w:p/>
          <w:p/>
          <w:p>
            <w:r>
              <w:t>1期：支付比例30%,合同签订后在15个工作日内，支付合同总价的 30％作预付款。</w:t>
            </w:r>
          </w:p>
          <w:p/>
          <w:p>
            <w:r>
              <w:t>2期：支付比例60%,完成供货、安装、调试、施工并验收合格后两个月内支付至合同总价的 60％。</w:t>
            </w:r>
          </w:p>
          <w:p/>
          <w:p>
            <w:r>
              <w:t>3期：支付比例10%,设备运行三个月后付清余款。  因采购人使用的是财政资金，采购人在上述约定的付款时间为向政府采购支付部门提出办理财政支付申请手续的时间（不含政府财政支付部门审核的时间），在规定时间内提出支付申请手续后即视为采购人已经按期支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验收要求</w:t>
            </w:r>
          </w:p>
        </w:tc>
        <w:tc>
          <w:tcPr>
            <w:tcW w:w="4153" w:type="dxa"/>
          </w:tcPr>
          <w:p/>
          <w:p/>
          <w:p/>
          <w:p>
            <w:r>
              <w:t>1期：1.中标人应给出项目详细的验收方案，包括验收项目、验收标准，验收实施办法等； 2.国内生产的部件必须有国家有关部门的认证合格证，强制认证产品必须有3C认证； 3.国外生产的部件必须有合法的进货渠道证明及原产地证明； 4.对属于国家规定强制检定或校准的进口仪器，中标人应提供进口检定或校准合格证书，否则不予验收；  5.验收由采购人、中标人及相关人员依国家有关标准、合同及有关附件要求进行； 6.如有必要项目验收由第三方对中标人所供主要设备进行技术检测，并出具技术检测报告，所需费用由中标人支付； 7.验收完毕由采购人及中标人在验收报告上签名。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履约保证金</w:t>
            </w:r>
          </w:p>
        </w:tc>
        <w:tc>
          <w:tcPr>
            <w:tcW w:w="4153" w:type="dxa"/>
          </w:tcPr>
          <w:p/>
          <w:p/>
          <w:p>
            <w: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其他</w:t>
            </w:r>
          </w:p>
        </w:tc>
        <w:tc>
          <w:tcPr>
            <w:tcW w:w="4153" w:type="dxa"/>
          </w:tcPr>
          <w:p/>
        </w:tc>
      </w:tr>
    </w:tbl>
    <w:p/>
    <w:p>
      <w:r>
        <w:t>其他商务需求</w:t>
      </w:r>
    </w:p>
    <w:p/>
    <w:p/>
    <w:p/>
    <w:p/>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参数性质</w:t>
            </w:r>
          </w:p>
        </w:tc>
        <w:tc>
          <w:tcPr>
            <w:tcW w:w="2076" w:type="dxa"/>
          </w:tcPr>
          <w:p>
            <w:pPr>
              <w:jc w:val="center"/>
            </w:pPr>
            <w:r>
              <w:t>编号</w:t>
            </w:r>
          </w:p>
        </w:tc>
        <w:tc>
          <w:tcPr>
            <w:tcW w:w="2076" w:type="dxa"/>
          </w:tcPr>
          <w:p>
            <w:pPr>
              <w:jc w:val="center"/>
            </w:pPr>
            <w:r>
              <w:t>内容明细</w:t>
            </w:r>
          </w:p>
        </w:tc>
        <w:tc>
          <w:tcPr>
            <w:tcW w:w="2076" w:type="dxa"/>
          </w:tcPr>
          <w:p>
            <w:pPr>
              <w:jc w:val="center"/>
            </w:pPr>
            <w:r>
              <w:t>内容说明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p>
        </w:tc>
        <w:tc>
          <w:tcPr>
            <w:tcW w:w="2076" w:type="dxa"/>
          </w:tcPr>
          <w:p>
            <w:pPr>
              <w:jc w:val="center"/>
            </w:pPr>
            <w:r>
              <w:t>1</w:t>
            </w:r>
          </w:p>
        </w:tc>
        <w:tc>
          <w:tcPr>
            <w:tcW w:w="2076" w:type="dxa"/>
          </w:tcPr>
          <w:p>
            <w:pPr>
              <w:jc w:val="left"/>
            </w:pPr>
            <w:r>
              <w:t>包装、装卸、运输、保管及保险</w:t>
            </w:r>
          </w:p>
        </w:tc>
        <w:tc>
          <w:tcPr>
            <w:tcW w:w="2076" w:type="dxa"/>
          </w:tcPr>
          <w:p>
            <w:pPr>
              <w:jc w:val="left"/>
            </w:pPr>
            <w:r>
              <w:t>1.1.包装必须与运输方式相适应，包装方式的确定及包装费用均由中标人负责；由于不适当的包装而造成货物在运输过程中有任何损坏或丢失由中标人负责；  1.2.包装应足以承受整个过程中的运输、转运、装卸、储存等，充分考虑到运输途中的各种情况（如暴露于恶劣天气等）和中山地区的气候特点，以及露天存放的需要； 1.3.专用工具及备品备件应分别包装，并在包装箱外加以注明其用处； 1.4.每一包装箱两个侧面用不褪色的油漆和明显易见的中文字样做出标记。 1.5.标记内容包括：箱（件）号、装运标志（唛头）、毛重（kg）、尺码（长×宽×高，用 mm 表 示）、净重（kg）、到货地址、收货人名称、货物名称、合同编号以及“勿近潮湿”、“小心轻放”、“此边向上”等； 1.6.中标人必须将货物运至采购人指定的位置； 1.7.货物在现场的保管由中标人负责，直至项目安装、验收完毕； 1.8.包装费、运费、保管费已包含在投标总价内； 1.9.货物在安装调试验收合格前的保险由中标人负责，中标人负责其派出的现场服务人员人身意外保险。</w:t>
            </w:r>
          </w:p>
        </w:tc>
      </w:tr>
      <w:tr>
        <w:tblPrEx>
          <w:tblCellMar>
            <w:top w:w="0" w:type="dxa"/>
            <w:left w:w="108" w:type="dxa"/>
            <w:bottom w:w="0" w:type="dxa"/>
            <w:right w:w="108" w:type="dxa"/>
          </w:tblCellMar>
        </w:tblPrEx>
        <w:tc>
          <w:tcPr>
            <w:tcW w:w="2076" w:type="dxa"/>
          </w:tcPr>
          <w:p>
            <w:pPr>
              <w:jc w:val="center"/>
            </w:pPr>
          </w:p>
        </w:tc>
        <w:tc>
          <w:tcPr>
            <w:tcW w:w="2076" w:type="dxa"/>
          </w:tcPr>
          <w:p>
            <w:pPr>
              <w:jc w:val="center"/>
            </w:pPr>
            <w:r>
              <w:t>2</w:t>
            </w:r>
          </w:p>
        </w:tc>
        <w:tc>
          <w:tcPr>
            <w:tcW w:w="2076" w:type="dxa"/>
          </w:tcPr>
          <w:p>
            <w:pPr>
              <w:jc w:val="left"/>
            </w:pPr>
            <w:r>
              <w:t>培训要求</w:t>
            </w:r>
          </w:p>
        </w:tc>
        <w:tc>
          <w:tcPr>
            <w:tcW w:w="2076" w:type="dxa"/>
          </w:tcPr>
          <w:p>
            <w:pPr>
              <w:jc w:val="left"/>
            </w:pPr>
            <w:r>
              <w:t>2.1.中标人应免费提供培训服务，对操作和管理人员进行培训； 2.2.投标人在投标文件中应提出详细的培训内容和培训计划； 2.3.中标人保证采购人培训后能够独立操作、自行管理和维护设备；超级微波消解仪和高效液相色谱仪须提供原生产厂商直接培训。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p>
        </w:tc>
        <w:tc>
          <w:tcPr>
            <w:tcW w:w="2076" w:type="dxa"/>
          </w:tcPr>
          <w:p>
            <w:pPr>
              <w:jc w:val="center"/>
            </w:pPr>
            <w:r>
              <w:t>3</w:t>
            </w:r>
          </w:p>
        </w:tc>
        <w:tc>
          <w:tcPr>
            <w:tcW w:w="2076" w:type="dxa"/>
          </w:tcPr>
          <w:p>
            <w:pPr>
              <w:jc w:val="left"/>
            </w:pPr>
            <w:r>
              <w:t>质量保证及售后服务</w:t>
            </w:r>
          </w:p>
        </w:tc>
        <w:tc>
          <w:tcPr>
            <w:tcW w:w="2076" w:type="dxa"/>
          </w:tcPr>
          <w:p>
            <w:pPr>
              <w:jc w:val="left"/>
            </w:pPr>
            <w:r>
              <w:t>3.1.投标人必须提供目前市场上技术较先进、成熟的原装、全新产品，并且符合国家以及该产品的出厂标准； 3.2.投标人必须对所投项目中涉及到的主要产品提供质量保证书；  ★3.3.中标人应对所提供设备的质保期按采购需求中采购仪器设备参数的要求，如果某个仪器设备的参数要求未提及质保期，则免费保修期至少1年。所有设备在质保期内，出现非人为故障，须免费更换新机或免费更换零部件，中标人负责对所提供设备终身维修及提供技术咨询，且提供设备的备件及消耗品；  3.4.中标人可提供电话或书面方式解答产品使用方面的疑问，必要时派驻技术人员专门服务。在质保期内对采购人提出的质量问题及维修要求，响应时间为7天/周×24小时，中标人应2小时内电话响应，48小时可达到现场维修，排除故障时限为到达现场后12小时（无菌隔离器除外）；若中标人不能在到达现场后12小时内排除故障的，应在24小时内免费更换故障的部件或设备；  3.5.在质保期内中标人负责对设备至少进行两次维护保养。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p>
        </w:tc>
        <w:tc>
          <w:tcPr>
            <w:tcW w:w="2076" w:type="dxa"/>
          </w:tcPr>
          <w:p>
            <w:pPr>
              <w:jc w:val="center"/>
            </w:pPr>
            <w:r>
              <w:t>4</w:t>
            </w:r>
          </w:p>
        </w:tc>
        <w:tc>
          <w:tcPr>
            <w:tcW w:w="2076" w:type="dxa"/>
          </w:tcPr>
          <w:p>
            <w:pPr>
              <w:jc w:val="left"/>
            </w:pPr>
            <w:r>
              <w:t>安装与调试</w:t>
            </w:r>
          </w:p>
        </w:tc>
        <w:tc>
          <w:tcPr>
            <w:tcW w:w="2076" w:type="dxa"/>
          </w:tcPr>
          <w:p>
            <w:pPr>
              <w:jc w:val="left"/>
            </w:pPr>
            <w:r>
              <w:t>4.1.设备到货后，中标人（或生产厂家）应派出有经验的工程技术人员到现场进行安装，并将设备调试到最佳状态，采购人给予相应的配合；  4.2.中标人（或生产厂家）根据现场情况和采购人要求及有关国家技术标准、规范进行安装和验收；  4.3.安装完成，中标人与采购人一同进行验收； 4.4.安装费与运输费由中标人负责。</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p>
        </w:tc>
        <w:tc>
          <w:tcPr>
            <w:tcW w:w="2076" w:type="dxa"/>
          </w:tcPr>
          <w:p>
            <w:pPr>
              <w:jc w:val="center"/>
            </w:pPr>
            <w:r>
              <w:t>5</w:t>
            </w:r>
          </w:p>
        </w:tc>
        <w:tc>
          <w:tcPr>
            <w:tcW w:w="2076" w:type="dxa"/>
          </w:tcPr>
          <w:p>
            <w:pPr>
              <w:jc w:val="left"/>
            </w:pPr>
            <w:r>
              <w:t>技术资料</w:t>
            </w:r>
          </w:p>
        </w:tc>
        <w:tc>
          <w:tcPr>
            <w:tcW w:w="2076" w:type="dxa"/>
          </w:tcPr>
          <w:p>
            <w:pPr>
              <w:jc w:val="left"/>
            </w:pPr>
            <w:r>
              <w:t>5.1.中标人应于验收后向采购人提供验收报告、技术文档的归纳、整理、提交，并提供完整的货物技术资料； 5.2.技术文件：包括验收报告、技术文档、完整的货物技术资料。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p>
        </w:tc>
        <w:tc>
          <w:tcPr>
            <w:tcW w:w="2076" w:type="dxa"/>
          </w:tcPr>
          <w:p>
            <w:pPr>
              <w:jc w:val="center"/>
            </w:pPr>
            <w:r>
              <w:t>6</w:t>
            </w:r>
          </w:p>
        </w:tc>
        <w:tc>
          <w:tcPr>
            <w:tcW w:w="2076" w:type="dxa"/>
          </w:tcPr>
          <w:p>
            <w:pPr>
              <w:jc w:val="left"/>
            </w:pPr>
            <w:r>
              <w:t>其他</w:t>
            </w:r>
          </w:p>
        </w:tc>
        <w:tc>
          <w:tcPr>
            <w:tcW w:w="2076" w:type="dxa"/>
          </w:tcPr>
          <w:p>
            <w:pPr>
              <w:jc w:val="left"/>
            </w:pPr>
            <w:r>
              <w:t>本项目为全包价，中标人承包及负责本采购需求对中标人要求的一切事宜及责任。包括货物供货、运输、保管、安装、调试、检定/校准、验收、培训、差旅费及相关服务等。采购人有权在签订合同时对项目方案作出适当修改或调整。</w:t>
            </w:r>
          </w:p>
        </w:tc>
      </w:tr>
    </w:tbl>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55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r>
              <w:t>说明</w:t>
            </w:r>
          </w:p>
        </w:tc>
        <w:tc>
          <w:tcPr>
            <w:tcW w:w="5538" w:type="dxa"/>
          </w:tcPr>
          <w:p>
            <w:pPr>
              <w:jc w:val="left"/>
            </w:pPr>
            <w:r>
              <w:t>打“★”号条款为实质性条款，若有任何一条负偏离或不满足则导致投标（响应）无效。</w:t>
            </w:r>
            <w:r>
              <w:br w:type="textWrapping"/>
            </w:r>
            <w:r>
              <w:t>打“▲”号条款为重要参数（如有），若有部分“▲”条款未响应或不满足，将根据评审要求影响其得分，但不作为无效投标（响应）条款。</w:t>
            </w:r>
          </w:p>
        </w:tc>
      </w:tr>
    </w:tbl>
    <w:p>
      <w:r>
        <w:rPr>
          <w:b/>
        </w:rPr>
        <w:t>2.技术标准与要求</w:t>
      </w:r>
    </w:p>
    <w:p/>
    <w:p/>
    <w:p/>
    <w:p/>
    <w:p/>
    <w:p/>
    <w:p/>
    <w:p/>
    <w:p/>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0"/>
        <w:gridCol w:w="1022"/>
        <w:gridCol w:w="729"/>
        <w:gridCol w:w="737"/>
        <w:gridCol w:w="729"/>
        <w:gridCol w:w="770"/>
        <w:gridCol w:w="1173"/>
        <w:gridCol w:w="1173"/>
        <w:gridCol w:w="729"/>
        <w:gridCol w:w="73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序号</w:t>
            </w:r>
          </w:p>
        </w:tc>
        <w:tc>
          <w:tcPr>
            <w:tcW w:w="831" w:type="dxa"/>
          </w:tcPr>
          <w:p>
            <w:pPr>
              <w:jc w:val="center"/>
            </w:pPr>
            <w:r>
              <w:t>核心产品要求（“△”）</w:t>
            </w:r>
          </w:p>
        </w:tc>
        <w:tc>
          <w:tcPr>
            <w:tcW w:w="831" w:type="dxa"/>
          </w:tcPr>
          <w:p>
            <w:pPr>
              <w:jc w:val="center"/>
            </w:pPr>
            <w:r>
              <w:t>品目名称</w:t>
            </w:r>
          </w:p>
        </w:tc>
        <w:tc>
          <w:tcPr>
            <w:tcW w:w="831" w:type="dxa"/>
          </w:tcPr>
          <w:p>
            <w:pPr>
              <w:jc w:val="center"/>
            </w:pPr>
            <w:r>
              <w:t>标的名称</w:t>
            </w:r>
          </w:p>
        </w:tc>
        <w:tc>
          <w:tcPr>
            <w:tcW w:w="831" w:type="dxa"/>
          </w:tcPr>
          <w:p>
            <w:pPr>
              <w:jc w:val="center"/>
            </w:pPr>
            <w:r>
              <w:t>单位</w:t>
            </w:r>
          </w:p>
        </w:tc>
        <w:tc>
          <w:tcPr>
            <w:tcW w:w="831" w:type="dxa"/>
          </w:tcPr>
          <w:p>
            <w:pPr>
              <w:jc w:val="center"/>
            </w:pPr>
            <w:r>
              <w:t>数量</w:t>
            </w:r>
          </w:p>
        </w:tc>
        <w:tc>
          <w:tcPr>
            <w:tcW w:w="831" w:type="dxa"/>
          </w:tcPr>
          <w:p>
            <w:pPr>
              <w:jc w:val="center"/>
            </w:pPr>
            <w:r>
              <w:t>分项预算单价（元）</w:t>
            </w:r>
          </w:p>
        </w:tc>
        <w:tc>
          <w:tcPr>
            <w:tcW w:w="831" w:type="dxa"/>
          </w:tcPr>
          <w:p>
            <w:pPr>
              <w:jc w:val="center"/>
            </w:pPr>
            <w:r>
              <w:t>分项预算总价（元）</w:t>
            </w:r>
          </w:p>
        </w:tc>
        <w:tc>
          <w:tcPr>
            <w:tcW w:w="831" w:type="dxa"/>
          </w:tcPr>
          <w:p>
            <w:r>
              <w:t>所属行业</w:t>
            </w:r>
          </w:p>
        </w:tc>
        <w:tc>
          <w:tcPr>
            <w:tcW w:w="831" w:type="dxa"/>
          </w:tcPr>
          <w:p>
            <w:pPr>
              <w:jc w:val="center"/>
            </w:pPr>
            <w: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w:t>
            </w:r>
          </w:p>
        </w:tc>
        <w:tc>
          <w:tcPr>
            <w:tcW w:w="831" w:type="dxa"/>
          </w:tcPr>
          <w:p>
            <w:pPr>
              <w:jc w:val="center"/>
            </w:pPr>
          </w:p>
        </w:tc>
        <w:tc>
          <w:tcPr>
            <w:tcW w:w="831" w:type="dxa"/>
          </w:tcPr>
          <w:p>
            <w:pPr>
              <w:jc w:val="left"/>
            </w:pPr>
            <w:r>
              <w:t>色谱仪</w:t>
            </w:r>
          </w:p>
        </w:tc>
        <w:tc>
          <w:tcPr>
            <w:tcW w:w="831" w:type="dxa"/>
          </w:tcPr>
          <w:p>
            <w:pPr>
              <w:jc w:val="left"/>
            </w:pPr>
            <w:r>
              <w:t>高效液相色谱仪</w:t>
            </w:r>
          </w:p>
        </w:tc>
        <w:tc>
          <w:tcPr>
            <w:tcW w:w="831" w:type="dxa"/>
          </w:tcPr>
          <w:p>
            <w:pPr>
              <w:jc w:val="left"/>
            </w:pPr>
            <w:r>
              <w:t>台</w:t>
            </w:r>
          </w:p>
        </w:tc>
        <w:tc>
          <w:tcPr>
            <w:tcW w:w="831" w:type="dxa"/>
          </w:tcPr>
          <w:p>
            <w:pPr>
              <w:jc w:val="right"/>
            </w:pPr>
            <w:r>
              <w:t>1.00</w:t>
            </w:r>
          </w:p>
        </w:tc>
        <w:tc>
          <w:tcPr>
            <w:tcW w:w="831" w:type="dxa"/>
          </w:tcPr>
          <w:p>
            <w:pPr>
              <w:jc w:val="right"/>
            </w:pPr>
            <w:r>
              <w:t>380,000.00</w:t>
            </w:r>
          </w:p>
        </w:tc>
        <w:tc>
          <w:tcPr>
            <w:tcW w:w="831" w:type="dxa"/>
          </w:tcPr>
          <w:p>
            <w:pPr>
              <w:jc w:val="right"/>
            </w:pPr>
            <w:r>
              <w:t>380,000.00</w:t>
            </w:r>
          </w:p>
        </w:tc>
        <w:tc>
          <w:tcPr>
            <w:tcW w:w="831" w:type="dxa"/>
          </w:tcPr>
          <w:p>
            <w:r>
              <w:t>工业</w:t>
            </w:r>
          </w:p>
        </w:tc>
        <w:tc>
          <w:tcPr>
            <w:tcW w:w="831" w:type="dxa"/>
          </w:tcPr>
          <w:p>
            <w:r>
              <w:t>详见附表一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2</w:t>
            </w:r>
          </w:p>
        </w:tc>
        <w:tc>
          <w:tcPr>
            <w:tcW w:w="831" w:type="dxa"/>
          </w:tcPr>
          <w:p>
            <w:pPr>
              <w:jc w:val="center"/>
            </w:pPr>
          </w:p>
        </w:tc>
        <w:tc>
          <w:tcPr>
            <w:tcW w:w="831" w:type="dxa"/>
          </w:tcPr>
          <w:p>
            <w:pPr>
              <w:jc w:val="left"/>
            </w:pPr>
            <w:r>
              <w:t>其他分析仪器</w:t>
            </w:r>
          </w:p>
        </w:tc>
        <w:tc>
          <w:tcPr>
            <w:tcW w:w="831" w:type="dxa"/>
          </w:tcPr>
          <w:p>
            <w:pPr>
              <w:jc w:val="left"/>
            </w:pPr>
            <w:r>
              <w:t>溶出试验仪</w:t>
            </w:r>
          </w:p>
        </w:tc>
        <w:tc>
          <w:tcPr>
            <w:tcW w:w="831" w:type="dxa"/>
          </w:tcPr>
          <w:p>
            <w:pPr>
              <w:jc w:val="left"/>
            </w:pPr>
            <w:r>
              <w:t>台</w:t>
            </w:r>
          </w:p>
        </w:tc>
        <w:tc>
          <w:tcPr>
            <w:tcW w:w="831" w:type="dxa"/>
          </w:tcPr>
          <w:p>
            <w:pPr>
              <w:jc w:val="right"/>
            </w:pPr>
            <w:r>
              <w:t>1.00</w:t>
            </w:r>
          </w:p>
        </w:tc>
        <w:tc>
          <w:tcPr>
            <w:tcW w:w="831" w:type="dxa"/>
          </w:tcPr>
          <w:p>
            <w:pPr>
              <w:jc w:val="right"/>
            </w:pPr>
            <w:r>
              <w:t>61,000.00</w:t>
            </w:r>
          </w:p>
        </w:tc>
        <w:tc>
          <w:tcPr>
            <w:tcW w:w="831" w:type="dxa"/>
          </w:tcPr>
          <w:p>
            <w:pPr>
              <w:jc w:val="right"/>
            </w:pPr>
            <w:r>
              <w:t>61,000.00</w:t>
            </w:r>
          </w:p>
        </w:tc>
        <w:tc>
          <w:tcPr>
            <w:tcW w:w="831" w:type="dxa"/>
          </w:tcPr>
          <w:p>
            <w:r>
              <w:t>工业</w:t>
            </w:r>
          </w:p>
        </w:tc>
        <w:tc>
          <w:tcPr>
            <w:tcW w:w="831" w:type="dxa"/>
          </w:tcPr>
          <w:p>
            <w:r>
              <w:t>详见附表二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3</w:t>
            </w:r>
          </w:p>
        </w:tc>
        <w:tc>
          <w:tcPr>
            <w:tcW w:w="831" w:type="dxa"/>
          </w:tcPr>
          <w:p>
            <w:pPr>
              <w:jc w:val="center"/>
            </w:pPr>
          </w:p>
        </w:tc>
        <w:tc>
          <w:tcPr>
            <w:tcW w:w="831" w:type="dxa"/>
          </w:tcPr>
          <w:p>
            <w:pPr>
              <w:jc w:val="left"/>
            </w:pPr>
            <w:r>
              <w:t>物理特性分析仪器及校准仪器</w:t>
            </w:r>
          </w:p>
        </w:tc>
        <w:tc>
          <w:tcPr>
            <w:tcW w:w="831" w:type="dxa"/>
          </w:tcPr>
          <w:p>
            <w:pPr>
              <w:jc w:val="left"/>
            </w:pPr>
            <w:r>
              <w:t>粘度测量系统</w:t>
            </w:r>
          </w:p>
        </w:tc>
        <w:tc>
          <w:tcPr>
            <w:tcW w:w="831" w:type="dxa"/>
          </w:tcPr>
          <w:p>
            <w:pPr>
              <w:jc w:val="left"/>
            </w:pPr>
            <w:r>
              <w:t>台</w:t>
            </w:r>
          </w:p>
        </w:tc>
        <w:tc>
          <w:tcPr>
            <w:tcW w:w="831" w:type="dxa"/>
          </w:tcPr>
          <w:p>
            <w:pPr>
              <w:jc w:val="right"/>
            </w:pPr>
            <w:r>
              <w:t>1.00</w:t>
            </w:r>
          </w:p>
        </w:tc>
        <w:tc>
          <w:tcPr>
            <w:tcW w:w="831" w:type="dxa"/>
          </w:tcPr>
          <w:p>
            <w:pPr>
              <w:jc w:val="right"/>
            </w:pPr>
            <w:r>
              <w:t>100,000.00</w:t>
            </w:r>
          </w:p>
        </w:tc>
        <w:tc>
          <w:tcPr>
            <w:tcW w:w="831" w:type="dxa"/>
          </w:tcPr>
          <w:p>
            <w:pPr>
              <w:jc w:val="right"/>
            </w:pPr>
            <w:r>
              <w:t>100,000.00</w:t>
            </w:r>
          </w:p>
        </w:tc>
        <w:tc>
          <w:tcPr>
            <w:tcW w:w="831" w:type="dxa"/>
          </w:tcPr>
          <w:p>
            <w:r>
              <w:t>工业</w:t>
            </w:r>
          </w:p>
        </w:tc>
        <w:tc>
          <w:tcPr>
            <w:tcW w:w="831" w:type="dxa"/>
          </w:tcPr>
          <w:p>
            <w:r>
              <w:t>详见附表三</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4</w:t>
            </w:r>
          </w:p>
        </w:tc>
        <w:tc>
          <w:tcPr>
            <w:tcW w:w="831" w:type="dxa"/>
          </w:tcPr>
          <w:p>
            <w:pPr>
              <w:jc w:val="center"/>
            </w:pPr>
          </w:p>
        </w:tc>
        <w:tc>
          <w:tcPr>
            <w:tcW w:w="831" w:type="dxa"/>
          </w:tcPr>
          <w:p>
            <w:pPr>
              <w:jc w:val="left"/>
            </w:pPr>
            <w:r>
              <w:t>电化学分析仪器</w:t>
            </w:r>
          </w:p>
        </w:tc>
        <w:tc>
          <w:tcPr>
            <w:tcW w:w="831" w:type="dxa"/>
          </w:tcPr>
          <w:p>
            <w:pPr>
              <w:jc w:val="left"/>
            </w:pPr>
            <w:r>
              <w:t>pH计</w:t>
            </w:r>
          </w:p>
        </w:tc>
        <w:tc>
          <w:tcPr>
            <w:tcW w:w="831" w:type="dxa"/>
          </w:tcPr>
          <w:p>
            <w:pPr>
              <w:jc w:val="left"/>
            </w:pPr>
            <w:r>
              <w:t>台</w:t>
            </w:r>
          </w:p>
        </w:tc>
        <w:tc>
          <w:tcPr>
            <w:tcW w:w="831" w:type="dxa"/>
          </w:tcPr>
          <w:p>
            <w:pPr>
              <w:jc w:val="right"/>
            </w:pPr>
            <w:r>
              <w:t>1.00</w:t>
            </w:r>
          </w:p>
        </w:tc>
        <w:tc>
          <w:tcPr>
            <w:tcW w:w="831" w:type="dxa"/>
          </w:tcPr>
          <w:p>
            <w:pPr>
              <w:jc w:val="right"/>
            </w:pPr>
            <w:r>
              <w:t>21,000.00</w:t>
            </w:r>
          </w:p>
        </w:tc>
        <w:tc>
          <w:tcPr>
            <w:tcW w:w="831" w:type="dxa"/>
          </w:tcPr>
          <w:p>
            <w:pPr>
              <w:jc w:val="right"/>
            </w:pPr>
            <w:r>
              <w:t>21,000.00</w:t>
            </w:r>
          </w:p>
        </w:tc>
        <w:tc>
          <w:tcPr>
            <w:tcW w:w="831" w:type="dxa"/>
          </w:tcPr>
          <w:p>
            <w:r>
              <w:t>工业</w:t>
            </w:r>
          </w:p>
        </w:tc>
        <w:tc>
          <w:tcPr>
            <w:tcW w:w="831" w:type="dxa"/>
          </w:tcPr>
          <w:p>
            <w:r>
              <w:t>详见附表四</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5</w:t>
            </w:r>
          </w:p>
        </w:tc>
        <w:tc>
          <w:tcPr>
            <w:tcW w:w="831" w:type="dxa"/>
          </w:tcPr>
          <w:p>
            <w:pPr>
              <w:jc w:val="center"/>
            </w:pPr>
            <w:r>
              <w:t>△</w:t>
            </w:r>
          </w:p>
        </w:tc>
        <w:tc>
          <w:tcPr>
            <w:tcW w:w="831" w:type="dxa"/>
          </w:tcPr>
          <w:p>
            <w:pPr>
              <w:jc w:val="left"/>
            </w:pPr>
            <w:r>
              <w:t>其他分析仪器</w:t>
            </w:r>
          </w:p>
        </w:tc>
        <w:tc>
          <w:tcPr>
            <w:tcW w:w="831" w:type="dxa"/>
          </w:tcPr>
          <w:p>
            <w:pPr>
              <w:jc w:val="left"/>
            </w:pPr>
            <w:r>
              <w:t>超级微波消解仪</w:t>
            </w:r>
          </w:p>
        </w:tc>
        <w:tc>
          <w:tcPr>
            <w:tcW w:w="831" w:type="dxa"/>
          </w:tcPr>
          <w:p>
            <w:pPr>
              <w:jc w:val="left"/>
            </w:pPr>
            <w:r>
              <w:t>台</w:t>
            </w:r>
          </w:p>
        </w:tc>
        <w:tc>
          <w:tcPr>
            <w:tcW w:w="831" w:type="dxa"/>
          </w:tcPr>
          <w:p>
            <w:pPr>
              <w:jc w:val="right"/>
            </w:pPr>
            <w:r>
              <w:t>1.00</w:t>
            </w:r>
          </w:p>
        </w:tc>
        <w:tc>
          <w:tcPr>
            <w:tcW w:w="831" w:type="dxa"/>
          </w:tcPr>
          <w:p>
            <w:pPr>
              <w:jc w:val="right"/>
            </w:pPr>
            <w:r>
              <w:t>800,000.00</w:t>
            </w:r>
          </w:p>
        </w:tc>
        <w:tc>
          <w:tcPr>
            <w:tcW w:w="831" w:type="dxa"/>
          </w:tcPr>
          <w:p>
            <w:pPr>
              <w:jc w:val="right"/>
            </w:pPr>
            <w:r>
              <w:t>800,000.00</w:t>
            </w:r>
          </w:p>
        </w:tc>
        <w:tc>
          <w:tcPr>
            <w:tcW w:w="831" w:type="dxa"/>
          </w:tcPr>
          <w:p>
            <w:r>
              <w:t>工业</w:t>
            </w:r>
          </w:p>
        </w:tc>
        <w:tc>
          <w:tcPr>
            <w:tcW w:w="831" w:type="dxa"/>
          </w:tcPr>
          <w:p>
            <w:r>
              <w:t>详见附表五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6</w:t>
            </w:r>
          </w:p>
        </w:tc>
        <w:tc>
          <w:tcPr>
            <w:tcW w:w="831" w:type="dxa"/>
          </w:tcPr>
          <w:p>
            <w:pPr>
              <w:jc w:val="center"/>
            </w:pPr>
          </w:p>
        </w:tc>
        <w:tc>
          <w:tcPr>
            <w:tcW w:w="831" w:type="dxa"/>
          </w:tcPr>
          <w:p>
            <w:pPr>
              <w:jc w:val="left"/>
            </w:pPr>
            <w:r>
              <w:t>其他仪器仪表</w:t>
            </w:r>
          </w:p>
        </w:tc>
        <w:tc>
          <w:tcPr>
            <w:tcW w:w="831" w:type="dxa"/>
          </w:tcPr>
          <w:p>
            <w:pPr>
              <w:jc w:val="left"/>
            </w:pPr>
            <w:r>
              <w:t>高压灭菌器</w:t>
            </w:r>
          </w:p>
        </w:tc>
        <w:tc>
          <w:tcPr>
            <w:tcW w:w="831" w:type="dxa"/>
          </w:tcPr>
          <w:p>
            <w:pPr>
              <w:jc w:val="left"/>
            </w:pPr>
            <w:r>
              <w:t>台</w:t>
            </w:r>
          </w:p>
        </w:tc>
        <w:tc>
          <w:tcPr>
            <w:tcW w:w="831" w:type="dxa"/>
          </w:tcPr>
          <w:p>
            <w:pPr>
              <w:jc w:val="right"/>
            </w:pPr>
            <w:r>
              <w:t>1.00</w:t>
            </w:r>
          </w:p>
        </w:tc>
        <w:tc>
          <w:tcPr>
            <w:tcW w:w="831" w:type="dxa"/>
          </w:tcPr>
          <w:p>
            <w:pPr>
              <w:jc w:val="right"/>
            </w:pPr>
            <w:r>
              <w:t>50,000.00</w:t>
            </w:r>
          </w:p>
        </w:tc>
        <w:tc>
          <w:tcPr>
            <w:tcW w:w="831" w:type="dxa"/>
          </w:tcPr>
          <w:p>
            <w:pPr>
              <w:jc w:val="right"/>
            </w:pPr>
            <w:r>
              <w:t>50,000.00</w:t>
            </w:r>
          </w:p>
        </w:tc>
        <w:tc>
          <w:tcPr>
            <w:tcW w:w="831" w:type="dxa"/>
          </w:tcPr>
          <w:p>
            <w:r>
              <w:t>工业</w:t>
            </w:r>
          </w:p>
        </w:tc>
        <w:tc>
          <w:tcPr>
            <w:tcW w:w="831" w:type="dxa"/>
          </w:tcPr>
          <w:p>
            <w:r>
              <w:t>详见附表六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7</w:t>
            </w:r>
          </w:p>
        </w:tc>
        <w:tc>
          <w:tcPr>
            <w:tcW w:w="831" w:type="dxa"/>
          </w:tcPr>
          <w:p>
            <w:pPr>
              <w:jc w:val="center"/>
            </w:pPr>
          </w:p>
        </w:tc>
        <w:tc>
          <w:tcPr>
            <w:tcW w:w="831" w:type="dxa"/>
          </w:tcPr>
          <w:p>
            <w:pPr>
              <w:jc w:val="left"/>
            </w:pPr>
            <w:r>
              <w:t>其他仪器仪表</w:t>
            </w:r>
          </w:p>
        </w:tc>
        <w:tc>
          <w:tcPr>
            <w:tcW w:w="831" w:type="dxa"/>
          </w:tcPr>
          <w:p>
            <w:pPr>
              <w:jc w:val="left"/>
            </w:pPr>
            <w:r>
              <w:t>超低温冰箱</w:t>
            </w:r>
          </w:p>
        </w:tc>
        <w:tc>
          <w:tcPr>
            <w:tcW w:w="831" w:type="dxa"/>
          </w:tcPr>
          <w:p>
            <w:pPr>
              <w:jc w:val="left"/>
            </w:pPr>
            <w:r>
              <w:t>台</w:t>
            </w:r>
          </w:p>
        </w:tc>
        <w:tc>
          <w:tcPr>
            <w:tcW w:w="831" w:type="dxa"/>
          </w:tcPr>
          <w:p>
            <w:pPr>
              <w:jc w:val="right"/>
            </w:pPr>
            <w:r>
              <w:t>1.00</w:t>
            </w:r>
          </w:p>
        </w:tc>
        <w:tc>
          <w:tcPr>
            <w:tcW w:w="831" w:type="dxa"/>
          </w:tcPr>
          <w:p>
            <w:pPr>
              <w:jc w:val="right"/>
            </w:pPr>
            <w:r>
              <w:t>77,000.00</w:t>
            </w:r>
          </w:p>
        </w:tc>
        <w:tc>
          <w:tcPr>
            <w:tcW w:w="831" w:type="dxa"/>
          </w:tcPr>
          <w:p>
            <w:pPr>
              <w:jc w:val="right"/>
            </w:pPr>
            <w:r>
              <w:t>77,000.00</w:t>
            </w:r>
          </w:p>
        </w:tc>
        <w:tc>
          <w:tcPr>
            <w:tcW w:w="831" w:type="dxa"/>
          </w:tcPr>
          <w:p>
            <w:r>
              <w:t>工业</w:t>
            </w:r>
          </w:p>
        </w:tc>
        <w:tc>
          <w:tcPr>
            <w:tcW w:w="831" w:type="dxa"/>
          </w:tcPr>
          <w:p>
            <w:r>
              <w:t>详见附表七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8</w:t>
            </w:r>
          </w:p>
        </w:tc>
        <w:tc>
          <w:tcPr>
            <w:tcW w:w="831" w:type="dxa"/>
          </w:tcPr>
          <w:p>
            <w:pPr>
              <w:jc w:val="center"/>
            </w:pPr>
          </w:p>
        </w:tc>
        <w:tc>
          <w:tcPr>
            <w:tcW w:w="831" w:type="dxa"/>
          </w:tcPr>
          <w:p>
            <w:pPr>
              <w:jc w:val="left"/>
            </w:pPr>
            <w:r>
              <w:t>其他分析仪器</w:t>
            </w:r>
          </w:p>
        </w:tc>
        <w:tc>
          <w:tcPr>
            <w:tcW w:w="831" w:type="dxa"/>
          </w:tcPr>
          <w:p>
            <w:pPr>
              <w:jc w:val="left"/>
            </w:pPr>
            <w:r>
              <w:t>凝胶成像系统</w:t>
            </w:r>
          </w:p>
        </w:tc>
        <w:tc>
          <w:tcPr>
            <w:tcW w:w="831" w:type="dxa"/>
          </w:tcPr>
          <w:p>
            <w:pPr>
              <w:jc w:val="left"/>
            </w:pPr>
            <w:r>
              <w:t>台</w:t>
            </w:r>
          </w:p>
        </w:tc>
        <w:tc>
          <w:tcPr>
            <w:tcW w:w="831" w:type="dxa"/>
          </w:tcPr>
          <w:p>
            <w:pPr>
              <w:jc w:val="right"/>
            </w:pPr>
            <w:r>
              <w:t>1.00</w:t>
            </w:r>
          </w:p>
        </w:tc>
        <w:tc>
          <w:tcPr>
            <w:tcW w:w="831" w:type="dxa"/>
          </w:tcPr>
          <w:p>
            <w:pPr>
              <w:jc w:val="right"/>
            </w:pPr>
            <w:r>
              <w:t>180,000.00</w:t>
            </w:r>
          </w:p>
        </w:tc>
        <w:tc>
          <w:tcPr>
            <w:tcW w:w="831" w:type="dxa"/>
          </w:tcPr>
          <w:p>
            <w:pPr>
              <w:jc w:val="right"/>
            </w:pPr>
            <w:r>
              <w:t>180,000.00</w:t>
            </w:r>
          </w:p>
        </w:tc>
        <w:tc>
          <w:tcPr>
            <w:tcW w:w="831" w:type="dxa"/>
          </w:tcPr>
          <w:p>
            <w:r>
              <w:t>工业</w:t>
            </w:r>
          </w:p>
        </w:tc>
        <w:tc>
          <w:tcPr>
            <w:tcW w:w="831" w:type="dxa"/>
          </w:tcPr>
          <w:p>
            <w:r>
              <w:t>详见附表八</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9</w:t>
            </w:r>
          </w:p>
        </w:tc>
        <w:tc>
          <w:tcPr>
            <w:tcW w:w="831" w:type="dxa"/>
          </w:tcPr>
          <w:p>
            <w:pPr>
              <w:jc w:val="center"/>
            </w:pPr>
          </w:p>
        </w:tc>
        <w:tc>
          <w:tcPr>
            <w:tcW w:w="831" w:type="dxa"/>
          </w:tcPr>
          <w:p>
            <w:pPr>
              <w:jc w:val="left"/>
            </w:pPr>
            <w:r>
              <w:t>其他仪器仪表</w:t>
            </w:r>
          </w:p>
        </w:tc>
        <w:tc>
          <w:tcPr>
            <w:tcW w:w="831" w:type="dxa"/>
          </w:tcPr>
          <w:p>
            <w:pPr>
              <w:jc w:val="left"/>
            </w:pPr>
            <w:r>
              <w:t>隔水式恒温培养箱</w:t>
            </w:r>
          </w:p>
        </w:tc>
        <w:tc>
          <w:tcPr>
            <w:tcW w:w="831" w:type="dxa"/>
          </w:tcPr>
          <w:p>
            <w:pPr>
              <w:jc w:val="left"/>
            </w:pPr>
            <w:r>
              <w:t>台</w:t>
            </w:r>
          </w:p>
        </w:tc>
        <w:tc>
          <w:tcPr>
            <w:tcW w:w="831" w:type="dxa"/>
          </w:tcPr>
          <w:p>
            <w:pPr>
              <w:jc w:val="right"/>
            </w:pPr>
            <w:r>
              <w:t>1.00</w:t>
            </w:r>
          </w:p>
        </w:tc>
        <w:tc>
          <w:tcPr>
            <w:tcW w:w="831" w:type="dxa"/>
          </w:tcPr>
          <w:p>
            <w:pPr>
              <w:jc w:val="right"/>
            </w:pPr>
            <w:r>
              <w:t>11,000.00</w:t>
            </w:r>
          </w:p>
        </w:tc>
        <w:tc>
          <w:tcPr>
            <w:tcW w:w="831" w:type="dxa"/>
          </w:tcPr>
          <w:p>
            <w:pPr>
              <w:jc w:val="right"/>
            </w:pPr>
            <w:r>
              <w:t>11,000.00</w:t>
            </w:r>
          </w:p>
        </w:tc>
        <w:tc>
          <w:tcPr>
            <w:tcW w:w="831" w:type="dxa"/>
          </w:tcPr>
          <w:p>
            <w:r>
              <w:t>工业</w:t>
            </w:r>
          </w:p>
        </w:tc>
        <w:tc>
          <w:tcPr>
            <w:tcW w:w="831" w:type="dxa"/>
          </w:tcPr>
          <w:p>
            <w:r>
              <w:t>详见附表九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10</w:t>
            </w:r>
          </w:p>
        </w:tc>
        <w:tc>
          <w:tcPr>
            <w:tcW w:w="831" w:type="dxa"/>
          </w:tcPr>
          <w:p>
            <w:pPr>
              <w:jc w:val="center"/>
            </w:pPr>
          </w:p>
        </w:tc>
        <w:tc>
          <w:tcPr>
            <w:tcW w:w="831" w:type="dxa"/>
          </w:tcPr>
          <w:p>
            <w:pPr>
              <w:jc w:val="left"/>
            </w:pPr>
            <w:r>
              <w:t>光学式分析仪器</w:t>
            </w:r>
          </w:p>
        </w:tc>
        <w:tc>
          <w:tcPr>
            <w:tcW w:w="831" w:type="dxa"/>
          </w:tcPr>
          <w:p>
            <w:pPr>
              <w:jc w:val="left"/>
            </w:pPr>
            <w:r>
              <w:t>偏光显微成像系统</w:t>
            </w:r>
          </w:p>
        </w:tc>
        <w:tc>
          <w:tcPr>
            <w:tcW w:w="831" w:type="dxa"/>
          </w:tcPr>
          <w:p>
            <w:pPr>
              <w:jc w:val="left"/>
            </w:pPr>
            <w:r>
              <w:t>台</w:t>
            </w:r>
          </w:p>
        </w:tc>
        <w:tc>
          <w:tcPr>
            <w:tcW w:w="831" w:type="dxa"/>
          </w:tcPr>
          <w:p>
            <w:pPr>
              <w:jc w:val="right"/>
            </w:pPr>
            <w:r>
              <w:t>1.00</w:t>
            </w:r>
          </w:p>
        </w:tc>
        <w:tc>
          <w:tcPr>
            <w:tcW w:w="831" w:type="dxa"/>
          </w:tcPr>
          <w:p>
            <w:pPr>
              <w:jc w:val="right"/>
            </w:pPr>
            <w:r>
              <w:t>160,000.00</w:t>
            </w:r>
          </w:p>
        </w:tc>
        <w:tc>
          <w:tcPr>
            <w:tcW w:w="831" w:type="dxa"/>
          </w:tcPr>
          <w:p>
            <w:pPr>
              <w:jc w:val="right"/>
            </w:pPr>
            <w:r>
              <w:t>160,000.00</w:t>
            </w:r>
          </w:p>
        </w:tc>
        <w:tc>
          <w:tcPr>
            <w:tcW w:w="831" w:type="dxa"/>
          </w:tcPr>
          <w:p>
            <w:r>
              <w:t>工业</w:t>
            </w:r>
          </w:p>
        </w:tc>
        <w:tc>
          <w:tcPr>
            <w:tcW w:w="831" w:type="dxa"/>
          </w:tcPr>
          <w:p>
            <w:r>
              <w:t>详见附表一十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11</w:t>
            </w:r>
          </w:p>
        </w:tc>
        <w:tc>
          <w:tcPr>
            <w:tcW w:w="831" w:type="dxa"/>
          </w:tcPr>
          <w:p>
            <w:pPr>
              <w:jc w:val="center"/>
            </w:pPr>
          </w:p>
        </w:tc>
        <w:tc>
          <w:tcPr>
            <w:tcW w:w="831" w:type="dxa"/>
          </w:tcPr>
          <w:p>
            <w:pPr>
              <w:jc w:val="left"/>
            </w:pPr>
            <w:r>
              <w:t>其他分析仪器</w:t>
            </w:r>
          </w:p>
        </w:tc>
        <w:tc>
          <w:tcPr>
            <w:tcW w:w="831" w:type="dxa"/>
          </w:tcPr>
          <w:p>
            <w:pPr>
              <w:jc w:val="left"/>
            </w:pPr>
            <w:r>
              <w:t>半自动定氮仪</w:t>
            </w:r>
          </w:p>
        </w:tc>
        <w:tc>
          <w:tcPr>
            <w:tcW w:w="831" w:type="dxa"/>
          </w:tcPr>
          <w:p>
            <w:pPr>
              <w:jc w:val="left"/>
            </w:pPr>
            <w:r>
              <w:t>台</w:t>
            </w:r>
          </w:p>
        </w:tc>
        <w:tc>
          <w:tcPr>
            <w:tcW w:w="831" w:type="dxa"/>
          </w:tcPr>
          <w:p>
            <w:pPr>
              <w:jc w:val="right"/>
            </w:pPr>
            <w:r>
              <w:t>1.00</w:t>
            </w:r>
          </w:p>
        </w:tc>
        <w:tc>
          <w:tcPr>
            <w:tcW w:w="831" w:type="dxa"/>
          </w:tcPr>
          <w:p>
            <w:pPr>
              <w:jc w:val="right"/>
            </w:pPr>
            <w:r>
              <w:t>160,000.00</w:t>
            </w:r>
          </w:p>
        </w:tc>
        <w:tc>
          <w:tcPr>
            <w:tcW w:w="831" w:type="dxa"/>
          </w:tcPr>
          <w:p>
            <w:pPr>
              <w:jc w:val="right"/>
            </w:pPr>
            <w:r>
              <w:t>160,000.00</w:t>
            </w:r>
          </w:p>
        </w:tc>
        <w:tc>
          <w:tcPr>
            <w:tcW w:w="831" w:type="dxa"/>
          </w:tcPr>
          <w:p>
            <w:r>
              <w:t>工业</w:t>
            </w:r>
          </w:p>
        </w:tc>
        <w:tc>
          <w:tcPr>
            <w:tcW w:w="831" w:type="dxa"/>
          </w:tcPr>
          <w:p>
            <w:r>
              <w:t>详见附表一十一</w:t>
            </w:r>
          </w:p>
        </w:tc>
      </w:tr>
    </w:tbl>
    <w:p/>
    <w:p>
      <w:r>
        <w:rPr>
          <w:b/>
        </w:rPr>
        <w:t>附表一：高效液相色谱仪进口产品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both"/>
            </w:pPr>
            <w:r>
              <w:rPr>
                <w:sz w:val="24"/>
              </w:rPr>
              <w:t>1.技术指标</w:t>
            </w:r>
          </w:p>
          <w:p>
            <w:pPr>
              <w:jc w:val="both"/>
            </w:pPr>
            <w:r>
              <w:rPr>
                <w:sz w:val="24"/>
              </w:rPr>
              <w:t>1.1 输液泵</w:t>
            </w:r>
          </w:p>
          <w:p>
            <w:pPr>
              <w:jc w:val="both"/>
            </w:pPr>
            <w:r>
              <w:rPr>
                <w:sz w:val="24"/>
              </w:rPr>
              <w:t>1.1.1 泵类型：并联双柱塞（冲程体积≤10微升）；</w:t>
            </w:r>
          </w:p>
          <w:p>
            <w:pPr>
              <w:jc w:val="both"/>
            </w:pPr>
            <w:r>
              <w:rPr>
                <w:sz w:val="24"/>
              </w:rPr>
              <w:t>1.1.2 物理双泵头：可减低故障率，便于维护；</w:t>
            </w:r>
          </w:p>
          <w:p>
            <w:pPr>
              <w:jc w:val="both"/>
            </w:pPr>
            <w:r>
              <w:rPr>
                <w:sz w:val="24"/>
              </w:rPr>
              <w:t>1.1.3 流速范围：0.0001～10.0000mL/min；</w:t>
            </w:r>
          </w:p>
          <w:p>
            <w:pPr>
              <w:jc w:val="both"/>
            </w:pPr>
            <w:r>
              <w:rPr>
                <w:sz w:val="24"/>
              </w:rPr>
              <w:t>1.1.4 耐压：≥70Mpa；</w:t>
            </w:r>
          </w:p>
          <w:p>
            <w:pPr>
              <w:jc w:val="both"/>
            </w:pPr>
            <w:r>
              <w:rPr>
                <w:sz w:val="24"/>
              </w:rPr>
              <w:t>1.1.5 流速精确度：RSD（相对标准偏差）≤0.065%；</w:t>
            </w:r>
          </w:p>
          <w:p>
            <w:pPr>
              <w:jc w:val="both"/>
            </w:pPr>
            <w:r>
              <w:rPr>
                <w:sz w:val="24"/>
              </w:rPr>
              <w:t>1.1.6 混合器控温：可实现流动相的混合；</w:t>
            </w:r>
          </w:p>
          <w:p>
            <w:pPr>
              <w:jc w:val="both"/>
            </w:pPr>
            <w:r>
              <w:rPr>
                <w:sz w:val="24"/>
              </w:rPr>
              <w:t>1.1.7 梯度类型：高压梯度（2种或3种溶剂）、四元低压梯度；</w:t>
            </w:r>
          </w:p>
          <w:p>
            <w:pPr>
              <w:jc w:val="both"/>
            </w:pPr>
            <w:r>
              <w:rPr>
                <w:sz w:val="24"/>
              </w:rPr>
              <w:t>1.1.8 浓度梯度范围：0～100%（0.1%步进）；</w:t>
            </w:r>
          </w:p>
          <w:p>
            <w:pPr>
              <w:jc w:val="both"/>
            </w:pPr>
            <w:r>
              <w:rPr>
                <w:sz w:val="24"/>
              </w:rPr>
              <w:t>▲1.1.9 具有自我诊断/自我恢复功能：自动检测到批处理分析过程中意外混入的气泡，可自动执行Purge（排气/吹扫），以便恢复至正常分析状态；</w:t>
            </w:r>
          </w:p>
          <w:p>
            <w:pPr>
              <w:jc w:val="both"/>
            </w:pPr>
            <w:r>
              <w:rPr>
                <w:sz w:val="24"/>
              </w:rPr>
              <w:t>1.1.10 具有智能流量控制功能：可防止瞬间高压损害色谱柱，延长色谱柱的使用寿命；</w:t>
            </w:r>
          </w:p>
          <w:p>
            <w:pPr>
              <w:jc w:val="both"/>
            </w:pPr>
            <w:r>
              <w:rPr>
                <w:sz w:val="24"/>
              </w:rPr>
              <w:t>1.1.11 pH耐受范围：1～14；</w:t>
            </w:r>
          </w:p>
          <w:p>
            <w:pPr>
              <w:jc w:val="both"/>
            </w:pPr>
            <w:r>
              <w:rPr>
                <w:sz w:val="24"/>
              </w:rPr>
              <w:t>1.2 在线脱气机</w:t>
            </w:r>
          </w:p>
          <w:p>
            <w:pPr>
              <w:jc w:val="both"/>
            </w:pPr>
            <w:r>
              <w:rPr>
                <w:sz w:val="24"/>
              </w:rPr>
              <w:t>1.2.1 流路数目：≥5路；</w:t>
            </w:r>
          </w:p>
          <w:p>
            <w:pPr>
              <w:jc w:val="both"/>
            </w:pPr>
            <w:r>
              <w:rPr>
                <w:sz w:val="24"/>
              </w:rPr>
              <w:t>1.2.2 脱气流路体积：400µL/每流路；</w:t>
            </w:r>
          </w:p>
          <w:p>
            <w:pPr>
              <w:jc w:val="both"/>
            </w:pPr>
            <w:r>
              <w:rPr>
                <w:sz w:val="24"/>
              </w:rPr>
              <w:t>1.3 自动进样器</w:t>
            </w:r>
          </w:p>
          <w:p>
            <w:pPr>
              <w:jc w:val="both"/>
            </w:pPr>
            <w:r>
              <w:rPr>
                <w:sz w:val="24"/>
              </w:rPr>
              <w:t>1.3.1 线性：≥0.9999%；</w:t>
            </w:r>
          </w:p>
          <w:p>
            <w:pPr>
              <w:jc w:val="both"/>
            </w:pPr>
            <w:r>
              <w:rPr>
                <w:sz w:val="24"/>
              </w:rPr>
              <w:t>1.3.2 耐压：≥70Mpa；</w:t>
            </w:r>
          </w:p>
          <w:p>
            <w:pPr>
              <w:jc w:val="both"/>
            </w:pPr>
            <w:r>
              <w:rPr>
                <w:sz w:val="24"/>
              </w:rPr>
              <w:t>1.3.3 进样周期：≤7.0秒；</w:t>
            </w:r>
          </w:p>
          <w:p>
            <w:pPr>
              <w:jc w:val="both"/>
            </w:pPr>
            <w:r>
              <w:rPr>
                <w:sz w:val="24"/>
              </w:rPr>
              <w:t>1.3.4 进样速度：≥4秒；</w:t>
            </w:r>
          </w:p>
          <w:p>
            <w:pPr>
              <w:jc w:val="both"/>
            </w:pPr>
            <w:r>
              <w:rPr>
                <w:sz w:val="24"/>
              </w:rPr>
              <w:t>1.3.5 样品数量：不少于160位（1.5mL/2mL样品瓶）</w:t>
            </w:r>
          </w:p>
          <w:p>
            <w:pPr>
              <w:jc w:val="both"/>
            </w:pPr>
            <w:r>
              <w:rPr>
                <w:sz w:val="24"/>
              </w:rPr>
              <w:t>1.3.6 交叉污染：≤0.0005%；</w:t>
            </w:r>
          </w:p>
          <w:p>
            <w:pPr>
              <w:jc w:val="both"/>
            </w:pPr>
            <w:r>
              <w:rPr>
                <w:sz w:val="24"/>
              </w:rPr>
              <w:t>▲1.3.7 可执行针外润洗和进样口冲洗；</w:t>
            </w:r>
          </w:p>
          <w:p>
            <w:pPr>
              <w:jc w:val="both"/>
            </w:pPr>
            <w:r>
              <w:rPr>
                <w:sz w:val="24"/>
              </w:rPr>
              <w:t>1.3.8 针外壁送液清洗：可扩展支持不少于2路清洗液；</w:t>
            </w:r>
          </w:p>
          <w:p>
            <w:pPr>
              <w:jc w:val="both"/>
            </w:pPr>
            <w:r>
              <w:rPr>
                <w:sz w:val="24"/>
              </w:rPr>
              <w:t>1.3.9 针内壁清洗：可扩展支持不少于3路清洗液；</w:t>
            </w:r>
          </w:p>
          <w:p>
            <w:pPr>
              <w:jc w:val="both"/>
            </w:pPr>
            <w:r>
              <w:rPr>
                <w:sz w:val="24"/>
              </w:rPr>
              <w:t>1.3.10 双进样模式：可扩展为支持两条独立流路同时分析；</w:t>
            </w:r>
          </w:p>
          <w:p>
            <w:pPr>
              <w:jc w:val="both"/>
            </w:pPr>
            <w:r>
              <w:rPr>
                <w:sz w:val="24"/>
              </w:rPr>
              <w:t>1.3.11 具有样品冷却功能，具有的样品高速冷却机制可在20分钟以内达到设定温度；</w:t>
            </w:r>
          </w:p>
          <w:p>
            <w:pPr>
              <w:jc w:val="both"/>
            </w:pPr>
            <w:r>
              <w:rPr>
                <w:sz w:val="24"/>
              </w:rPr>
              <w:t>1.3.12 智能化样品冷却机制，智能控制样品仓内气流走向，保持其内部温度，防止样品仓门打开时外部热空气侵入，影响样品仓内温度，并防止冷凝的发生；</w:t>
            </w:r>
          </w:p>
          <w:p>
            <w:pPr>
              <w:jc w:val="both"/>
            </w:pPr>
            <w:r>
              <w:rPr>
                <w:sz w:val="24"/>
              </w:rPr>
              <w:t>1.3.13 样品控温设定范围：4～45℃；</w:t>
            </w:r>
          </w:p>
          <w:p>
            <w:pPr>
              <w:jc w:val="both"/>
            </w:pPr>
            <w:r>
              <w:rPr>
                <w:sz w:val="24"/>
              </w:rPr>
              <w:t>1.3.14 pH耐受范围：1～14；</w:t>
            </w:r>
          </w:p>
          <w:p>
            <w:pPr>
              <w:jc w:val="both"/>
            </w:pPr>
            <w:r>
              <w:rPr>
                <w:sz w:val="24"/>
              </w:rPr>
              <w:t>1.4 柱温箱</w:t>
            </w:r>
          </w:p>
          <w:p>
            <w:pPr>
              <w:jc w:val="both"/>
            </w:pPr>
            <w:r>
              <w:rPr>
                <w:sz w:val="24"/>
              </w:rPr>
              <w:t>1.4.1 温度控制类型：强制空气循环；</w:t>
            </w:r>
          </w:p>
          <w:p>
            <w:pPr>
              <w:jc w:val="both"/>
            </w:pPr>
            <w:r>
              <w:rPr>
                <w:sz w:val="24"/>
              </w:rPr>
              <w:t>1.4.2 温度控制范围：室温-10℃～85℃；</w:t>
            </w:r>
          </w:p>
          <w:p>
            <w:pPr>
              <w:jc w:val="both"/>
            </w:pPr>
            <w:r>
              <w:rPr>
                <w:sz w:val="24"/>
              </w:rPr>
              <w:t>1.4.3 色谱柱容量：单个柱温箱内可放置100mm×6根或者300mm×3根；</w:t>
            </w:r>
          </w:p>
          <w:p>
            <w:pPr>
              <w:jc w:val="both"/>
            </w:pPr>
            <w:r>
              <w:rPr>
                <w:sz w:val="24"/>
              </w:rPr>
              <w:t>1.4.4 双重漏液传感器：含气体和液体双重传感器；</w:t>
            </w:r>
          </w:p>
          <w:p>
            <w:pPr>
              <w:jc w:val="both"/>
            </w:pPr>
            <w:r>
              <w:rPr>
                <w:sz w:val="24"/>
              </w:rPr>
              <w:t>1.5 二极管阵列检测器</w:t>
            </w:r>
          </w:p>
          <w:p>
            <w:pPr>
              <w:jc w:val="both"/>
            </w:pPr>
            <w:r>
              <w:rPr>
                <w:sz w:val="24"/>
              </w:rPr>
              <w:t>1.5.1 光源：氘灯和钨灯；</w:t>
            </w:r>
          </w:p>
          <w:p>
            <w:pPr>
              <w:jc w:val="both"/>
            </w:pPr>
            <w:r>
              <w:rPr>
                <w:sz w:val="24"/>
              </w:rPr>
              <w:t>1.5.2 二极管数量：≥1024个；</w:t>
            </w:r>
          </w:p>
          <w:p>
            <w:pPr>
              <w:jc w:val="both"/>
            </w:pPr>
            <w:r>
              <w:rPr>
                <w:sz w:val="24"/>
              </w:rPr>
              <w:t>1.5.3 波长范围：190～750nm；</w:t>
            </w:r>
          </w:p>
          <w:p>
            <w:pPr>
              <w:jc w:val="both"/>
            </w:pPr>
            <w:r>
              <w:rPr>
                <w:sz w:val="24"/>
              </w:rPr>
              <w:t>1.5.4 漂移：</w:t>
            </w:r>
            <w:r>
              <w:rPr>
                <w:sz w:val="21"/>
              </w:rPr>
              <w:t>≤</w:t>
            </w:r>
            <w:r>
              <w:rPr>
                <w:sz w:val="24"/>
              </w:rPr>
              <w:t>0.4×10-3AU/h；</w:t>
            </w:r>
          </w:p>
          <w:p>
            <w:pPr>
              <w:jc w:val="both"/>
            </w:pPr>
            <w:r>
              <w:rPr>
                <w:sz w:val="24"/>
              </w:rPr>
              <w:t>1.5.5 噪音：</w:t>
            </w:r>
            <w:r>
              <w:rPr>
                <w:sz w:val="21"/>
              </w:rPr>
              <w:t>≤</w:t>
            </w:r>
            <w:r>
              <w:rPr>
                <w:sz w:val="24"/>
              </w:rPr>
              <w:t>4.5×10-6AU；</w:t>
            </w:r>
          </w:p>
          <w:p>
            <w:pPr>
              <w:jc w:val="both"/>
            </w:pPr>
            <w:r>
              <w:rPr>
                <w:sz w:val="24"/>
              </w:rPr>
              <w:t>1.5.6 线性：≥2.5AU；</w:t>
            </w:r>
          </w:p>
          <w:p>
            <w:pPr>
              <w:jc w:val="both"/>
            </w:pPr>
            <w:r>
              <w:rPr>
                <w:sz w:val="24"/>
              </w:rPr>
              <w:t>1.5.7 温度系数：</w:t>
            </w:r>
            <w:r>
              <w:rPr>
                <w:sz w:val="21"/>
              </w:rPr>
              <w:t>≤</w:t>
            </w:r>
            <w:r>
              <w:rPr>
                <w:sz w:val="24"/>
              </w:rPr>
              <w:t>0.3×10-3AU/℃；</w:t>
            </w:r>
          </w:p>
          <w:p>
            <w:pPr>
              <w:jc w:val="both"/>
            </w:pPr>
            <w:r>
              <w:rPr>
                <w:sz w:val="24"/>
              </w:rPr>
              <w:t>1.5.8 标准池</w:t>
            </w:r>
          </w:p>
          <w:p>
            <w:pPr>
              <w:jc w:val="both"/>
            </w:pPr>
            <w:r>
              <w:rPr>
                <w:sz w:val="24"/>
              </w:rPr>
              <w:t>1.5.8.1 光程：</w:t>
            </w:r>
            <w:r>
              <w:rPr>
                <w:sz w:val="21"/>
              </w:rPr>
              <w:t>≤</w:t>
            </w:r>
            <w:r>
              <w:rPr>
                <w:sz w:val="24"/>
              </w:rPr>
              <w:t>10mm；</w:t>
            </w:r>
          </w:p>
          <w:p>
            <w:pPr>
              <w:jc w:val="both"/>
            </w:pPr>
            <w:r>
              <w:rPr>
                <w:sz w:val="24"/>
              </w:rPr>
              <w:t>1.5.8.2 池体积：</w:t>
            </w:r>
            <w:r>
              <w:rPr>
                <w:sz w:val="21"/>
              </w:rPr>
              <w:t>≤</w:t>
            </w:r>
            <w:r>
              <w:rPr>
                <w:sz w:val="24"/>
              </w:rPr>
              <w:t>12微升；</w:t>
            </w:r>
          </w:p>
          <w:p>
            <w:pPr>
              <w:jc w:val="both"/>
            </w:pPr>
            <w:r>
              <w:rPr>
                <w:sz w:val="24"/>
              </w:rPr>
              <w:t>1.5.8.3 耐压：</w:t>
            </w:r>
            <w:r>
              <w:rPr>
                <w:sz w:val="21"/>
              </w:rPr>
              <w:t>≤</w:t>
            </w:r>
            <w:r>
              <w:rPr>
                <w:sz w:val="24"/>
              </w:rPr>
              <w:t>12MPa；</w:t>
            </w:r>
          </w:p>
          <w:p>
            <w:pPr>
              <w:jc w:val="both"/>
            </w:pPr>
            <w:r>
              <w:rPr>
                <w:sz w:val="24"/>
              </w:rPr>
              <w:t>1.5.9 控温单元包括：光源、光路系统、流通池；</w:t>
            </w:r>
          </w:p>
          <w:p>
            <w:pPr>
              <w:jc w:val="both"/>
            </w:pPr>
            <w:r>
              <w:rPr>
                <w:sz w:val="24"/>
              </w:rPr>
              <w:t>1.5.10 流通池温控：20～50℃、1℃步进；</w:t>
            </w:r>
          </w:p>
          <w:p>
            <w:pPr>
              <w:jc w:val="both"/>
            </w:pPr>
            <w:r>
              <w:rPr>
                <w:sz w:val="24"/>
              </w:rPr>
              <w:t>1.5.11 具有UV截止功能：内置UV截止滤光片（开/关可选）；</w:t>
            </w:r>
          </w:p>
          <w:p>
            <w:pPr>
              <w:jc w:val="both"/>
            </w:pPr>
            <w:r>
              <w:rPr>
                <w:sz w:val="24"/>
              </w:rPr>
              <w:t>▲1.5.12 可实现共流出化合物的基线分离：可通过配置的智能峰解卷积的功能来实现；</w:t>
            </w:r>
          </w:p>
          <w:p>
            <w:pPr>
              <w:jc w:val="both"/>
            </w:pPr>
            <w:r>
              <w:rPr>
                <w:sz w:val="24"/>
              </w:rPr>
              <w:t>1.5.13 具有流通池ID/光源ID功能：通过识别流通池与光源的ID，录入数据文件与系统检查报告；</w:t>
            </w:r>
          </w:p>
          <w:p>
            <w:pPr>
              <w:jc w:val="both"/>
            </w:pPr>
            <w:r>
              <w:rPr>
                <w:sz w:val="24"/>
              </w:rPr>
              <w:t>1.6 色谱工作站</w:t>
            </w:r>
          </w:p>
          <w:p>
            <w:pPr>
              <w:jc w:val="both"/>
            </w:pPr>
            <w:r>
              <w:rPr>
                <w:sz w:val="24"/>
              </w:rPr>
              <w:t>1.6.1 可将报告、分析结果以及所有操作日志全部汇总到一个PDF文件（报告集）中；</w:t>
            </w:r>
          </w:p>
          <w:p>
            <w:pPr>
              <w:jc w:val="both"/>
            </w:pPr>
            <w:r>
              <w:rPr>
                <w:sz w:val="24"/>
              </w:rPr>
              <w:t>1.6.2 文件在安全管理到位的数据库内生成、保管，具有数据完整性功能；</w:t>
            </w:r>
          </w:p>
          <w:p>
            <w:pPr>
              <w:jc w:val="both"/>
            </w:pPr>
            <w:r>
              <w:rPr>
                <w:sz w:val="24"/>
              </w:rPr>
              <w:t>1.6.3 具有自动峰识别功能、智能峰解卷积功能、动态范围扩展功能；</w:t>
            </w:r>
          </w:p>
          <w:p>
            <w:pPr>
              <w:jc w:val="both"/>
            </w:pPr>
            <w:r>
              <w:rPr>
                <w:sz w:val="24"/>
              </w:rPr>
              <w:t>1.7 电脑及打印机</w:t>
            </w:r>
          </w:p>
          <w:p>
            <w:pPr>
              <w:jc w:val="both"/>
            </w:pPr>
            <w:r>
              <w:rPr>
                <w:sz w:val="24"/>
              </w:rPr>
              <w:t>1.7.1 电脑配置应不低于以下参数：win10，64位，CPU i5或以上，处理器2.4GHz四核或以上，内存≥16GB，硬盘≥500G，≥21英寸LED显示器，USB2.0接口2个以上；</w:t>
            </w:r>
          </w:p>
          <w:p>
            <w:pPr>
              <w:jc w:val="both"/>
            </w:pPr>
            <w:r>
              <w:rPr>
                <w:sz w:val="24"/>
              </w:rPr>
              <w:t>1.7.2 打印机配置应不低于以下参数：可双面打印，打印速度：≥黑色16ppm（A4），打印分辨率：≥600dpi×600dpi，配置内存：≥16MB，USB2.0高速及以上接口；</w:t>
            </w:r>
          </w:p>
          <w:p>
            <w:pPr>
              <w:jc w:val="both"/>
            </w:pPr>
            <w:r>
              <w:rPr>
                <w:sz w:val="24"/>
              </w:rPr>
              <w:t>2.配置要求</w:t>
            </w:r>
          </w:p>
          <w:p>
            <w:pPr>
              <w:jc w:val="both"/>
            </w:pPr>
            <w:r>
              <w:rPr>
                <w:sz w:val="24"/>
              </w:rPr>
              <w:t>2.1 梯度泵：1套；</w:t>
            </w:r>
          </w:p>
          <w:p>
            <w:pPr>
              <w:jc w:val="both"/>
            </w:pPr>
            <w:r>
              <w:rPr>
                <w:sz w:val="24"/>
              </w:rPr>
              <w:t>2.2 真空脱气机：1套；</w:t>
            </w:r>
          </w:p>
          <w:p>
            <w:pPr>
              <w:jc w:val="both"/>
            </w:pPr>
            <w:r>
              <w:rPr>
                <w:sz w:val="24"/>
              </w:rPr>
              <w:t>2.3 自动进样器：1套；</w:t>
            </w:r>
          </w:p>
          <w:p>
            <w:pPr>
              <w:jc w:val="both"/>
            </w:pPr>
            <w:r>
              <w:rPr>
                <w:sz w:val="24"/>
              </w:rPr>
              <w:t>2.4 二极管阵列检测器：1套；</w:t>
            </w:r>
          </w:p>
          <w:p>
            <w:pPr>
              <w:jc w:val="both"/>
            </w:pPr>
            <w:r>
              <w:rPr>
                <w:sz w:val="24"/>
              </w:rPr>
              <w:t>2.5 柱温箱：1套；</w:t>
            </w:r>
          </w:p>
          <w:p>
            <w:pPr>
              <w:jc w:val="both"/>
            </w:pPr>
            <w:r>
              <w:rPr>
                <w:sz w:val="24"/>
              </w:rPr>
              <w:t>2.6 快速分离用色谱柱：pH：1-10，粒径2μm, 100×2.1mm：1根；</w:t>
            </w:r>
          </w:p>
          <w:p>
            <w:pPr>
              <w:jc w:val="both"/>
            </w:pPr>
            <w:r>
              <w:rPr>
                <w:sz w:val="24"/>
              </w:rPr>
              <w:t>2.7 快速分离用色谱柱：pH：1-10，粒径2μm, 50×2.1mm：1根；</w:t>
            </w:r>
          </w:p>
          <w:p>
            <w:pPr>
              <w:jc w:val="both"/>
            </w:pPr>
            <w:r>
              <w:rPr>
                <w:sz w:val="24"/>
              </w:rPr>
              <w:t>2.8 粒径2μm保护柱套装：1套；</w:t>
            </w:r>
          </w:p>
          <w:p>
            <w:pPr>
              <w:jc w:val="both"/>
            </w:pPr>
            <w:r>
              <w:rPr>
                <w:sz w:val="24"/>
              </w:rPr>
              <w:t>2.9 色谱柱接头及连接配件：1套；</w:t>
            </w:r>
          </w:p>
          <w:p>
            <w:pPr>
              <w:jc w:val="both"/>
            </w:pPr>
            <w:r>
              <w:rPr>
                <w:sz w:val="24"/>
              </w:rPr>
              <w:t>2.10 电脑及纸质报告输出设备（打印机）：1套。</w:t>
            </w:r>
          </w:p>
          <w:p>
            <w:pPr>
              <w:jc w:val="both"/>
            </w:pPr>
            <w:r>
              <w:t xml:space="preserve"> </w:t>
            </w:r>
          </w:p>
          <w:p>
            <w:pPr>
              <w:jc w:val="both"/>
            </w:pPr>
            <w:r>
              <w:t xml:space="preserve"> </w:t>
            </w:r>
          </w:p>
          <w:p>
            <w:pPr>
              <w:jc w:val="both"/>
            </w:pPr>
            <w: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附表二：溶出试验仪</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both"/>
            </w:pPr>
            <w:r>
              <w:rPr>
                <w:sz w:val="24"/>
              </w:rPr>
              <w:t>1.技术指标</w:t>
            </w:r>
          </w:p>
          <w:p>
            <w:pPr>
              <w:jc w:val="both"/>
            </w:pPr>
            <w:r>
              <w:rPr>
                <w:sz w:val="24"/>
              </w:rPr>
              <w:t>1.1 搅拌桨与转篮规格均应符合《中国药典》2020年版要求；</w:t>
            </w:r>
          </w:p>
          <w:p>
            <w:pPr>
              <w:jc w:val="both"/>
            </w:pPr>
            <w:r>
              <w:rPr>
                <w:sz w:val="24"/>
              </w:rPr>
              <w:t>1.2 搅拌桨摆动幅度：≤0.5mm；</w:t>
            </w:r>
          </w:p>
          <w:p>
            <w:pPr>
              <w:jc w:val="both"/>
            </w:pPr>
            <w:r>
              <w:rPr>
                <w:sz w:val="24"/>
              </w:rPr>
              <w:t>1.3 转篮摆动幅度：≤1.0mm；</w:t>
            </w:r>
          </w:p>
          <w:p>
            <w:pPr>
              <w:jc w:val="both"/>
            </w:pPr>
            <w:r>
              <w:rPr>
                <w:sz w:val="24"/>
              </w:rPr>
              <w:t>1.4 转杆与溶出杯轴偏差：≤1.0mm；</w:t>
            </w:r>
          </w:p>
          <w:p>
            <w:pPr>
              <w:jc w:val="both"/>
            </w:pPr>
            <w:r>
              <w:rPr>
                <w:sz w:val="24"/>
              </w:rPr>
              <w:t>1.5 调速范围：25～250rpm，可根据使用需求扩展到1～1000rpm；</w:t>
            </w:r>
          </w:p>
          <w:p>
            <w:pPr>
              <w:jc w:val="both"/>
            </w:pPr>
            <w:r>
              <w:rPr>
                <w:sz w:val="24"/>
              </w:rPr>
              <w:t>1.6 转速分辨率：≤1rpm；</w:t>
            </w:r>
          </w:p>
          <w:p>
            <w:pPr>
              <w:jc w:val="both"/>
            </w:pPr>
            <w:r>
              <w:rPr>
                <w:sz w:val="24"/>
              </w:rPr>
              <w:t>1.7 稳速误差：≤±1%；</w:t>
            </w:r>
          </w:p>
          <w:p>
            <w:pPr>
              <w:jc w:val="both"/>
            </w:pPr>
            <w:r>
              <w:rPr>
                <w:sz w:val="24"/>
              </w:rPr>
              <w:t>1.8 调温范围：室温～45.0℃；</w:t>
            </w:r>
          </w:p>
          <w:p>
            <w:pPr>
              <w:jc w:val="both"/>
            </w:pPr>
            <w:r>
              <w:rPr>
                <w:sz w:val="24"/>
              </w:rPr>
              <w:t>1.9 温度分辨率：≤0.1℃；</w:t>
            </w:r>
          </w:p>
          <w:p>
            <w:pPr>
              <w:jc w:val="both"/>
            </w:pPr>
            <w:r>
              <w:rPr>
                <w:sz w:val="24"/>
              </w:rPr>
              <w:t>1.10 控温误差：≤±0.1℃；</w:t>
            </w:r>
          </w:p>
          <w:p>
            <w:pPr>
              <w:jc w:val="both"/>
            </w:pPr>
            <w:r>
              <w:rPr>
                <w:sz w:val="24"/>
              </w:rPr>
              <w:t>1.11 机头应配整体密封杯盖，以有效防止溶出介质的蒸发；</w:t>
            </w:r>
          </w:p>
          <w:p>
            <w:pPr>
              <w:jc w:val="both"/>
            </w:pPr>
            <w:r>
              <w:rPr>
                <w:sz w:val="24"/>
              </w:rPr>
              <w:t>1.12 机头电动升降，8只桨/篮应可同步升降，每只桨/篮杆应可单独手动拆装；</w:t>
            </w:r>
          </w:p>
          <w:p>
            <w:pPr>
              <w:jc w:val="both"/>
            </w:pPr>
            <w:r>
              <w:rPr>
                <w:sz w:val="24"/>
              </w:rPr>
              <w:t>1.13 采用液晶触摸屏；</w:t>
            </w:r>
          </w:p>
          <w:p>
            <w:pPr>
              <w:jc w:val="both"/>
            </w:pPr>
            <w:r>
              <w:rPr>
                <w:sz w:val="24"/>
              </w:rPr>
              <w:t>▲1.14 仪器系统设有访问控制权限管理功能、审计追踪、锁定屏幕、数据备份等应符合《中国药典》和国家行业标准的规定及有关数据完整性的要求；</w:t>
            </w:r>
          </w:p>
          <w:p>
            <w:pPr>
              <w:jc w:val="both"/>
            </w:pPr>
            <w:r>
              <w:rPr>
                <w:sz w:val="24"/>
              </w:rPr>
              <w:t>1.15 设有不少于五层的用户等级管理权限，具有审计追踪功能；</w:t>
            </w:r>
          </w:p>
          <w:p>
            <w:pPr>
              <w:jc w:val="both"/>
            </w:pPr>
            <w:r>
              <w:rPr>
                <w:sz w:val="24"/>
              </w:rPr>
              <w:t>1.16 具有低温报警（＜3℃）、高温报警（＞47℃）及二次过热保护功能；</w:t>
            </w:r>
          </w:p>
          <w:p>
            <w:pPr>
              <w:jc w:val="both"/>
            </w:pPr>
            <w:r>
              <w:rPr>
                <w:sz w:val="24"/>
              </w:rPr>
              <w:t>1.17 水浴箱安装有自闭式快速接嘴，方便换水和清洗水浴箱；</w:t>
            </w:r>
          </w:p>
          <w:p>
            <w:pPr>
              <w:jc w:val="both"/>
            </w:pPr>
            <w:r>
              <w:rPr>
                <w:sz w:val="24"/>
              </w:rPr>
              <w:t>1.18 具有同时投药装置，实现桨法实验时的同步投药，减少实验误差；</w:t>
            </w:r>
          </w:p>
          <w:p>
            <w:pPr>
              <w:jc w:val="both"/>
            </w:pPr>
            <w:r>
              <w:rPr>
                <w:sz w:val="24"/>
              </w:rPr>
              <w:t>2.配置要求</w:t>
            </w:r>
          </w:p>
          <w:p>
            <w:pPr>
              <w:jc w:val="both"/>
            </w:pPr>
            <w:r>
              <w:rPr>
                <w:sz w:val="24"/>
              </w:rPr>
              <w:t>2.1溶出试验仪：1台；</w:t>
            </w:r>
          </w:p>
          <w:p>
            <w:pPr>
              <w:jc w:val="both"/>
            </w:pPr>
            <w:r>
              <w:rPr>
                <w:sz w:val="24"/>
              </w:rPr>
              <w:t>2.2附件箱：1个；</w:t>
            </w:r>
          </w:p>
          <w:p>
            <w:pPr>
              <w:jc w:val="both"/>
            </w:pPr>
            <w:r>
              <w:rPr>
                <w:sz w:val="24"/>
              </w:rPr>
              <w:t>2.3标配过滤器（≤0.8微米）：100个；</w:t>
            </w:r>
          </w:p>
          <w:p>
            <w:pPr>
              <w:jc w:val="both"/>
            </w:pPr>
            <w:r>
              <w:rPr>
                <w:sz w:val="24"/>
              </w:rPr>
              <w:t>2.4溶出杯（带杯圈）：8个。</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附表三：粘度测量系统</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both"/>
            </w:pPr>
            <w:r>
              <w:rPr>
                <w:sz w:val="24"/>
              </w:rPr>
              <w:t>1.技术指标</w:t>
            </w:r>
          </w:p>
          <w:p>
            <w:pPr>
              <w:jc w:val="both"/>
            </w:pPr>
            <w:r>
              <w:rPr>
                <w:sz w:val="24"/>
              </w:rPr>
              <w:t>1.1 恒温粘度槽</w:t>
            </w:r>
          </w:p>
          <w:p>
            <w:pPr>
              <w:jc w:val="both"/>
            </w:pPr>
            <w:r>
              <w:rPr>
                <w:sz w:val="24"/>
              </w:rPr>
              <w:t xml:space="preserve">1.1.1 工作温度范围 ：室温+5℃～100℃；    </w:t>
            </w:r>
          </w:p>
          <w:p>
            <w:pPr>
              <w:jc w:val="both"/>
            </w:pPr>
            <w:r>
              <w:rPr>
                <w:sz w:val="24"/>
              </w:rPr>
              <w:t>1.1.2温度控制方式：PID1；</w:t>
            </w:r>
          </w:p>
          <w:p>
            <w:pPr>
              <w:jc w:val="both"/>
            </w:pPr>
            <w:r>
              <w:rPr>
                <w:sz w:val="24"/>
              </w:rPr>
              <w:t>▲1.1.3 温度控制稳定性：±0.03℃；</w:t>
            </w:r>
          </w:p>
          <w:p>
            <w:pPr>
              <w:jc w:val="both"/>
            </w:pPr>
            <w:r>
              <w:rPr>
                <w:sz w:val="24"/>
              </w:rPr>
              <w:t xml:space="preserve">1.1.4 温度显示分辨率：±0.01℃；  </w:t>
            </w:r>
          </w:p>
          <w:p>
            <w:pPr>
              <w:jc w:val="both"/>
            </w:pPr>
            <w:r>
              <w:rPr>
                <w:sz w:val="24"/>
              </w:rPr>
              <w:t xml:space="preserve">1.1.5 加热功率：≥2000W；    </w:t>
            </w:r>
          </w:p>
          <w:p>
            <w:pPr>
              <w:jc w:val="both"/>
            </w:pPr>
            <w:r>
              <w:rPr>
                <w:sz w:val="24"/>
              </w:rPr>
              <w:t>1.1.6 透明浴槽设计，可应用于对毛细管粘度计和密度计的恒温状态的观察；</w:t>
            </w:r>
          </w:p>
          <w:p>
            <w:pPr>
              <w:jc w:val="both"/>
            </w:pPr>
            <w:r>
              <w:rPr>
                <w:sz w:val="24"/>
              </w:rPr>
              <w:t>1.1.7 所有浸入浴液的部件均由不锈钢和塑料构成；</w:t>
            </w:r>
          </w:p>
          <w:p>
            <w:pPr>
              <w:jc w:val="both"/>
            </w:pPr>
            <w:r>
              <w:rPr>
                <w:sz w:val="24"/>
              </w:rPr>
              <w:t>1.2 外置恒温循环器</w:t>
            </w:r>
          </w:p>
          <w:p>
            <w:pPr>
              <w:jc w:val="both"/>
            </w:pPr>
            <w:r>
              <w:rPr>
                <w:sz w:val="24"/>
              </w:rPr>
              <w:t>1.2.1 控温范围：-10℃～+100℃；</w:t>
            </w:r>
          </w:p>
          <w:p>
            <w:pPr>
              <w:jc w:val="both"/>
            </w:pPr>
            <w:r>
              <w:rPr>
                <w:sz w:val="24"/>
              </w:rPr>
              <w:t>1.2.2 稳定性：±0.2℃；</w:t>
            </w:r>
          </w:p>
          <w:p>
            <w:pPr>
              <w:jc w:val="both"/>
            </w:pPr>
            <w:r>
              <w:rPr>
                <w:sz w:val="24"/>
              </w:rPr>
              <w:t>1.2.3 加热功率：≥1500W；</w:t>
            </w:r>
          </w:p>
          <w:p>
            <w:pPr>
              <w:jc w:val="both"/>
            </w:pPr>
            <w:r>
              <w:rPr>
                <w:sz w:val="24"/>
              </w:rPr>
              <w:t>1.2.4 制冷功率：≥300W（以20℃温度点为例）；</w:t>
            </w:r>
          </w:p>
          <w:p>
            <w:pPr>
              <w:jc w:val="both"/>
            </w:pPr>
            <w:r>
              <w:rPr>
                <w:sz w:val="24"/>
              </w:rPr>
              <w:t>1.2.5 显示分辨率：≥0.1℃</w:t>
            </w:r>
          </w:p>
          <w:p>
            <w:pPr>
              <w:jc w:val="both"/>
            </w:pPr>
            <w:r>
              <w:rPr>
                <w:sz w:val="24"/>
              </w:rPr>
              <w:t>1.3 粘度计时器部分</w:t>
            </w:r>
          </w:p>
          <w:p>
            <w:pPr>
              <w:jc w:val="both"/>
            </w:pPr>
            <w:r>
              <w:rPr>
                <w:sz w:val="24"/>
              </w:rPr>
              <w:t>▲1.3.1 采用红外检测装置，能够准确测量样品（定量恒温）流经玻璃毛细粘度管的时间；</w:t>
            </w:r>
          </w:p>
          <w:p>
            <w:pPr>
              <w:jc w:val="both"/>
            </w:pPr>
            <w:r>
              <w:rPr>
                <w:sz w:val="24"/>
              </w:rPr>
              <w:t>1.3.2 时间测量范围：最长至999s；</w:t>
            </w:r>
          </w:p>
          <w:p>
            <w:pPr>
              <w:jc w:val="both"/>
            </w:pPr>
            <w:r>
              <w:rPr>
                <w:sz w:val="24"/>
              </w:rPr>
              <w:t>1.3.3 时间测量精度：±0.01s；</w:t>
            </w:r>
          </w:p>
          <w:p>
            <w:pPr>
              <w:jc w:val="both"/>
            </w:pPr>
            <w:r>
              <w:rPr>
                <w:sz w:val="24"/>
              </w:rPr>
              <w:t>1.4采用LCD显示屏，可以显示样品流过时间、日期、时间、样品和粘度管等信息；</w:t>
            </w:r>
          </w:p>
          <w:p>
            <w:pPr>
              <w:jc w:val="both"/>
            </w:pPr>
            <w:r>
              <w:rPr>
                <w:sz w:val="24"/>
              </w:rPr>
              <w:t>1.5粘度计时器数据可传输，可通过USB和打印机导出数据；</w:t>
            </w:r>
          </w:p>
          <w:p>
            <w:pPr>
              <w:jc w:val="both"/>
            </w:pPr>
            <w:r>
              <w:rPr>
                <w:sz w:val="24"/>
              </w:rPr>
              <w:t>2.配置要求</w:t>
            </w:r>
          </w:p>
          <w:p>
            <w:pPr>
              <w:jc w:val="both"/>
            </w:pPr>
            <w:r>
              <w:rPr>
                <w:sz w:val="24"/>
              </w:rPr>
              <w:t>2.1 恒温粘度槽：1套；</w:t>
            </w:r>
          </w:p>
          <w:p>
            <w:pPr>
              <w:jc w:val="both"/>
            </w:pPr>
            <w:r>
              <w:rPr>
                <w:sz w:val="24"/>
              </w:rPr>
              <w:t>2.2 恒温循环器：1套，包括：</w:t>
            </w:r>
          </w:p>
          <w:p>
            <w:pPr>
              <w:jc w:val="both"/>
            </w:pPr>
            <w:r>
              <w:rPr>
                <w:sz w:val="24"/>
              </w:rPr>
              <w:t>2.2.1 主机：1台，</w:t>
            </w:r>
          </w:p>
          <w:p>
            <w:pPr>
              <w:jc w:val="both"/>
            </w:pPr>
            <w:r>
              <w:rPr>
                <w:sz w:val="24"/>
              </w:rPr>
              <w:t>2.2.2 标配金属外循环转接头：2个，</w:t>
            </w:r>
          </w:p>
          <w:p>
            <w:pPr>
              <w:jc w:val="both"/>
            </w:pPr>
            <w:r>
              <w:rPr>
                <w:sz w:val="24"/>
              </w:rPr>
              <w:t>2.2.3 标配金属喉箍：4个，</w:t>
            </w:r>
          </w:p>
          <w:p>
            <w:pPr>
              <w:jc w:val="both"/>
            </w:pPr>
            <w:r>
              <w:rPr>
                <w:sz w:val="24"/>
              </w:rPr>
              <w:t>2.2.4 标配外接管路：2米；</w:t>
            </w:r>
          </w:p>
          <w:p>
            <w:pPr>
              <w:jc w:val="both"/>
            </w:pPr>
            <w:r>
              <w:rPr>
                <w:sz w:val="24"/>
              </w:rPr>
              <w:t>2.3 自动计时器：1套；</w:t>
            </w:r>
          </w:p>
          <w:p>
            <w:pPr>
              <w:jc w:val="both"/>
            </w:pPr>
            <w:r>
              <w:rPr>
                <w:sz w:val="24"/>
              </w:rPr>
              <w:t>2.4 平氏粘度计：5根；</w:t>
            </w:r>
          </w:p>
          <w:p>
            <w:pPr>
              <w:jc w:val="both"/>
            </w:pPr>
            <w:r>
              <w:rPr>
                <w:sz w:val="24"/>
              </w:rPr>
              <w:t>2.5 乌氏粘度计：5根。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附表四：pH计进口产品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left"/>
            </w:pPr>
            <w:r>
              <w:rPr>
                <w:sz w:val="24"/>
              </w:rPr>
              <w:t>1.技术指标</w:t>
            </w:r>
          </w:p>
          <w:p>
            <w:pPr>
              <w:jc w:val="left"/>
            </w:pPr>
            <w:r>
              <w:rPr>
                <w:sz w:val="24"/>
              </w:rPr>
              <w:t>▲1.1 可支持双通道测量：安装电极后，可同时进行两个样品的pH测试，互不干扰；</w:t>
            </w:r>
          </w:p>
          <w:p>
            <w:pPr>
              <w:jc w:val="left"/>
            </w:pPr>
            <w:r>
              <w:rPr>
                <w:sz w:val="24"/>
              </w:rPr>
              <w:t>1.2 仪器操作语言具有中文等多种可选，高清彩色屏幕显示；</w:t>
            </w:r>
          </w:p>
          <w:p>
            <w:pPr>
              <w:jc w:val="left"/>
            </w:pPr>
            <w:r>
              <w:rPr>
                <w:sz w:val="24"/>
              </w:rPr>
              <w:t>1.3 仪器具有电极状态提示功能；</w:t>
            </w:r>
          </w:p>
          <w:p>
            <w:pPr>
              <w:jc w:val="left"/>
            </w:pPr>
            <w:r>
              <w:rPr>
                <w:sz w:val="24"/>
              </w:rPr>
              <w:t>1.4 仪器可生成符合GLP（良好实验室规范） 标准的报告，也可通过LIMS（实验室信息化系统）/Excel 等方式导出实验结果；</w:t>
            </w:r>
          </w:p>
          <w:p>
            <w:pPr>
              <w:jc w:val="left"/>
            </w:pPr>
            <w:r>
              <w:rPr>
                <w:sz w:val="24"/>
              </w:rPr>
              <w:t>1.5仪器同时支持数字信号电极和模拟信号电极，可根据应用需要选择适宜电极，数字信号电极电缆内置模拟/数字信号转换器；</w:t>
            </w:r>
          </w:p>
          <w:p>
            <w:pPr>
              <w:jc w:val="left"/>
            </w:pPr>
            <w:r>
              <w:rPr>
                <w:sz w:val="24"/>
              </w:rPr>
              <w:t>1.6 电位测量分辨率：≤0.1mV；</w:t>
            </w:r>
          </w:p>
          <w:p>
            <w:pPr>
              <w:jc w:val="left"/>
            </w:pPr>
            <w:r>
              <w:rPr>
                <w:sz w:val="24"/>
              </w:rPr>
              <w:t>1.7 电位测量精确度：±0.2mV；</w:t>
            </w:r>
          </w:p>
          <w:p>
            <w:pPr>
              <w:jc w:val="left"/>
            </w:pPr>
            <w:r>
              <w:rPr>
                <w:sz w:val="24"/>
              </w:rPr>
              <w:t>1.8 温度测量分辨率：≤0.1℃；</w:t>
            </w:r>
          </w:p>
          <w:p>
            <w:pPr>
              <w:jc w:val="left"/>
            </w:pPr>
            <w:r>
              <w:rPr>
                <w:sz w:val="24"/>
              </w:rPr>
              <w:t>1.9 温度测量精确度：±0.2℃；</w:t>
            </w:r>
          </w:p>
          <w:p>
            <w:pPr>
              <w:jc w:val="left"/>
            </w:pPr>
            <w:r>
              <w:rPr>
                <w:sz w:val="24"/>
              </w:rPr>
              <w:t>1.10 pH测量分辨率：≤0.001 pH；</w:t>
            </w:r>
          </w:p>
          <w:p>
            <w:pPr>
              <w:jc w:val="left"/>
            </w:pPr>
            <w:r>
              <w:rPr>
                <w:sz w:val="24"/>
              </w:rPr>
              <w:t>1.11 pH测量精确度：±0.003 pH；</w:t>
            </w:r>
          </w:p>
          <w:p>
            <w:pPr>
              <w:jc w:val="left"/>
            </w:pPr>
            <w:r>
              <w:rPr>
                <w:sz w:val="24"/>
              </w:rPr>
              <w:t>1.12 设备的实验结果存储容量：≥10000组数据结果；</w:t>
            </w:r>
          </w:p>
          <w:p>
            <w:pPr>
              <w:jc w:val="left"/>
            </w:pPr>
            <w:r>
              <w:rPr>
                <w:sz w:val="24"/>
              </w:rPr>
              <w:t>1.13 可兼顾实验室和户外测量，电池供电时连续工作时间≥5小时；</w:t>
            </w:r>
          </w:p>
          <w:p>
            <w:pPr>
              <w:jc w:val="left"/>
            </w:pPr>
            <w:r>
              <w:rPr>
                <w:sz w:val="24"/>
              </w:rPr>
              <w:t>2.配置要求</w:t>
            </w:r>
          </w:p>
          <w:p>
            <w:pPr>
              <w:jc w:val="left"/>
            </w:pPr>
            <w:r>
              <w:rPr>
                <w:sz w:val="24"/>
              </w:rPr>
              <w:t>2.1 pH计主机：1台；</w:t>
            </w:r>
          </w:p>
          <w:p>
            <w:pPr>
              <w:jc w:val="left"/>
            </w:pPr>
            <w:r>
              <w:rPr>
                <w:sz w:val="24"/>
              </w:rPr>
              <w:t>2.2 pH电极：1支；</w:t>
            </w:r>
          </w:p>
          <w:p>
            <w:pPr>
              <w:jc w:val="left"/>
            </w:pPr>
            <w:r>
              <w:rPr>
                <w:sz w:val="24"/>
              </w:rPr>
              <w:t>2.3 实验室用仪器底座和电极架：1套；</w:t>
            </w:r>
          </w:p>
          <w:p>
            <w:pPr>
              <w:jc w:val="both"/>
            </w:pPr>
            <w:r>
              <w:rPr>
                <w:sz w:val="24"/>
              </w:rPr>
              <w:t>2.4 便携式安全绳：1根。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附表五：超级微波消解仪</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both"/>
            </w:pPr>
            <w:r>
              <w:rPr>
                <w:sz w:val="24"/>
              </w:rPr>
              <w:t>1.技术指标</w:t>
            </w:r>
          </w:p>
          <w:p>
            <w:pPr>
              <w:jc w:val="both"/>
            </w:pPr>
            <w:r>
              <w:rPr>
                <w:sz w:val="24"/>
              </w:rPr>
              <w:t>1.1 主机系统</w:t>
            </w:r>
          </w:p>
          <w:p>
            <w:pPr>
              <w:jc w:val="both"/>
            </w:pPr>
            <w:r>
              <w:rPr>
                <w:sz w:val="24"/>
              </w:rPr>
              <w:t>1.1.1 微波功率：≥1500W；</w:t>
            </w:r>
          </w:p>
          <w:p>
            <w:pPr>
              <w:jc w:val="both"/>
            </w:pPr>
            <w:r>
              <w:rPr>
                <w:sz w:val="24"/>
              </w:rPr>
              <w:t>1.1.2 主机外壳材质：不锈钢；</w:t>
            </w:r>
          </w:p>
          <w:p>
            <w:pPr>
              <w:jc w:val="both"/>
            </w:pPr>
            <w:r>
              <w:rPr>
                <w:sz w:val="24"/>
              </w:rPr>
              <w:t>1.1.3 最大消解压力：≥200Bar；</w:t>
            </w:r>
          </w:p>
          <w:p>
            <w:pPr>
              <w:jc w:val="both"/>
            </w:pPr>
            <w:r>
              <w:rPr>
                <w:sz w:val="24"/>
              </w:rPr>
              <w:t>1.1.4 最大消解温度：≥280℃；</w:t>
            </w:r>
          </w:p>
          <w:p>
            <w:pPr>
              <w:jc w:val="both"/>
            </w:pPr>
            <w:r>
              <w:rPr>
                <w:sz w:val="24"/>
              </w:rPr>
              <w:t>1.1.5 最大样品处理量：≥25个/批</w:t>
            </w:r>
          </w:p>
          <w:p>
            <w:pPr>
              <w:jc w:val="both"/>
            </w:pPr>
            <w:r>
              <w:rPr>
                <w:sz w:val="24"/>
              </w:rPr>
              <w:t>1.1.6 最大有机样品称样量：≥15g；</w:t>
            </w:r>
          </w:p>
          <w:p>
            <w:pPr>
              <w:jc w:val="both"/>
            </w:pPr>
            <w:r>
              <w:rPr>
                <w:sz w:val="24"/>
              </w:rPr>
              <w:t>1.1.7 最大单个样品反应罐体积：≥1.0L；</w:t>
            </w:r>
          </w:p>
          <w:p>
            <w:pPr>
              <w:jc w:val="both"/>
            </w:pPr>
            <w:r>
              <w:rPr>
                <w:sz w:val="24"/>
              </w:rPr>
              <w:t>1.1.8 工作腔体积：≥1.0L；</w:t>
            </w:r>
          </w:p>
          <w:p>
            <w:pPr>
              <w:jc w:val="both"/>
            </w:pPr>
            <w:r>
              <w:rPr>
                <w:sz w:val="24"/>
              </w:rPr>
              <w:t>▲1.1.9 具备定轨自动升降系统，可确保消解管支架沿着固定轨道全自动升降，自动排酸气，无需操作人员手动搬动至通风橱，便于使用；</w:t>
            </w:r>
          </w:p>
          <w:p>
            <w:pPr>
              <w:jc w:val="both"/>
            </w:pPr>
            <w:r>
              <w:rPr>
                <w:sz w:val="24"/>
              </w:rPr>
              <w:t>1.1.10 内置排酸气系统，排气孔高于不锈钢单反应腔开口处，排气孔数不少于2个，单孔孔径≥4cm；</w:t>
            </w:r>
          </w:p>
          <w:p>
            <w:pPr>
              <w:jc w:val="both"/>
            </w:pPr>
            <w:r>
              <w:rPr>
                <w:sz w:val="24"/>
              </w:rPr>
              <w:t>1.1.11 工作腔盖子可自动闭合，系统可自动排放有害气体；</w:t>
            </w:r>
          </w:p>
          <w:p>
            <w:pPr>
              <w:jc w:val="both"/>
            </w:pPr>
            <w:r>
              <w:rPr>
                <w:sz w:val="24"/>
              </w:rPr>
              <w:t>1.1.12 微波消解前可预先冲入高压氮气，使反应腔压力达到50～100bar；</w:t>
            </w:r>
          </w:p>
          <w:p>
            <w:pPr>
              <w:jc w:val="both"/>
            </w:pPr>
            <w:r>
              <w:rPr>
                <w:sz w:val="24"/>
              </w:rPr>
              <w:t>▲1.1.13 外置式密闭式水冷系统设计</w:t>
            </w:r>
          </w:p>
          <w:p>
            <w:pPr>
              <w:jc w:val="both"/>
            </w:pPr>
            <w:r>
              <w:rPr>
                <w:sz w:val="24"/>
              </w:rPr>
              <w:t>1.1.13.1 控温精度：±0.1℃；</w:t>
            </w:r>
          </w:p>
          <w:p>
            <w:pPr>
              <w:jc w:val="both"/>
            </w:pPr>
            <w:r>
              <w:rPr>
                <w:sz w:val="24"/>
              </w:rPr>
              <w:t>1.1.13.2 冷却范围：5～35℃；</w:t>
            </w:r>
          </w:p>
          <w:p>
            <w:pPr>
              <w:jc w:val="both"/>
            </w:pPr>
            <w:r>
              <w:rPr>
                <w:sz w:val="24"/>
              </w:rPr>
              <w:t>1.1.13.3 彩色触摸屏控制；</w:t>
            </w:r>
          </w:p>
          <w:p>
            <w:pPr>
              <w:jc w:val="both"/>
            </w:pPr>
            <w:r>
              <w:rPr>
                <w:sz w:val="24"/>
              </w:rPr>
              <w:t>1.1.13.4 制冷功率≥1000W，冷却水箱容积≥3.0L；</w:t>
            </w:r>
          </w:p>
          <w:p>
            <w:pPr>
              <w:jc w:val="both"/>
            </w:pPr>
            <w:r>
              <w:rPr>
                <w:sz w:val="24"/>
              </w:rPr>
              <w:t>1.1.13.5 可直接使用去离子水，无需额外购置使用液体，降低运行费用；</w:t>
            </w:r>
          </w:p>
          <w:p>
            <w:pPr>
              <w:jc w:val="both"/>
            </w:pPr>
            <w:r>
              <w:rPr>
                <w:sz w:val="24"/>
              </w:rPr>
              <w:t>1.1.14 具有较好的消解效率：8小时工作时间内可消解8～12批次样品；</w:t>
            </w:r>
          </w:p>
          <w:p>
            <w:pPr>
              <w:jc w:val="both"/>
            </w:pPr>
            <w:r>
              <w:rPr>
                <w:sz w:val="24"/>
              </w:rPr>
              <w:t>1.2 温度控制系统</w:t>
            </w:r>
          </w:p>
          <w:p>
            <w:pPr>
              <w:jc w:val="both"/>
            </w:pPr>
            <w:r>
              <w:rPr>
                <w:sz w:val="24"/>
              </w:rPr>
              <w:t>▲1.2.1高精度热电偶温度控制系统，固定在定轨升降系统上，可直接测量所有消解管的实际消解温度（非工作腔外壁温度）；</w:t>
            </w:r>
          </w:p>
          <w:p>
            <w:pPr>
              <w:jc w:val="both"/>
            </w:pPr>
            <w:r>
              <w:rPr>
                <w:sz w:val="24"/>
              </w:rPr>
              <w:t>1.2.2 控温范围：室温～480℃，控温精度：≤0.1℃；</w:t>
            </w:r>
          </w:p>
          <w:p>
            <w:pPr>
              <w:jc w:val="both"/>
            </w:pPr>
            <w:r>
              <w:rPr>
                <w:sz w:val="24"/>
              </w:rPr>
              <w:t>1.2.3 具有额外的三部位辅助安全测温系统，以确保操作安全（</w:t>
            </w:r>
            <w:r>
              <w:rPr>
                <w:b/>
                <w:sz w:val="24"/>
              </w:rPr>
              <w:t>备注：应简述各部位的温控工作原理，并提供软件截图以作证明</w:t>
            </w:r>
            <w:r>
              <w:rPr>
                <w:sz w:val="24"/>
              </w:rPr>
              <w:t>）；</w:t>
            </w:r>
          </w:p>
          <w:p>
            <w:pPr>
              <w:jc w:val="both"/>
            </w:pPr>
            <w:r>
              <w:rPr>
                <w:sz w:val="24"/>
              </w:rPr>
              <w:t>1.3 内置的压力传感器，实时测量反应腔体内所有样品管的实际消解温度和压力；</w:t>
            </w:r>
          </w:p>
          <w:p>
            <w:pPr>
              <w:jc w:val="both"/>
            </w:pPr>
            <w:r>
              <w:rPr>
                <w:sz w:val="24"/>
              </w:rPr>
              <w:t>1.4 控制终端</w:t>
            </w:r>
          </w:p>
          <w:p>
            <w:pPr>
              <w:jc w:val="both"/>
            </w:pPr>
            <w:r>
              <w:rPr>
                <w:sz w:val="24"/>
              </w:rPr>
              <w:t>1.4.1 分体控制终端；</w:t>
            </w:r>
          </w:p>
          <w:p>
            <w:pPr>
              <w:jc w:val="both"/>
            </w:pPr>
            <w:r>
              <w:rPr>
                <w:sz w:val="24"/>
              </w:rPr>
              <w:t>▲1.4.2 彩色触摸式智能控制，高分辨率彩色显示；</w:t>
            </w:r>
          </w:p>
          <w:p>
            <w:pPr>
              <w:jc w:val="both"/>
            </w:pPr>
            <w:r>
              <w:rPr>
                <w:sz w:val="24"/>
              </w:rPr>
              <w:t>1.4.3 可远距离控制微波消解系统，减少电子电路的损害，减少微波辐射；</w:t>
            </w:r>
          </w:p>
          <w:p>
            <w:pPr>
              <w:jc w:val="both"/>
            </w:pPr>
            <w:r>
              <w:rPr>
                <w:sz w:val="24"/>
              </w:rPr>
              <w:t>1.5 每个消解管无需使用消解外罐；</w:t>
            </w:r>
          </w:p>
          <w:p>
            <w:pPr>
              <w:jc w:val="both"/>
            </w:pPr>
            <w:r>
              <w:rPr>
                <w:sz w:val="24"/>
              </w:rPr>
              <w:t>1.6 主机配备接口</w:t>
            </w:r>
          </w:p>
          <w:p>
            <w:pPr>
              <w:jc w:val="both"/>
            </w:pPr>
            <w:r>
              <w:rPr>
                <w:sz w:val="24"/>
              </w:rPr>
              <w:t>1.6.1 具备10个以上USB接口、LAN接口、扩展接口、VIDEO接口等；</w:t>
            </w:r>
          </w:p>
          <w:p>
            <w:pPr>
              <w:jc w:val="both"/>
            </w:pPr>
            <w:r>
              <w:rPr>
                <w:sz w:val="24"/>
              </w:rPr>
              <w:t>1.6.2 可通过U盘等导入、导出应用方法，升级系统软件；</w:t>
            </w:r>
          </w:p>
          <w:p>
            <w:pPr>
              <w:jc w:val="both"/>
            </w:pPr>
            <w:r>
              <w:rPr>
                <w:sz w:val="24"/>
              </w:rPr>
              <w:t>1.6.3 可直接连接计算机、打印机、U盘和称样天平；</w:t>
            </w:r>
          </w:p>
          <w:p>
            <w:pPr>
              <w:jc w:val="both"/>
            </w:pPr>
            <w:r>
              <w:rPr>
                <w:sz w:val="24"/>
              </w:rPr>
              <w:t>1.6.4 可自动保留不少于10年的运行工作记录；</w:t>
            </w:r>
          </w:p>
          <w:p>
            <w:pPr>
              <w:jc w:val="both"/>
            </w:pPr>
            <w:r>
              <w:rPr>
                <w:sz w:val="24"/>
              </w:rPr>
              <w:t>1.7具备指示灯功能，通过≥4种的颜色变化，表示不同仪器操作状态，便于操作使用。</w:t>
            </w:r>
          </w:p>
          <w:p>
            <w:pPr>
              <w:jc w:val="both"/>
            </w:pPr>
            <w:r>
              <w:rPr>
                <w:sz w:val="24"/>
              </w:rPr>
              <w:t>1.8 具备无线网络连接功能；</w:t>
            </w:r>
          </w:p>
          <w:p>
            <w:pPr>
              <w:jc w:val="both"/>
            </w:pPr>
            <w:r>
              <w:rPr>
                <w:sz w:val="24"/>
              </w:rPr>
              <w:t>2. 配置要求</w:t>
            </w:r>
          </w:p>
          <w:p>
            <w:pPr>
              <w:jc w:val="both"/>
            </w:pPr>
            <w:r>
              <w:rPr>
                <w:sz w:val="24"/>
              </w:rPr>
              <w:t>2.1 全不锈钢主机：1台；</w:t>
            </w:r>
          </w:p>
          <w:p>
            <w:pPr>
              <w:jc w:val="both"/>
            </w:pPr>
            <w:r>
              <w:rPr>
                <w:sz w:val="24"/>
              </w:rPr>
              <w:t>2.2 定轨自动升降系统：1套；</w:t>
            </w:r>
          </w:p>
          <w:p>
            <w:pPr>
              <w:jc w:val="both"/>
            </w:pPr>
            <w:r>
              <w:rPr>
                <w:sz w:val="24"/>
              </w:rPr>
              <w:t>2.3 22位TFM支架：2套；</w:t>
            </w:r>
          </w:p>
          <w:p>
            <w:pPr>
              <w:jc w:val="both"/>
            </w:pPr>
            <w:r>
              <w:rPr>
                <w:sz w:val="24"/>
              </w:rPr>
              <w:t>2.4 15位TFM支架：2套；</w:t>
            </w:r>
          </w:p>
          <w:p>
            <w:pPr>
              <w:jc w:val="both"/>
            </w:pPr>
            <w:r>
              <w:rPr>
                <w:sz w:val="24"/>
              </w:rPr>
              <w:t>2.5 消解管</w:t>
            </w:r>
          </w:p>
          <w:p>
            <w:pPr>
              <w:jc w:val="both"/>
            </w:pPr>
            <w:r>
              <w:rPr>
                <w:sz w:val="24"/>
              </w:rPr>
              <w:t>2.5.1 TFM管（15位）：15套×3；</w:t>
            </w:r>
          </w:p>
          <w:p>
            <w:pPr>
              <w:jc w:val="both"/>
            </w:pPr>
            <w:r>
              <w:rPr>
                <w:sz w:val="24"/>
              </w:rPr>
              <w:t>2.5.2 TFM盖子（15位）：150个；</w:t>
            </w:r>
          </w:p>
          <w:p>
            <w:pPr>
              <w:jc w:val="both"/>
            </w:pPr>
            <w:r>
              <w:rPr>
                <w:sz w:val="24"/>
              </w:rPr>
              <w:t>2.5.3 TFM管（22位）：22套×3；</w:t>
            </w:r>
          </w:p>
          <w:p>
            <w:pPr>
              <w:jc w:val="both"/>
            </w:pPr>
            <w:r>
              <w:rPr>
                <w:sz w:val="24"/>
              </w:rPr>
              <w:t>2.5.4 TFM盖子：150个；</w:t>
            </w:r>
          </w:p>
          <w:p>
            <w:pPr>
              <w:jc w:val="both"/>
            </w:pPr>
            <w:r>
              <w:rPr>
                <w:sz w:val="24"/>
              </w:rPr>
              <w:t>2.5.5 石英管（15位）：300支；</w:t>
            </w:r>
          </w:p>
          <w:p>
            <w:pPr>
              <w:jc w:val="both"/>
            </w:pPr>
            <w:r>
              <w:rPr>
                <w:sz w:val="24"/>
              </w:rPr>
              <w:t>2.5.6 石英管（22位）：300支；</w:t>
            </w:r>
          </w:p>
          <w:p>
            <w:pPr>
              <w:jc w:val="both"/>
            </w:pPr>
            <w:r>
              <w:rPr>
                <w:sz w:val="24"/>
              </w:rPr>
              <w:t>2.6 分体触摸屏控制终端：1套；</w:t>
            </w:r>
          </w:p>
          <w:p>
            <w:pPr>
              <w:jc w:val="both"/>
            </w:pPr>
            <w:r>
              <w:rPr>
                <w:sz w:val="24"/>
              </w:rPr>
              <w:t>2.7 自动气体控制单元：1台；</w:t>
            </w:r>
          </w:p>
          <w:p>
            <w:pPr>
              <w:jc w:val="both"/>
            </w:pPr>
            <w:r>
              <w:rPr>
                <w:sz w:val="24"/>
              </w:rPr>
              <w:t>2.8 外置循环水冷却器：1台；</w:t>
            </w:r>
          </w:p>
          <w:p>
            <w:pPr>
              <w:jc w:val="both"/>
            </w:pPr>
            <w:r>
              <w:rPr>
                <w:sz w:val="24"/>
              </w:rPr>
              <w:t>2.9 温度控制系统：1套；</w:t>
            </w:r>
          </w:p>
          <w:p>
            <w:pPr>
              <w:jc w:val="both"/>
            </w:pPr>
            <w:r>
              <w:rPr>
                <w:sz w:val="24"/>
              </w:rPr>
              <w:t>2.10 辅助控温系统：3套；</w:t>
            </w:r>
          </w:p>
          <w:p>
            <w:pPr>
              <w:jc w:val="both"/>
            </w:pPr>
            <w:r>
              <w:rPr>
                <w:sz w:val="24"/>
              </w:rPr>
              <w:t>2.11全罐压力控制系统：1套；</w:t>
            </w:r>
          </w:p>
          <w:p>
            <w:pPr>
              <w:jc w:val="both"/>
            </w:pPr>
            <w:r>
              <w:rPr>
                <w:sz w:val="24"/>
              </w:rPr>
              <w:t>2.12 赶酸机：1台；</w:t>
            </w:r>
          </w:p>
          <w:p>
            <w:pPr>
              <w:jc w:val="both"/>
            </w:pPr>
            <w:r>
              <w:rPr>
                <w:sz w:val="24"/>
              </w:rPr>
              <w:t>2.13 无线网络连接卡：1张。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附表六：高压灭菌器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both"/>
            </w:pPr>
            <w:r>
              <w:rPr>
                <w:sz w:val="24"/>
              </w:rPr>
              <w:t>1.技术指标</w:t>
            </w:r>
          </w:p>
          <w:p>
            <w:pPr>
              <w:jc w:val="both"/>
            </w:pPr>
            <w:r>
              <w:rPr>
                <w:sz w:val="24"/>
              </w:rPr>
              <w:t>1.1 灭菌胆尺寸（内径×深度）：≥76升，内部直径≥360mm；</w:t>
            </w:r>
          </w:p>
          <w:p>
            <w:pPr>
              <w:jc w:val="both"/>
            </w:pPr>
            <w:r>
              <w:rPr>
                <w:sz w:val="24"/>
              </w:rPr>
              <w:t>▲1.2 为确保设备安全性：内胆材质应不低于SUS304，内胆厚度≥2.5mm；</w:t>
            </w:r>
          </w:p>
          <w:p>
            <w:pPr>
              <w:jc w:val="both"/>
            </w:pPr>
            <w:r>
              <w:rPr>
                <w:sz w:val="24"/>
              </w:rPr>
              <w:t>1.3 内胆进行喷砂，电解抛光处理；</w:t>
            </w:r>
          </w:p>
          <w:p>
            <w:pPr>
              <w:jc w:val="both"/>
            </w:pPr>
            <w:r>
              <w:rPr>
                <w:sz w:val="24"/>
              </w:rPr>
              <w:t xml:space="preserve">1.4 最高温度可达：135℃；   </w:t>
            </w:r>
          </w:p>
          <w:p>
            <w:pPr>
              <w:jc w:val="both"/>
            </w:pPr>
            <w:r>
              <w:rPr>
                <w:sz w:val="24"/>
              </w:rPr>
              <w:t>1.5 温度范围：40～135℃；</w:t>
            </w:r>
          </w:p>
          <w:p>
            <w:pPr>
              <w:jc w:val="both"/>
            </w:pPr>
            <w:r>
              <w:rPr>
                <w:sz w:val="24"/>
              </w:rPr>
              <w:t>1.6 灭菌温度：105～135℃；</w:t>
            </w:r>
          </w:p>
          <w:p>
            <w:pPr>
              <w:jc w:val="both"/>
            </w:pPr>
            <w:r>
              <w:rPr>
                <w:sz w:val="24"/>
              </w:rPr>
              <w:t>1.7 保温温度：40～60℃；</w:t>
            </w:r>
          </w:p>
          <w:p>
            <w:pPr>
              <w:jc w:val="both"/>
            </w:pPr>
            <w:r>
              <w:rPr>
                <w:sz w:val="24"/>
              </w:rPr>
              <w:t>1.8 可设定时间范围：灭菌，融化：0～4h，可连续保温：≥72h，预约灭菌：1～99h；</w:t>
            </w:r>
          </w:p>
          <w:p>
            <w:pPr>
              <w:jc w:val="both"/>
            </w:pPr>
            <w:r>
              <w:rPr>
                <w:sz w:val="24"/>
              </w:rPr>
              <w:t>1.9 控制器：智能微电脑控制；</w:t>
            </w:r>
          </w:p>
          <w:p>
            <w:pPr>
              <w:jc w:val="both"/>
            </w:pPr>
            <w:r>
              <w:rPr>
                <w:sz w:val="24"/>
              </w:rPr>
              <w:t>1.10 程序模式：具有不少于4类的预置灭菌模式，可分别针对固体、液体样品琼脂等；</w:t>
            </w:r>
          </w:p>
          <w:p>
            <w:pPr>
              <w:jc w:val="both"/>
            </w:pPr>
            <w:r>
              <w:rPr>
                <w:sz w:val="24"/>
              </w:rPr>
              <w:t>1.11 排气方式：全排、微排、不排；</w:t>
            </w:r>
          </w:p>
          <w:p>
            <w:pPr>
              <w:jc w:val="both"/>
            </w:pPr>
            <w:r>
              <w:rPr>
                <w:sz w:val="24"/>
              </w:rPr>
              <w:t>1.12 具有功能：定时启动功能、自动排气控制、饱和蒸汽检测、自检系统记忆存储系统；</w:t>
            </w:r>
          </w:p>
          <w:p>
            <w:pPr>
              <w:jc w:val="both"/>
            </w:pPr>
            <w:r>
              <w:rPr>
                <w:sz w:val="24"/>
              </w:rPr>
              <w:t>1.13 冷却装置：轴流风扇，可根据灭菌方式不同设置自动启动；</w:t>
            </w:r>
          </w:p>
          <w:p>
            <w:pPr>
              <w:jc w:val="both"/>
            </w:pPr>
            <w:r>
              <w:rPr>
                <w:sz w:val="24"/>
              </w:rPr>
              <w:t>1.14 具有对应安全装置：压力安全阀，防止干烧，门锁安全连锁装置，腔盖关闭检测系统，过压检测，超温检测，漏电短路检测；</w:t>
            </w:r>
          </w:p>
          <w:p>
            <w:pPr>
              <w:jc w:val="both"/>
            </w:pPr>
            <w:r>
              <w:rPr>
                <w:sz w:val="24"/>
              </w:rPr>
              <w:t>1.15 应具备双温度传感器和压力传感器，可校准；</w:t>
            </w:r>
          </w:p>
          <w:p>
            <w:pPr>
              <w:jc w:val="both"/>
            </w:pPr>
            <w:r>
              <w:rPr>
                <w:sz w:val="24"/>
              </w:rPr>
              <w:t>1.16 权限管理：不少于五级的密码权限控制，每级均有独立密码，便于设备管理；</w:t>
            </w:r>
          </w:p>
          <w:p>
            <w:pPr>
              <w:jc w:val="both"/>
            </w:pPr>
            <w:r>
              <w:rPr>
                <w:sz w:val="24"/>
              </w:rPr>
              <w:t>1.17 防干烧保护：通过软件控制防干烧；</w:t>
            </w:r>
          </w:p>
          <w:p>
            <w:pPr>
              <w:jc w:val="both"/>
            </w:pPr>
            <w:r>
              <w:rPr>
                <w:sz w:val="24"/>
              </w:rPr>
              <w:t>▲1.18 可拆卸的压力表： 压力表卡扣式设计，无需拆灭菌器边框，便于后续使用过程中的拆卸计量，同时确保安全；</w:t>
            </w:r>
          </w:p>
          <w:p>
            <w:pPr>
              <w:jc w:val="both"/>
            </w:pPr>
            <w:r>
              <w:rPr>
                <w:sz w:val="24"/>
              </w:rPr>
              <w:t>1.19 最大功率：≥2700W；</w:t>
            </w:r>
          </w:p>
          <w:p>
            <w:pPr>
              <w:jc w:val="both"/>
            </w:pPr>
            <w:r>
              <w:rPr>
                <w:sz w:val="24"/>
              </w:rPr>
              <w:t>2. 配置要求</w:t>
            </w:r>
          </w:p>
          <w:p>
            <w:pPr>
              <w:jc w:val="both"/>
            </w:pPr>
            <w:r>
              <w:rPr>
                <w:sz w:val="24"/>
              </w:rPr>
              <w:t>2.1 主机：1台；</w:t>
            </w:r>
          </w:p>
          <w:p>
            <w:pPr>
              <w:jc w:val="both"/>
            </w:pPr>
            <w:r>
              <w:rPr>
                <w:sz w:val="24"/>
              </w:rPr>
              <w:t>2.2 不锈钢网篮：2个；</w:t>
            </w:r>
          </w:p>
          <w:p>
            <w:pPr>
              <w:jc w:val="both"/>
            </w:pPr>
            <w:r>
              <w:rPr>
                <w:sz w:val="24"/>
              </w:rPr>
              <w:t>2.3 排水软管：1套；</w:t>
            </w:r>
          </w:p>
          <w:p>
            <w:pPr>
              <w:jc w:val="both"/>
            </w:pPr>
            <w:r>
              <w:rPr>
                <w:sz w:val="24"/>
              </w:rPr>
              <w:t>2.4 储水瓶：1个；</w:t>
            </w:r>
          </w:p>
          <w:p>
            <w:pPr>
              <w:jc w:val="both"/>
            </w:pPr>
            <w:r>
              <w:rPr>
                <w:sz w:val="24"/>
              </w:rPr>
              <w:t>2.5 废气收集瓶：1个；</w:t>
            </w:r>
          </w:p>
          <w:p>
            <w:pPr>
              <w:jc w:val="both"/>
            </w:pPr>
            <w:r>
              <w:rPr>
                <w:sz w:val="24"/>
              </w:rPr>
              <w:t>2.6 隔水板：1个。</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附表七：超低温冰箱</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both"/>
            </w:pPr>
            <w:r>
              <w:rPr>
                <w:sz w:val="24"/>
              </w:rPr>
              <w:t>1.技术指标</w:t>
            </w:r>
          </w:p>
          <w:p>
            <w:pPr>
              <w:jc w:val="both"/>
            </w:pPr>
            <w:r>
              <w:rPr>
                <w:sz w:val="24"/>
              </w:rPr>
              <w:t>1.1 内部容积：≥420升，可存放2英寸冻存盒的数量：≥300个；</w:t>
            </w:r>
          </w:p>
          <w:p>
            <w:pPr>
              <w:jc w:val="both"/>
            </w:pPr>
            <w:r>
              <w:rPr>
                <w:sz w:val="24"/>
              </w:rPr>
              <w:t>▲1.2 压缩机:配置2台≥550W的工业级高效压缩机，制冷剂应为无氟碳氢制冷剂乙烷（R170）和丙烷 (R290)；</w:t>
            </w:r>
          </w:p>
          <w:p>
            <w:pPr>
              <w:jc w:val="both"/>
            </w:pPr>
            <w:r>
              <w:rPr>
                <w:sz w:val="24"/>
              </w:rPr>
              <w:t>1.3 拓展性：可选配液态CO2和液氮后备制冷系统，可在断电和冰箱故障时启动，使样品保持-60℃以下低温；</w:t>
            </w:r>
          </w:p>
          <w:p>
            <w:pPr>
              <w:jc w:val="both"/>
            </w:pPr>
            <w:r>
              <w:rPr>
                <w:sz w:val="24"/>
              </w:rPr>
              <w:t>1.4 具有重型脚轮，以方便移动和固定冰箱；</w:t>
            </w:r>
          </w:p>
          <w:p>
            <w:pPr>
              <w:jc w:val="both"/>
            </w:pPr>
            <w:r>
              <w:rPr>
                <w:sz w:val="24"/>
              </w:rPr>
              <w:t>1.5 具有≥6.5英寸电容式触摸屏用户界面，无需复杂参数设置即可监控冰箱的运行、温度及报警情况；</w:t>
            </w:r>
          </w:p>
          <w:p>
            <w:pPr>
              <w:jc w:val="both"/>
            </w:pPr>
            <w:r>
              <w:rPr>
                <w:sz w:val="24"/>
              </w:rPr>
              <w:t>▲1.6 整机内置≥7个温度探头，监控超低温冰箱腔体温度、环境温度、热交换器温度、蒸发器入口温度、蒸发器出口温度、一级吸气管温度、二级吸气管温度等，确保冰箱顺利运行，并有助于故障原因的判断；</w:t>
            </w:r>
          </w:p>
          <w:p>
            <w:pPr>
              <w:jc w:val="both"/>
            </w:pPr>
            <w:r>
              <w:rPr>
                <w:sz w:val="24"/>
              </w:rPr>
              <w:t>1.7 控制面板具有不少于三位数的密码保护，安全管理温度设置和报警设置，防止无关人员随意篡改；</w:t>
            </w:r>
          </w:p>
          <w:p>
            <w:pPr>
              <w:jc w:val="both"/>
            </w:pPr>
            <w:r>
              <w:rPr>
                <w:sz w:val="24"/>
              </w:rPr>
              <w:t>1.8 标配不少于4扇的聚苯乙烯泡沫绝热内门，嵌入式磁铁门闩，减少冷气丢失；</w:t>
            </w:r>
          </w:p>
          <w:p>
            <w:pPr>
              <w:jc w:val="both"/>
            </w:pPr>
            <w:r>
              <w:rPr>
                <w:sz w:val="24"/>
              </w:rPr>
              <w:t>1.9 具有良好的保温性能，室温20℃断电时，空载的情况下从-80℃ 升温到-50℃ 的时间不低于230分钟；</w:t>
            </w:r>
          </w:p>
          <w:p>
            <w:pPr>
              <w:jc w:val="both"/>
            </w:pPr>
            <w:r>
              <w:rPr>
                <w:sz w:val="24"/>
              </w:rPr>
              <w:t>▲1.10 保温结构设计：配备真空绝热板，结合环保、水压泡沫绝热材料，可保温性能及存储密度；</w:t>
            </w:r>
          </w:p>
          <w:p>
            <w:pPr>
              <w:jc w:val="both"/>
            </w:pPr>
            <w:r>
              <w:rPr>
                <w:sz w:val="24"/>
              </w:rPr>
              <w:t>1.11 具有电加热式密封条，有效防止门封条及周边结霜，确保密封保温效果；</w:t>
            </w:r>
          </w:p>
          <w:p>
            <w:pPr>
              <w:jc w:val="both"/>
            </w:pPr>
            <w:r>
              <w:rPr>
                <w:sz w:val="24"/>
              </w:rPr>
              <w:t>1.12 具有屏幕防水设计，可有效防止清洁时液体进入，损坏控制器；</w:t>
            </w:r>
          </w:p>
          <w:p>
            <w:pPr>
              <w:jc w:val="both"/>
            </w:pPr>
            <w:r>
              <w:rPr>
                <w:sz w:val="24"/>
              </w:rPr>
              <w:t>1.13 符合人体工程学的单手操作门把手，可锁定并可同时增加1个挂锁，提高安全性；</w:t>
            </w:r>
          </w:p>
          <w:p>
            <w:pPr>
              <w:jc w:val="both"/>
            </w:pPr>
            <w:r>
              <w:rPr>
                <w:sz w:val="24"/>
              </w:rPr>
              <w:t>1.14 冷凝器面积≥300×450mm，可确保较好的降温效果；</w:t>
            </w:r>
          </w:p>
          <w:p>
            <w:pPr>
              <w:jc w:val="both"/>
            </w:pPr>
            <w:r>
              <w:rPr>
                <w:sz w:val="24"/>
              </w:rPr>
              <w:t>1.15 冷凝器过滤网，易拆卸，可水洗，保护冷凝器免沾灰尘，提高制冷性能；</w:t>
            </w:r>
          </w:p>
          <w:p>
            <w:pPr>
              <w:jc w:val="both"/>
            </w:pPr>
            <w:r>
              <w:rPr>
                <w:sz w:val="24"/>
              </w:rPr>
              <w:t>1.16 外门配有带加热功能的自动减压阀，可在关门后平衡冰箱门内外压差，方便高度密封的外门在≤60秒内再次单手开启，提高操作效率；</w:t>
            </w:r>
          </w:p>
          <w:p>
            <w:pPr>
              <w:jc w:val="both"/>
            </w:pPr>
            <w:r>
              <w:rPr>
                <w:sz w:val="24"/>
              </w:rPr>
              <w:t>1.17实验室空间，冰箱占地面积≤0.7m2；</w:t>
            </w:r>
          </w:p>
          <w:p>
            <w:pPr>
              <w:jc w:val="both"/>
            </w:pPr>
            <w:r>
              <w:rPr>
                <w:sz w:val="24"/>
              </w:rPr>
              <w:t>2. 配置要求</w:t>
            </w:r>
          </w:p>
          <w:p>
            <w:pPr>
              <w:jc w:val="both"/>
            </w:pPr>
            <w:r>
              <w:rPr>
                <w:sz w:val="24"/>
              </w:rPr>
              <w:t>2.1 主机：1台；</w:t>
            </w:r>
          </w:p>
          <w:p>
            <w:pPr>
              <w:jc w:val="both"/>
            </w:pPr>
            <w:r>
              <w:rPr>
                <w:sz w:val="24"/>
              </w:rPr>
              <w:t>2.2 说明书：1本。</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附表八：凝胶成像系统进口产品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both"/>
            </w:pPr>
            <w:r>
              <w:rPr>
                <w:sz w:val="24"/>
              </w:rPr>
              <w:t>1.技术指标</w:t>
            </w:r>
          </w:p>
          <w:p>
            <w:pPr>
              <w:jc w:val="both"/>
            </w:pPr>
            <w:r>
              <w:rPr>
                <w:sz w:val="24"/>
              </w:rPr>
              <w:t>1.1 硬件指标</w:t>
            </w:r>
          </w:p>
          <w:p>
            <w:pPr>
              <w:jc w:val="both"/>
            </w:pPr>
            <w:r>
              <w:rPr>
                <w:sz w:val="24"/>
              </w:rPr>
              <w:t>▲1.1.1 具备触摸屏功能，≥9.5英寸显示屏；</w:t>
            </w:r>
          </w:p>
          <w:p>
            <w:pPr>
              <w:jc w:val="both"/>
            </w:pPr>
            <w:r>
              <w:rPr>
                <w:sz w:val="24"/>
              </w:rPr>
              <w:t>1.1.2 可多点触控，显示屏分辨率≥1024×768像素；</w:t>
            </w:r>
          </w:p>
          <w:p>
            <w:pPr>
              <w:jc w:val="both"/>
            </w:pPr>
            <w:r>
              <w:rPr>
                <w:sz w:val="24"/>
              </w:rPr>
              <w:t>1.1.3 最大成像面积（长×宽）：≥20×13cm；</w:t>
            </w:r>
          </w:p>
          <w:p>
            <w:pPr>
              <w:jc w:val="both"/>
            </w:pPr>
            <w:r>
              <w:rPr>
                <w:sz w:val="24"/>
              </w:rPr>
              <w:t>▲1.1.4 成像检测器原始像素：≥600万像素；</w:t>
            </w:r>
          </w:p>
          <w:p>
            <w:pPr>
              <w:jc w:val="both"/>
            </w:pPr>
            <w:r>
              <w:rPr>
                <w:sz w:val="24"/>
              </w:rPr>
              <w:t>1.1.5 像素深度（灰度值）：可达65500；</w:t>
            </w:r>
          </w:p>
          <w:p>
            <w:pPr>
              <w:jc w:val="both"/>
            </w:pPr>
            <w:r>
              <w:rPr>
                <w:sz w:val="24"/>
              </w:rPr>
              <w:t>1.1.6 动态范围：≥3.5 OD；</w:t>
            </w:r>
          </w:p>
          <w:p>
            <w:pPr>
              <w:jc w:val="both"/>
            </w:pPr>
            <w:r>
              <w:rPr>
                <w:sz w:val="24"/>
              </w:rPr>
              <w:t>1.1.7 激发光源：可自发透射紫外、侧白光，可选配透射白光；</w:t>
            </w:r>
          </w:p>
          <w:p>
            <w:pPr>
              <w:jc w:val="both"/>
            </w:pPr>
            <w:r>
              <w:rPr>
                <w:sz w:val="24"/>
              </w:rPr>
              <w:t>1.1.8 发射滤光片范围：540～640nm；</w:t>
            </w:r>
          </w:p>
          <w:p>
            <w:pPr>
              <w:jc w:val="both"/>
            </w:pPr>
            <w:r>
              <w:rPr>
                <w:sz w:val="24"/>
              </w:rPr>
              <w:t>1.1.9 自动功能</w:t>
            </w:r>
          </w:p>
          <w:p>
            <w:pPr>
              <w:jc w:val="both"/>
            </w:pPr>
            <w:r>
              <w:rPr>
                <w:sz w:val="24"/>
              </w:rPr>
              <w:t>1）可选配智能托盘技术：系统自动识别特定应用的样品托盘，并调整成像参数及对应软件设置；</w:t>
            </w:r>
          </w:p>
          <w:p>
            <w:pPr>
              <w:jc w:val="both"/>
            </w:pPr>
            <w:r>
              <w:rPr>
                <w:sz w:val="24"/>
              </w:rPr>
              <w:t>2）自动对焦：针对缩放设置，有预校准的自动对焦功能；</w:t>
            </w:r>
          </w:p>
          <w:p>
            <w:pPr>
              <w:jc w:val="both"/>
            </w:pPr>
            <w:r>
              <w:rPr>
                <w:sz w:val="24"/>
              </w:rPr>
              <w:t>3）自动曝光：具备两种自动曝光算法（快速或优化）；</w:t>
            </w:r>
          </w:p>
          <w:p>
            <w:pPr>
              <w:jc w:val="both"/>
            </w:pPr>
            <w:r>
              <w:rPr>
                <w:sz w:val="24"/>
              </w:rPr>
              <w:t>1.2 软件功能</w:t>
            </w:r>
          </w:p>
          <w:p>
            <w:pPr>
              <w:jc w:val="both"/>
            </w:pPr>
            <w:r>
              <w:rPr>
                <w:sz w:val="24"/>
              </w:rPr>
              <w:t>1.2.1 具备全自动专业成像及分析软件，可对系统进行自动控制，包括采集、优化、定量、分析图像及报告输出；</w:t>
            </w:r>
          </w:p>
          <w:p>
            <w:pPr>
              <w:jc w:val="both"/>
            </w:pPr>
            <w:r>
              <w:rPr>
                <w:sz w:val="24"/>
              </w:rPr>
              <w:t>1.2.2 软件可编程，所编程序可重复调用或再编辑；</w:t>
            </w:r>
          </w:p>
          <w:p>
            <w:pPr>
              <w:jc w:val="both"/>
            </w:pPr>
            <w:r>
              <w:rPr>
                <w:sz w:val="24"/>
              </w:rPr>
              <w:t>1.2.3 软件可自由安装于多台电脑，以用于同时分析；</w:t>
            </w:r>
          </w:p>
          <w:p>
            <w:pPr>
              <w:jc w:val="both"/>
            </w:pPr>
            <w:r>
              <w:rPr>
                <w:sz w:val="24"/>
              </w:rPr>
              <w:t>1.2.4 软件可控制曝光时间以看到微弱信号；</w:t>
            </w:r>
          </w:p>
          <w:p>
            <w:pPr>
              <w:jc w:val="both"/>
            </w:pPr>
            <w:r>
              <w:rPr>
                <w:sz w:val="24"/>
              </w:rPr>
              <w:t>1.2.5 显示过饱和像素保证精确定量；</w:t>
            </w:r>
          </w:p>
          <w:p>
            <w:pPr>
              <w:jc w:val="both"/>
            </w:pPr>
            <w:r>
              <w:rPr>
                <w:sz w:val="24"/>
              </w:rPr>
              <w:t>1.2.6 所有成像过程均可保持自动对焦；</w:t>
            </w:r>
          </w:p>
          <w:p>
            <w:pPr>
              <w:jc w:val="both"/>
            </w:pPr>
            <w:r>
              <w:rPr>
                <w:sz w:val="24"/>
              </w:rPr>
              <w:t>1.2.7 使用时，可添加各种格式的文字注释；</w:t>
            </w:r>
          </w:p>
          <w:p>
            <w:pPr>
              <w:jc w:val="both"/>
            </w:pPr>
            <w:r>
              <w:rPr>
                <w:sz w:val="24"/>
              </w:rPr>
              <w:t>▲1.2.8 可进行自动条带检测、自动分子量测算、自动条带浓度测算；</w:t>
            </w:r>
          </w:p>
          <w:p>
            <w:pPr>
              <w:jc w:val="both"/>
            </w:pPr>
            <w:r>
              <w:rPr>
                <w:sz w:val="24"/>
              </w:rPr>
              <w:t>1.2.9 可进行相对含量百分数分析；</w:t>
            </w:r>
          </w:p>
          <w:p>
            <w:pPr>
              <w:jc w:val="both"/>
            </w:pPr>
            <w:r>
              <w:rPr>
                <w:sz w:val="24"/>
              </w:rPr>
              <w:t>1.2.10 可进行绝对浓度、密度计算；</w:t>
            </w:r>
          </w:p>
          <w:p>
            <w:pPr>
              <w:jc w:val="both"/>
            </w:pPr>
            <w:r>
              <w:rPr>
                <w:sz w:val="24"/>
              </w:rPr>
              <w:t>1.2.11 可进行微卫星DNA分析；</w:t>
            </w:r>
          </w:p>
          <w:p>
            <w:pPr>
              <w:jc w:val="both"/>
            </w:pPr>
            <w:r>
              <w:rPr>
                <w:sz w:val="24"/>
              </w:rPr>
              <w:t>1.2.12 具备RFLP（限制性片段长度多态性分析）和DNA指纹分析功能；</w:t>
            </w:r>
          </w:p>
          <w:p>
            <w:pPr>
              <w:jc w:val="both"/>
            </w:pPr>
            <w:r>
              <w:rPr>
                <w:sz w:val="24"/>
              </w:rPr>
              <w:t>1.2.13 具备3D图像观察及输出功能；</w:t>
            </w:r>
          </w:p>
          <w:p>
            <w:pPr>
              <w:jc w:val="both"/>
            </w:pPr>
            <w:r>
              <w:rPr>
                <w:sz w:val="24"/>
              </w:rPr>
              <w:t>1.2.14 可进行不少于12种预设染料颜色标记显示及输出；</w:t>
            </w:r>
          </w:p>
          <w:p>
            <w:pPr>
              <w:jc w:val="both"/>
            </w:pPr>
            <w:r>
              <w:rPr>
                <w:sz w:val="24"/>
              </w:rPr>
              <w:t>1.2.15 多幅图像合并显示并分析功能；</w:t>
            </w:r>
          </w:p>
          <w:p>
            <w:pPr>
              <w:jc w:val="both"/>
            </w:pPr>
            <w:r>
              <w:rPr>
                <w:sz w:val="24"/>
              </w:rPr>
              <w:t>1.2.16 报告输出可包括：图像仪名称、仪器序列号、使用者姓名、成像时间、光源名称、滤光片名称、泳道图示、条带标注等；</w:t>
            </w:r>
          </w:p>
          <w:p>
            <w:pPr>
              <w:jc w:val="both"/>
            </w:pPr>
            <w:r>
              <w:rPr>
                <w:sz w:val="24"/>
              </w:rPr>
              <w:t>1.2.17 图像输出格式包括：.tif、.bmp、.png、.jpg；</w:t>
            </w:r>
          </w:p>
          <w:p>
            <w:pPr>
              <w:jc w:val="both"/>
            </w:pPr>
            <w:r>
              <w:rPr>
                <w:sz w:val="24"/>
              </w:rPr>
              <w:t>1.2.18 数据输出方式：剪贴板输出、数据库输出、Excel表格式输出、PDF输出；</w:t>
            </w:r>
          </w:p>
          <w:p>
            <w:pPr>
              <w:jc w:val="both"/>
            </w:pPr>
            <w:r>
              <w:rPr>
                <w:sz w:val="24"/>
              </w:rPr>
              <w:t>1.2.19 配有软件操作指南flash，便于随时查阅；</w:t>
            </w:r>
          </w:p>
          <w:p>
            <w:pPr>
              <w:jc w:val="both"/>
            </w:pPr>
            <w:r>
              <w:rPr>
                <w:sz w:val="24"/>
              </w:rPr>
              <w:t>1.2.20软件可免费升级；</w:t>
            </w:r>
          </w:p>
          <w:p>
            <w:pPr>
              <w:jc w:val="both"/>
            </w:pPr>
            <w:r>
              <w:rPr>
                <w:sz w:val="24"/>
              </w:rPr>
              <w:t>1.2.21中文版、英文版软件可按照需要自由切换；</w:t>
            </w:r>
          </w:p>
          <w:p>
            <w:pPr>
              <w:jc w:val="both"/>
            </w:pPr>
            <w:r>
              <w:rPr>
                <w:sz w:val="24"/>
              </w:rPr>
              <w:t>1.3 电脑及打印机</w:t>
            </w:r>
          </w:p>
          <w:p>
            <w:pPr>
              <w:jc w:val="both"/>
            </w:pPr>
            <w:r>
              <w:rPr>
                <w:sz w:val="24"/>
              </w:rPr>
              <w:t>1.3.1电脑配置应不低于以下参数：win10，64位，CPU i5或以上，处理器2.4GHz四核或以上，内存≥16GB，硬盘≥500G，≥21英寸LED显示器，USB2.0接口2个以上；</w:t>
            </w:r>
          </w:p>
          <w:p>
            <w:pPr>
              <w:jc w:val="both"/>
            </w:pPr>
            <w:r>
              <w:rPr>
                <w:sz w:val="24"/>
              </w:rPr>
              <w:t>1.3.2 打印机配置应不低于以下参数：双面手动打印，彩色模式打印分辨率≥600*600dpi，黑白模式打印分辨率≥600*600dpi，黑白打印速度≥18ppm（ISO，A4）,彩色打印速度≥4ppm，处理器400MHz或以上，内存≥64MB，USB2.0及以上接口。</w:t>
            </w:r>
          </w:p>
          <w:p>
            <w:pPr>
              <w:jc w:val="both"/>
            </w:pPr>
            <w:r>
              <w:rPr>
                <w:sz w:val="24"/>
              </w:rPr>
              <w:t>2.配置要求</w:t>
            </w:r>
          </w:p>
          <w:p>
            <w:pPr>
              <w:jc w:val="both"/>
            </w:pPr>
            <w:r>
              <w:rPr>
                <w:sz w:val="24"/>
              </w:rPr>
              <w:t>2.1凝胶成像系统主机：1台；</w:t>
            </w:r>
          </w:p>
          <w:p>
            <w:pPr>
              <w:jc w:val="both"/>
            </w:pPr>
            <w:r>
              <w:rPr>
                <w:sz w:val="24"/>
              </w:rPr>
              <w:t>2.2图像采集分析软件：1套；</w:t>
            </w:r>
          </w:p>
          <w:p>
            <w:pPr>
              <w:jc w:val="both"/>
            </w:pPr>
            <w:r>
              <w:rPr>
                <w:sz w:val="24"/>
              </w:rPr>
              <w:t>2.3白光板：1块；</w:t>
            </w:r>
          </w:p>
          <w:p>
            <w:pPr>
              <w:jc w:val="both"/>
            </w:pPr>
            <w:r>
              <w:rPr>
                <w:sz w:val="24"/>
              </w:rPr>
              <w:t>2.4紫外板：1块；</w:t>
            </w:r>
          </w:p>
          <w:p>
            <w:pPr>
              <w:jc w:val="both"/>
            </w:pPr>
            <w:r>
              <w:rPr>
                <w:sz w:val="24"/>
              </w:rPr>
              <w:t>2.5说明书：1本；</w:t>
            </w:r>
          </w:p>
          <w:p>
            <w:pPr>
              <w:jc w:val="both"/>
            </w:pPr>
            <w:r>
              <w:rPr>
                <w:sz w:val="24"/>
              </w:rPr>
              <w:t>2.6 电脑及打印机：1套。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附表九：隔水式恒温培养箱</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both"/>
            </w:pPr>
            <w:r>
              <w:rPr>
                <w:sz w:val="24"/>
              </w:rPr>
              <w:t>1.技术指标</w:t>
            </w:r>
          </w:p>
          <w:p>
            <w:pPr>
              <w:jc w:val="both"/>
            </w:pPr>
            <w:r>
              <w:rPr>
                <w:sz w:val="24"/>
              </w:rPr>
              <w:t>1.1 拉丝不锈钢内胆，四角半圈弧过渡，搁板可自由装卸，以便于清洁；</w:t>
            </w:r>
          </w:p>
          <w:p>
            <w:pPr>
              <w:jc w:val="both"/>
            </w:pPr>
            <w:r>
              <w:rPr>
                <w:sz w:val="24"/>
              </w:rPr>
              <w:t>1.2 有便于观察玻璃门，在工作状态，可随时打开玻璃门观察培养情况；</w:t>
            </w:r>
          </w:p>
          <w:p>
            <w:pPr>
              <w:jc w:val="both"/>
            </w:pPr>
            <w:r>
              <w:rPr>
                <w:sz w:val="24"/>
              </w:rPr>
              <w:t>1.3 循环风扇速度大小可自动控制，当箱内温度处于恒温状态时，速度会减小；</w:t>
            </w:r>
          </w:p>
          <w:p>
            <w:pPr>
              <w:jc w:val="both"/>
            </w:pPr>
            <w:r>
              <w:rPr>
                <w:sz w:val="24"/>
              </w:rPr>
              <w:t>1.4 安全配置：具有独立限温报警系统，可声光报警提示实验人员。具有温度偏低、偏高和超温和缺水等报警功能。具有开门时间过长报警功能；</w:t>
            </w:r>
          </w:p>
          <w:p>
            <w:pPr>
              <w:jc w:val="both"/>
            </w:pPr>
            <w:r>
              <w:rPr>
                <w:sz w:val="24"/>
              </w:rPr>
              <w:t>1.5 加热方式:水套式，保证腔室温度均匀；</w:t>
            </w:r>
          </w:p>
          <w:p>
            <w:pPr>
              <w:jc w:val="both"/>
            </w:pPr>
            <w:r>
              <w:rPr>
                <w:sz w:val="24"/>
              </w:rPr>
              <w:t>1.6 控温范围:RT+5～65℃；</w:t>
            </w:r>
          </w:p>
          <w:p>
            <w:pPr>
              <w:jc w:val="both"/>
            </w:pPr>
            <w:r>
              <w:rPr>
                <w:sz w:val="24"/>
              </w:rPr>
              <w:t>1.7 温度分辨率：≤0.1℃、温度波动度：±0.3℃；</w:t>
            </w:r>
          </w:p>
          <w:p>
            <w:pPr>
              <w:jc w:val="both"/>
            </w:pPr>
            <w:r>
              <w:rPr>
                <w:sz w:val="24"/>
              </w:rPr>
              <w:t>1.8 温度均匀度：≤0.5℃（测试点为37℃时）；</w:t>
            </w:r>
          </w:p>
          <w:p>
            <w:pPr>
              <w:jc w:val="both"/>
            </w:pPr>
            <w:r>
              <w:rPr>
                <w:sz w:val="24"/>
              </w:rPr>
              <w:t>1.9 输入功率:≥1300W；</w:t>
            </w:r>
          </w:p>
          <w:p>
            <w:pPr>
              <w:jc w:val="both"/>
            </w:pPr>
            <w:r>
              <w:rPr>
                <w:sz w:val="24"/>
              </w:rPr>
              <w:t>1.10 培养箱容积:≥260L；</w:t>
            </w:r>
          </w:p>
          <w:p>
            <w:pPr>
              <w:jc w:val="both"/>
            </w:pPr>
            <w:r>
              <w:rPr>
                <w:sz w:val="24"/>
              </w:rPr>
              <w:t>1.11 内胆尺寸（长×宽×高）：≥600×600×720mm；</w:t>
            </w:r>
          </w:p>
          <w:p>
            <w:pPr>
              <w:jc w:val="both"/>
            </w:pPr>
            <w:r>
              <w:rPr>
                <w:sz w:val="24"/>
              </w:rPr>
              <w:t>1.12可安装载物托架：不少于2块；</w:t>
            </w:r>
          </w:p>
          <w:p>
            <w:pPr>
              <w:jc w:val="both"/>
            </w:pPr>
            <w:r>
              <w:rPr>
                <w:sz w:val="24"/>
              </w:rPr>
              <w:t>1.13 定时范围：0～9999min；</w:t>
            </w:r>
          </w:p>
          <w:p>
            <w:pPr>
              <w:jc w:val="both"/>
            </w:pPr>
            <w:r>
              <w:rPr>
                <w:sz w:val="24"/>
              </w:rPr>
              <w:t>2.配置要求</w:t>
            </w:r>
          </w:p>
          <w:p>
            <w:pPr>
              <w:jc w:val="both"/>
            </w:pPr>
            <w:r>
              <w:rPr>
                <w:sz w:val="24"/>
              </w:rPr>
              <w:t>2.1隔水式恒温培养箱：1台；</w:t>
            </w:r>
          </w:p>
          <w:p>
            <w:pPr>
              <w:jc w:val="both"/>
            </w:pPr>
            <w:r>
              <w:rPr>
                <w:sz w:val="24"/>
              </w:rPr>
              <w:t>2.2载物托架：2块。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附表一十：偏光显微成像系统</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both"/>
            </w:pPr>
            <w:r>
              <w:rPr>
                <w:sz w:val="24"/>
              </w:rPr>
              <w:t>1.技术指标</w:t>
            </w:r>
          </w:p>
          <w:p>
            <w:pPr>
              <w:jc w:val="both"/>
            </w:pPr>
            <w:r>
              <w:rPr>
                <w:sz w:val="24"/>
              </w:rPr>
              <w:t>1.1生物显微镜</w:t>
            </w:r>
          </w:p>
          <w:p>
            <w:pPr>
              <w:jc w:val="both"/>
            </w:pPr>
            <w:r>
              <w:rPr>
                <w:sz w:val="24"/>
              </w:rPr>
              <w:t>1.1.1 光学系统</w:t>
            </w:r>
          </w:p>
          <w:p>
            <w:pPr>
              <w:jc w:val="both"/>
            </w:pPr>
            <w:r>
              <w:rPr>
                <w:sz w:val="24"/>
              </w:rPr>
              <w:t>▲1.1.1.1无限远光学系统，齐焦距离≤45mm；</w:t>
            </w:r>
          </w:p>
          <w:p>
            <w:pPr>
              <w:jc w:val="both"/>
            </w:pPr>
            <w:r>
              <w:rPr>
                <w:sz w:val="24"/>
              </w:rPr>
              <w:t>1.1.1.2 调焦机构：载物台垂直运动，旋钮高灵敏度；载物台行程≥25mm；带有粗调限位器；粗调旋钮可以调节扭力矩；微调精度≤1微米；</w:t>
            </w:r>
          </w:p>
          <w:p>
            <w:pPr>
              <w:jc w:val="both"/>
            </w:pPr>
            <w:r>
              <w:rPr>
                <w:sz w:val="24"/>
              </w:rPr>
              <w:t>1.1.2 光源系统</w:t>
            </w:r>
          </w:p>
          <w:p>
            <w:pPr>
              <w:jc w:val="both"/>
            </w:pPr>
            <w:r>
              <w:rPr>
                <w:sz w:val="24"/>
              </w:rPr>
              <w:t>1.1.2.1内置透射光柯勒照明器，LED照明装置，照明亮度≥12V 100W卤素灯泡；能支持共览光强亮度≥25人；配备加装色温调整滤光片；</w:t>
            </w:r>
          </w:p>
          <w:p>
            <w:pPr>
              <w:jc w:val="both"/>
            </w:pPr>
            <w:r>
              <w:rPr>
                <w:sz w:val="24"/>
              </w:rPr>
              <w:t>1.1.3 聚光镜：宽范围应用，支持4X-100X物镜,无需拨动顶透镜,减少操作流程；</w:t>
            </w:r>
          </w:p>
          <w:p>
            <w:pPr>
              <w:jc w:val="both"/>
            </w:pPr>
            <w:r>
              <w:rPr>
                <w:sz w:val="24"/>
              </w:rPr>
              <w:t>1.1.4 物镜转盘：物镜转盘孔位≥6孔，带偏光/微分干涉扩展槽；</w:t>
            </w:r>
          </w:p>
          <w:p>
            <w:pPr>
              <w:jc w:val="both"/>
            </w:pPr>
            <w:r>
              <w:rPr>
                <w:sz w:val="24"/>
              </w:rPr>
              <w:t>1.1.5 物镜</w:t>
            </w:r>
          </w:p>
          <w:p>
            <w:pPr>
              <w:jc w:val="both"/>
            </w:pPr>
            <w:r>
              <w:rPr>
                <w:sz w:val="24"/>
              </w:rPr>
              <w:t>▲1.1.5.1 平场消色差物镜</w:t>
            </w:r>
          </w:p>
          <w:p>
            <w:pPr>
              <w:jc w:val="both"/>
            </w:pPr>
            <w:r>
              <w:rPr>
                <w:sz w:val="24"/>
              </w:rPr>
              <w:t>1.1.5.2 4x（数值孔径≥0.10，工作距离≥18.0mm， 视场数≥25mm）；</w:t>
            </w:r>
          </w:p>
          <w:p>
            <w:pPr>
              <w:jc w:val="both"/>
            </w:pPr>
            <w:r>
              <w:rPr>
                <w:sz w:val="24"/>
              </w:rPr>
              <w:t>1.1.5.3 10x（数值孔径≥0.25，工作距离≥10.0mm，视场数≥25mm）；</w:t>
            </w:r>
          </w:p>
          <w:p>
            <w:pPr>
              <w:jc w:val="both"/>
            </w:pPr>
            <w:r>
              <w:rPr>
                <w:sz w:val="24"/>
              </w:rPr>
              <w:t>1.1.5.4 20x（数值孔径≥0.40，工作距离≥1.2mm，视场数≥25mm）；</w:t>
            </w:r>
          </w:p>
          <w:p>
            <w:pPr>
              <w:jc w:val="both"/>
            </w:pPr>
            <w:r>
              <w:rPr>
                <w:sz w:val="24"/>
              </w:rPr>
              <w:t>1.1.5.5 40x（数值孔径≥0.65，工作距离≥0.6mm，视场数≥25mm）；</w:t>
            </w:r>
          </w:p>
          <w:p>
            <w:pPr>
              <w:jc w:val="both"/>
            </w:pPr>
            <w:r>
              <w:rPr>
                <w:sz w:val="24"/>
              </w:rPr>
              <w:t>▲1.1.5.6 100x（数值孔径≥1.25，工作距离≥0.15mm，视场数支持≥25mm）；</w:t>
            </w:r>
          </w:p>
          <w:p>
            <w:pPr>
              <w:jc w:val="both"/>
            </w:pPr>
            <w:r>
              <w:rPr>
                <w:sz w:val="24"/>
              </w:rPr>
              <w:t>1.1.6 载物台</w:t>
            </w:r>
          </w:p>
          <w:p>
            <w:pPr>
              <w:jc w:val="both"/>
            </w:pPr>
            <w:r>
              <w:rPr>
                <w:sz w:val="24"/>
              </w:rPr>
              <w:t>▲1.1.6.1同轴载物台，钢丝传动确保精准性；</w:t>
            </w:r>
          </w:p>
          <w:p>
            <w:pPr>
              <w:jc w:val="both"/>
            </w:pPr>
            <w:r>
              <w:rPr>
                <w:sz w:val="24"/>
              </w:rPr>
              <w:t>1.1.6.2 配有左手或右手低位传输控制装置，可扩展人机工程学低位手柄；</w:t>
            </w:r>
          </w:p>
          <w:p>
            <w:pPr>
              <w:jc w:val="both"/>
            </w:pPr>
            <w:r>
              <w:rPr>
                <w:sz w:val="24"/>
              </w:rPr>
              <w:t>1.1.6.3 配有旋转机构以及扭矩调节机构，安装位置可旋转角度≥255度；</w:t>
            </w:r>
          </w:p>
          <w:p>
            <w:pPr>
              <w:jc w:val="both"/>
            </w:pPr>
            <w:r>
              <w:rPr>
                <w:sz w:val="24"/>
              </w:rPr>
              <w:t>1.1.6.4 双片标本夹，可同时放置两块玻片标本观察；</w:t>
            </w:r>
          </w:p>
          <w:p>
            <w:pPr>
              <w:jc w:val="both"/>
            </w:pPr>
            <w:r>
              <w:rPr>
                <w:sz w:val="24"/>
              </w:rPr>
              <w:t>1.1.7 观察镜筒及目镜</w:t>
            </w:r>
          </w:p>
          <w:p>
            <w:pPr>
              <w:jc w:val="both"/>
            </w:pPr>
            <w:r>
              <w:rPr>
                <w:sz w:val="24"/>
              </w:rPr>
              <w:t>1.1.7.1 宽视野三目观察筒,视场数支持≥25mm；支持双眼观察及外接照相系统；</w:t>
            </w:r>
          </w:p>
          <w:p>
            <w:pPr>
              <w:jc w:val="both"/>
            </w:pPr>
            <w:r>
              <w:rPr>
                <w:sz w:val="24"/>
              </w:rPr>
              <w:t>1.1.7.2 屈光度可调；观察筒倾角可达30度，瞳间距调节范围≥50mm；</w:t>
            </w:r>
          </w:p>
          <w:p>
            <w:pPr>
              <w:jc w:val="both"/>
            </w:pPr>
            <w:r>
              <w:rPr>
                <w:sz w:val="24"/>
              </w:rPr>
              <w:t>1.1.7.3 三档分光，分光比为双目/摄像：100%/0、20%/80%、0/100%；</w:t>
            </w:r>
          </w:p>
          <w:p>
            <w:pPr>
              <w:jc w:val="both"/>
            </w:pPr>
            <w:r>
              <w:rPr>
                <w:sz w:val="24"/>
              </w:rPr>
              <w:t>1.1.7.4 目镜：宽视野10X目镜两个；均带屈光调焦较正环偏光装置、起偏镜与检偏镜各一个，起偏镜可360度旋转观察；</w:t>
            </w:r>
          </w:p>
          <w:p>
            <w:pPr>
              <w:jc w:val="both"/>
            </w:pPr>
            <w:r>
              <w:rPr>
                <w:sz w:val="24"/>
              </w:rPr>
              <w:t>▲1.1.7.5 可升级≥8孔位荧光滤块转盘荧光系统，≥25人多人共览；</w:t>
            </w:r>
          </w:p>
          <w:p>
            <w:pPr>
              <w:jc w:val="both"/>
            </w:pPr>
            <w:r>
              <w:rPr>
                <w:sz w:val="24"/>
              </w:rPr>
              <w:t>1.1.7.6 光学元件采用无铅玻璃，所有光学部件均防霉处理，确保在湿热环境中工作不受影响；</w:t>
            </w:r>
          </w:p>
          <w:p>
            <w:pPr>
              <w:jc w:val="both"/>
            </w:pPr>
            <w:r>
              <w:rPr>
                <w:sz w:val="24"/>
              </w:rPr>
              <w:t>1.2显微镜相机</w:t>
            </w:r>
          </w:p>
          <w:p>
            <w:pPr>
              <w:jc w:val="both"/>
            </w:pPr>
            <w:r>
              <w:rPr>
                <w:sz w:val="24"/>
              </w:rPr>
              <w:t>1.2.1 与显微镜匹配国际通用的C型显微摄像接口，内置变焦调节装置；</w:t>
            </w:r>
          </w:p>
          <w:p>
            <w:pPr>
              <w:jc w:val="both"/>
            </w:pPr>
            <w:r>
              <w:rPr>
                <w:sz w:val="24"/>
              </w:rPr>
              <w:t>1.2.2 传感器：高清大靶面芯片，芯片尺寸≥1/1.2英寸；</w:t>
            </w:r>
          </w:p>
          <w:p>
            <w:pPr>
              <w:jc w:val="both"/>
            </w:pPr>
            <w:r>
              <w:rPr>
                <w:sz w:val="24"/>
              </w:rPr>
              <w:t>1.2.3 有效分辨率≥3450×2150（至少800万4K高清相素）；</w:t>
            </w:r>
          </w:p>
          <w:p>
            <w:pPr>
              <w:jc w:val="both"/>
            </w:pPr>
            <w:r>
              <w:rPr>
                <w:sz w:val="24"/>
              </w:rPr>
              <w:t>1.2.4 视频模式：3450×2150（≥45帧/秒）、1900×1060(≥70帧/秒）；</w:t>
            </w:r>
          </w:p>
          <w:p>
            <w:pPr>
              <w:jc w:val="both"/>
            </w:pPr>
            <w:r>
              <w:rPr>
                <w:sz w:val="24"/>
              </w:rPr>
              <w:t>1.2.5 传输方式：高速USB3.0传输；</w:t>
            </w:r>
          </w:p>
          <w:p>
            <w:pPr>
              <w:jc w:val="both"/>
            </w:pPr>
            <w:r>
              <w:rPr>
                <w:sz w:val="24"/>
              </w:rPr>
              <w:t>1.3 图文分析软件</w:t>
            </w:r>
          </w:p>
          <w:p>
            <w:pPr>
              <w:jc w:val="both"/>
            </w:pPr>
            <w:r>
              <w:rPr>
                <w:sz w:val="24"/>
              </w:rPr>
              <w:t>1.3.1 采集图像：支持多种型号显微相机，支持TWAIN（一种软件和数码相机、扫描仪等图像输入设备之间的通讯标准）接口；</w:t>
            </w:r>
          </w:p>
          <w:p>
            <w:pPr>
              <w:jc w:val="both"/>
            </w:pPr>
            <w:r>
              <w:rPr>
                <w:sz w:val="24"/>
              </w:rPr>
              <w:t>1.3.2 对图像中的直线显示线上灰度强度变化，从而反映图像中的变化特性；</w:t>
            </w:r>
          </w:p>
          <w:p>
            <w:pPr>
              <w:jc w:val="both"/>
            </w:pPr>
            <w:r>
              <w:rPr>
                <w:sz w:val="24"/>
              </w:rPr>
              <w:t>1.3.3 白平衡校正：明场背景图像暗角消除，一键平场优化；</w:t>
            </w:r>
          </w:p>
          <w:p>
            <w:pPr>
              <w:jc w:val="both"/>
            </w:pPr>
            <w:r>
              <w:rPr>
                <w:sz w:val="24"/>
              </w:rPr>
              <w:t>1.3.4 黑平衡校正：全黑背景图像降噪（用于拍摄荧光图片）；</w:t>
            </w:r>
          </w:p>
          <w:p>
            <w:pPr>
              <w:jc w:val="both"/>
            </w:pPr>
            <w:r>
              <w:rPr>
                <w:sz w:val="24"/>
              </w:rPr>
              <w:t>1.3.5 具有可在图像上添加注释、箭头等功能，可表示图像中的重点关注部位；</w:t>
            </w:r>
          </w:p>
          <w:p>
            <w:pPr>
              <w:jc w:val="both"/>
            </w:pPr>
            <w:r>
              <w:rPr>
                <w:sz w:val="24"/>
              </w:rPr>
              <w:t>1.3.6 调节亮度、对比度、伽玛值以及灰度显示范围，并可单独调节RGB各通道亮度，方便对图像添加伪彩色、改变色彩模式以及色阶位数等功能，可进行改变图像分辨率、旋转图像等各种操作，支持反转、低通、高通、锐化等滤镜，使图像关注点和各荧光通道获得显示效果；</w:t>
            </w:r>
          </w:p>
          <w:p>
            <w:pPr>
              <w:jc w:val="both"/>
            </w:pPr>
            <w:r>
              <w:rPr>
                <w:sz w:val="24"/>
              </w:rPr>
              <w:t>1.3.7 输入硬件信息即可实现添加标尺功能，显示图像放大比例关系；</w:t>
            </w:r>
          </w:p>
          <w:p>
            <w:pPr>
              <w:jc w:val="both"/>
            </w:pPr>
            <w:r>
              <w:rPr>
                <w:sz w:val="24"/>
              </w:rPr>
              <w:t>1.3.8 可以做景深扩展,不同景深位置合成图像；</w:t>
            </w:r>
          </w:p>
          <w:p>
            <w:pPr>
              <w:jc w:val="both"/>
            </w:pPr>
            <w:r>
              <w:rPr>
                <w:sz w:val="24"/>
              </w:rPr>
              <w:t>1.3.9 可以对多幅视野相邻的图像做大图拼接，方便获取高分辨率大视野图像；实时预览拼接图片，实时获取大视野图片；</w:t>
            </w:r>
          </w:p>
          <w:p>
            <w:pPr>
              <w:jc w:val="both"/>
            </w:pPr>
            <w:r>
              <w:rPr>
                <w:sz w:val="24"/>
              </w:rPr>
              <w:t>1.3.10 可以测量直线长度、曲线长度、矩形面积、圆面积、周长、角度等多个参数，并把测量结果输出到EXCEL，便于后期分析处理；</w:t>
            </w:r>
          </w:p>
          <w:p>
            <w:pPr>
              <w:jc w:val="both"/>
            </w:pPr>
            <w:r>
              <w:rPr>
                <w:sz w:val="24"/>
              </w:rPr>
              <w:t>1.3.11 可以从之前软件获取的图像中再次调入设备和采集参数的信息，以便重复用相同参数进行成像；</w:t>
            </w:r>
          </w:p>
          <w:p>
            <w:pPr>
              <w:jc w:val="both"/>
            </w:pPr>
            <w:r>
              <w:rPr>
                <w:sz w:val="24"/>
              </w:rPr>
              <w:t>1.3.12 手动计数功能，支持分组功能，数据可输出到Excel；</w:t>
            </w:r>
          </w:p>
          <w:p>
            <w:pPr>
              <w:jc w:val="both"/>
            </w:pPr>
            <w:r>
              <w:rPr>
                <w:sz w:val="24"/>
              </w:rPr>
              <w:t>1.3.13 图文报告，可编辑图文报告模板，一键生成 Excel、Word；</w:t>
            </w:r>
          </w:p>
          <w:p>
            <w:pPr>
              <w:jc w:val="both"/>
            </w:pPr>
            <w:r>
              <w:rPr>
                <w:sz w:val="24"/>
              </w:rPr>
              <w:t>1.3.14 软件可免费升级；</w:t>
            </w:r>
          </w:p>
          <w:p>
            <w:pPr>
              <w:jc w:val="both"/>
            </w:pPr>
            <w:r>
              <w:rPr>
                <w:sz w:val="24"/>
              </w:rPr>
              <w:t>1.4电脑</w:t>
            </w:r>
          </w:p>
          <w:p>
            <w:pPr>
              <w:jc w:val="both"/>
            </w:pPr>
            <w:r>
              <w:rPr>
                <w:sz w:val="24"/>
              </w:rPr>
              <w:t>1.4.1电脑配置应不低于以下参数：i7 11代或以上，处理器2.4GHz四核或以上，内存≥16GB，硬盘容量不低于256SSD+2T，2G独立显卡，≥23寸高清屏幕（至少1080P），高速USB3.0接口；</w:t>
            </w:r>
          </w:p>
          <w:p>
            <w:pPr>
              <w:jc w:val="both"/>
            </w:pPr>
            <w:r>
              <w:rPr>
                <w:sz w:val="24"/>
              </w:rPr>
              <w:t>2.配置要求</w:t>
            </w:r>
          </w:p>
          <w:p>
            <w:pPr>
              <w:jc w:val="both"/>
            </w:pPr>
            <w:r>
              <w:rPr>
                <w:sz w:val="24"/>
              </w:rPr>
              <w:t>2.1  显微镜机架:1台；</w:t>
            </w:r>
          </w:p>
          <w:p>
            <w:pPr>
              <w:jc w:val="both"/>
            </w:pPr>
            <w:r>
              <w:rPr>
                <w:sz w:val="24"/>
              </w:rPr>
              <w:t>2.2  电源线:1条；</w:t>
            </w:r>
          </w:p>
          <w:p>
            <w:pPr>
              <w:jc w:val="both"/>
            </w:pPr>
            <w:r>
              <w:rPr>
                <w:sz w:val="24"/>
              </w:rPr>
              <w:t>2.3  防尘罩:1个；</w:t>
            </w:r>
          </w:p>
          <w:p>
            <w:pPr>
              <w:jc w:val="both"/>
            </w:pPr>
            <w:r>
              <w:rPr>
                <w:sz w:val="24"/>
              </w:rPr>
              <w:t>2.4  三目镜筒:1个；</w:t>
            </w:r>
          </w:p>
          <w:p>
            <w:pPr>
              <w:jc w:val="both"/>
            </w:pPr>
            <w:r>
              <w:rPr>
                <w:sz w:val="24"/>
              </w:rPr>
              <w:t>2.5  目镜:2个；</w:t>
            </w:r>
          </w:p>
          <w:p>
            <w:pPr>
              <w:jc w:val="both"/>
            </w:pPr>
            <w:r>
              <w:rPr>
                <w:sz w:val="24"/>
              </w:rPr>
              <w:t>2.6  物镜转盘:1个；</w:t>
            </w:r>
          </w:p>
          <w:p>
            <w:pPr>
              <w:jc w:val="both"/>
            </w:pPr>
            <w:r>
              <w:rPr>
                <w:sz w:val="24"/>
              </w:rPr>
              <w:t>2.7  右手位载物台:1个；</w:t>
            </w:r>
          </w:p>
          <w:p>
            <w:pPr>
              <w:jc w:val="both"/>
            </w:pPr>
            <w:r>
              <w:rPr>
                <w:sz w:val="24"/>
              </w:rPr>
              <w:t>2.8  LED光源:1个；</w:t>
            </w:r>
          </w:p>
          <w:p>
            <w:pPr>
              <w:jc w:val="both"/>
            </w:pPr>
            <w:r>
              <w:rPr>
                <w:sz w:val="24"/>
              </w:rPr>
              <w:t>2.9  聚光镜:1个；</w:t>
            </w:r>
          </w:p>
          <w:p>
            <w:pPr>
              <w:jc w:val="both"/>
            </w:pPr>
            <w:r>
              <w:rPr>
                <w:sz w:val="24"/>
              </w:rPr>
              <w:t>2.10 4X多功能物镜:1个；</w:t>
            </w:r>
          </w:p>
          <w:p>
            <w:pPr>
              <w:jc w:val="both"/>
            </w:pPr>
            <w:r>
              <w:rPr>
                <w:sz w:val="24"/>
              </w:rPr>
              <w:t>2.11 10X多功能物镜:1个；</w:t>
            </w:r>
          </w:p>
          <w:p>
            <w:pPr>
              <w:jc w:val="both"/>
            </w:pPr>
            <w:r>
              <w:rPr>
                <w:sz w:val="24"/>
              </w:rPr>
              <w:t>2.12 20X多功能物镜:1个；</w:t>
            </w:r>
          </w:p>
          <w:p>
            <w:pPr>
              <w:jc w:val="both"/>
            </w:pPr>
            <w:r>
              <w:rPr>
                <w:sz w:val="24"/>
              </w:rPr>
              <w:t>2.13 40X多功能物镜:1个；</w:t>
            </w:r>
          </w:p>
          <w:p>
            <w:pPr>
              <w:jc w:val="both"/>
            </w:pPr>
            <w:r>
              <w:rPr>
                <w:sz w:val="24"/>
              </w:rPr>
              <w:t>2.14 100X多功能物镜（油）:1个；</w:t>
            </w:r>
          </w:p>
          <w:p>
            <w:pPr>
              <w:jc w:val="both"/>
            </w:pPr>
            <w:r>
              <w:rPr>
                <w:sz w:val="24"/>
              </w:rPr>
              <w:t>2.15 偏光装置(检偏镜、起偏镜):1套；</w:t>
            </w:r>
          </w:p>
          <w:p>
            <w:pPr>
              <w:jc w:val="both"/>
            </w:pPr>
            <w:r>
              <w:rPr>
                <w:sz w:val="24"/>
              </w:rPr>
              <w:t>2.16 中文说明书及操作手册:1本；</w:t>
            </w:r>
          </w:p>
          <w:p>
            <w:pPr>
              <w:jc w:val="both"/>
            </w:pPr>
            <w:r>
              <w:rPr>
                <w:sz w:val="24"/>
              </w:rPr>
              <w:t>2.17 高清显微镜相机:1套；</w:t>
            </w:r>
          </w:p>
          <w:p>
            <w:pPr>
              <w:jc w:val="both"/>
            </w:pPr>
            <w:r>
              <w:rPr>
                <w:sz w:val="24"/>
              </w:rPr>
              <w:t>2.18 台式电脑: 1套。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r>
        <w:rPr>
          <w:b/>
        </w:rPr>
        <w:t>附表一十一：半自动定氮仪</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both"/>
            </w:pPr>
            <w:r>
              <w:rPr>
                <w:sz w:val="24"/>
              </w:rPr>
              <w:t>1.技术指标</w:t>
            </w:r>
          </w:p>
          <w:p>
            <w:pPr>
              <w:jc w:val="both"/>
            </w:pPr>
            <w:r>
              <w:rPr>
                <w:sz w:val="24"/>
              </w:rPr>
              <w:t>1.1 采用国际及中国国家标准收载的凯氏定氮方法：浓硫酸消化、碱性环境蒸汽蒸馏、硼酸吸收、指示剂滴定终点颜色判定法；</w:t>
            </w:r>
          </w:p>
          <w:p>
            <w:pPr>
              <w:jc w:val="both"/>
            </w:pPr>
            <w:r>
              <w:rPr>
                <w:sz w:val="24"/>
              </w:rPr>
              <w:t>1.2 检测范围：0.1～205mg 氮；回收率:99～101%（0.1mg～205mg氮时）；重现性RSD≤0.5%；</w:t>
            </w:r>
          </w:p>
          <w:p>
            <w:pPr>
              <w:jc w:val="both"/>
            </w:pPr>
            <w:r>
              <w:rPr>
                <w:sz w:val="24"/>
              </w:rPr>
              <w:t>1.3 定氮仪主机内置操作系统，液晶显示屏，带中英文操作界面。带自动蒸馏控制系统，包括：样品稀释、碱液添加、自动蒸馏以及消化管自动排空；</w:t>
            </w:r>
          </w:p>
          <w:p>
            <w:pPr>
              <w:jc w:val="both"/>
            </w:pPr>
            <w:r>
              <w:rPr>
                <w:sz w:val="24"/>
              </w:rPr>
              <w:t>▲1.4 具备如下功能：可通过改变试剂的添加顺序，在消化液中加入稀释水后立即通入蒸汽，通过蒸汽的搅拌作用使消化液中的浓硫酸被充分稀释，降低随后浓碱加入时的反应强度，以改善蒸馏效果（应提供中文版本用户手册，描述此功能的原理及过程，以确认该功能的存在）；</w:t>
            </w:r>
          </w:p>
          <w:p>
            <w:pPr>
              <w:jc w:val="both"/>
            </w:pPr>
            <w:r>
              <w:rPr>
                <w:sz w:val="24"/>
              </w:rPr>
              <w:t>1.5 具备双蒸馏模式：蒸汽平衡添加蒸馏模式（蒸馏时的顺序：加水稀释、通入蒸汽和加碱液，处理消化后结成盐饼的样品非常温和安全有效）和延时蒸馏模式（加水、加碱液、通入蒸汽）；</w:t>
            </w:r>
          </w:p>
          <w:p>
            <w:pPr>
              <w:jc w:val="both"/>
            </w:pPr>
            <w:r>
              <w:rPr>
                <w:sz w:val="24"/>
              </w:rPr>
              <w:t>1.6 蒸馏馏出液温度监控系统：温度探头位于冷凝器下方，可直接测定馏出液温度，以监控是否有意外操作导致氨损失，保证分析结果的准确可靠；</w:t>
            </w:r>
          </w:p>
          <w:p>
            <w:pPr>
              <w:jc w:val="both"/>
            </w:pPr>
            <w:r>
              <w:rPr>
                <w:sz w:val="24"/>
              </w:rPr>
              <w:t>1.7 具备智能安全监控系统，确保操作者安全；</w:t>
            </w:r>
          </w:p>
          <w:p>
            <w:pPr>
              <w:jc w:val="both"/>
            </w:pPr>
            <w:r>
              <w:rPr>
                <w:sz w:val="24"/>
              </w:rPr>
              <w:t>1.7.1 旋转式安全门：若安全门没有关闭或一旦安全门被意外打开，仪器应会停止所有操作；</w:t>
            </w:r>
          </w:p>
          <w:p>
            <w:pPr>
              <w:jc w:val="both"/>
            </w:pPr>
            <w:r>
              <w:rPr>
                <w:sz w:val="24"/>
              </w:rPr>
              <w:t>1.7.2 试管在位：若没有试管放在蒸馏台上，仪器不会执行任何操作；</w:t>
            </w:r>
          </w:p>
          <w:p>
            <w:pPr>
              <w:jc w:val="both"/>
            </w:pPr>
            <w:r>
              <w:rPr>
                <w:sz w:val="24"/>
              </w:rPr>
              <w:t>1.7.3 试管更换传感器：若没有更换试管就开始下一次分析时应会报警，且在确认前不能开始任何操作；</w:t>
            </w:r>
          </w:p>
          <w:p>
            <w:pPr>
              <w:jc w:val="both"/>
            </w:pPr>
            <w:r>
              <w:rPr>
                <w:sz w:val="24"/>
              </w:rPr>
              <w:t>1.7.4 有蒸汽发生器液位/过压传感器等安全保护措施；</w:t>
            </w:r>
          </w:p>
          <w:p>
            <w:pPr>
              <w:jc w:val="both"/>
            </w:pPr>
            <w:r>
              <w:rPr>
                <w:sz w:val="24"/>
              </w:rPr>
              <w:t>▲1.8 通用型消化管接头：一个消化管接头即可适配100ml/250ml/400ml/750ml消化管，满足不同分析需要；</w:t>
            </w:r>
          </w:p>
          <w:p>
            <w:pPr>
              <w:jc w:val="both"/>
            </w:pPr>
            <w:r>
              <w:rPr>
                <w:sz w:val="24"/>
              </w:rPr>
              <w:t>1.9 消化炉</w:t>
            </w:r>
          </w:p>
          <w:p>
            <w:pPr>
              <w:jc w:val="both"/>
            </w:pPr>
            <w:r>
              <w:rPr>
                <w:sz w:val="24"/>
              </w:rPr>
              <w:t>1.9.1 8位铝模块式整体加热，以保证加热消化的均匀性；</w:t>
            </w:r>
          </w:p>
          <w:p>
            <w:pPr>
              <w:jc w:val="both"/>
            </w:pPr>
            <w:r>
              <w:rPr>
                <w:sz w:val="24"/>
              </w:rPr>
              <w:t>1.9.2 同时适用于250ml/400ml消化管；</w:t>
            </w:r>
          </w:p>
          <w:p>
            <w:pPr>
              <w:jc w:val="both"/>
            </w:pPr>
            <w:r>
              <w:rPr>
                <w:sz w:val="24"/>
              </w:rPr>
              <w:t>1.9.3 可对消化参数--温度和时间进行设定，带有超温保护装置；</w:t>
            </w:r>
          </w:p>
          <w:p>
            <w:pPr>
              <w:jc w:val="both"/>
            </w:pPr>
            <w:r>
              <w:rPr>
                <w:sz w:val="24"/>
              </w:rPr>
              <w:t>1.9.4 配置排废罩，可将消化过程中产生的废气排走，提供一致的消化条件，并改善工作环境；</w:t>
            </w:r>
          </w:p>
          <w:p>
            <w:pPr>
              <w:jc w:val="both"/>
            </w:pPr>
            <w:r>
              <w:rPr>
                <w:sz w:val="24"/>
              </w:rPr>
              <w:t>1.10 其他相关内容</w:t>
            </w:r>
          </w:p>
          <w:p>
            <w:pPr>
              <w:jc w:val="both"/>
            </w:pPr>
            <w:r>
              <w:rPr>
                <w:sz w:val="24"/>
              </w:rPr>
              <w:t>1.10.1 安装调试经用户验收当天起,质量保证期不少于1年；</w:t>
            </w:r>
          </w:p>
          <w:p>
            <w:pPr>
              <w:jc w:val="both"/>
            </w:pPr>
            <w:r>
              <w:rPr>
                <w:sz w:val="24"/>
              </w:rPr>
              <w:t>1.10.2 应有生产厂家直接提供终身维修；</w:t>
            </w:r>
          </w:p>
          <w:p>
            <w:pPr>
              <w:jc w:val="both"/>
            </w:pPr>
            <w:r>
              <w:rPr>
                <w:sz w:val="24"/>
              </w:rPr>
              <w:t>1.10.3 仪器安装时应开展现场免费培训，至少应使使用方2人具备独立操作设备能力；</w:t>
            </w:r>
          </w:p>
          <w:p>
            <w:pPr>
              <w:jc w:val="both"/>
            </w:pPr>
            <w:r>
              <w:rPr>
                <w:sz w:val="24"/>
              </w:rPr>
              <w:t>2.配置要求</w:t>
            </w:r>
          </w:p>
          <w:p>
            <w:pPr>
              <w:jc w:val="both"/>
            </w:pPr>
            <w:r>
              <w:rPr>
                <w:sz w:val="24"/>
              </w:rPr>
              <w:t>2.1  消化系统：1套，包括：</w:t>
            </w:r>
          </w:p>
          <w:p>
            <w:pPr>
              <w:jc w:val="both"/>
            </w:pPr>
            <w:r>
              <w:rPr>
                <w:sz w:val="24"/>
              </w:rPr>
              <w:t>2.1.1消化炉1台；</w:t>
            </w:r>
          </w:p>
          <w:p>
            <w:pPr>
              <w:jc w:val="both"/>
            </w:pPr>
            <w:r>
              <w:rPr>
                <w:sz w:val="24"/>
              </w:rPr>
              <w:t>2.1.2消化管架1个；</w:t>
            </w:r>
          </w:p>
          <w:p>
            <w:pPr>
              <w:jc w:val="both"/>
            </w:pPr>
            <w:r>
              <w:rPr>
                <w:sz w:val="24"/>
              </w:rPr>
              <w:t>2.1.3带负压的排废罩1个；</w:t>
            </w:r>
          </w:p>
          <w:p>
            <w:pPr>
              <w:jc w:val="both"/>
            </w:pPr>
            <w:r>
              <w:rPr>
                <w:sz w:val="24"/>
              </w:rPr>
              <w:t>2.2定氮仪系统：1套，包括：</w:t>
            </w:r>
          </w:p>
          <w:p>
            <w:pPr>
              <w:jc w:val="both"/>
            </w:pPr>
            <w:r>
              <w:rPr>
                <w:sz w:val="24"/>
              </w:rPr>
              <w:t>2.2.1主机1台；</w:t>
            </w:r>
          </w:p>
          <w:p>
            <w:pPr>
              <w:jc w:val="both"/>
            </w:pPr>
            <w:r>
              <w:rPr>
                <w:sz w:val="24"/>
              </w:rPr>
              <w:t>2.2.2 250ml接收瓶1个；</w:t>
            </w:r>
          </w:p>
          <w:p>
            <w:pPr>
              <w:jc w:val="both"/>
            </w:pPr>
            <w:r>
              <w:rPr>
                <w:sz w:val="24"/>
              </w:rPr>
              <w:t>2.2.3 100ml和250ml消化管各1只；</w:t>
            </w:r>
          </w:p>
          <w:p>
            <w:pPr>
              <w:jc w:val="both"/>
            </w:pPr>
            <w:r>
              <w:rPr>
                <w:sz w:val="24"/>
              </w:rPr>
              <w:t>2.2.4 带有液位传感器的碱桶、水桶、废液桶各1个；</w:t>
            </w:r>
          </w:p>
          <w:p>
            <w:pPr>
              <w:jc w:val="both"/>
            </w:pPr>
            <w:r>
              <w:rPr>
                <w:sz w:val="24"/>
              </w:rPr>
              <w:t>2.2.5 通用消化管接头1个；</w:t>
            </w:r>
          </w:p>
          <w:p>
            <w:pPr>
              <w:jc w:val="both"/>
            </w:pPr>
            <w:r>
              <w:rPr>
                <w:sz w:val="24"/>
              </w:rPr>
              <w:t>2.2.6 消化管夹1个；</w:t>
            </w:r>
          </w:p>
          <w:p>
            <w:pPr>
              <w:jc w:val="both"/>
            </w:pPr>
            <w:r>
              <w:rPr>
                <w:sz w:val="24"/>
              </w:rPr>
              <w:t>2.3 标配附件：</w:t>
            </w:r>
          </w:p>
          <w:p>
            <w:pPr>
              <w:jc w:val="both"/>
            </w:pPr>
            <w:r>
              <w:rPr>
                <w:sz w:val="24"/>
              </w:rPr>
              <w:t>2.3.1 消化管8只（≥250ml）；</w:t>
            </w:r>
          </w:p>
          <w:p>
            <w:pPr>
              <w:jc w:val="both"/>
            </w:pPr>
            <w:r>
              <w:rPr>
                <w:sz w:val="24"/>
              </w:rPr>
              <w:t>2.3.2 催化剂1000片；</w:t>
            </w:r>
          </w:p>
          <w:p>
            <w:pPr>
              <w:jc w:val="both"/>
            </w:pPr>
            <w:r>
              <w:rPr>
                <w:sz w:val="24"/>
              </w:rPr>
              <w:t>2.4 标配技术资料：仪器操作手册、维护手册、应用报告、凯氏消化手册等。</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p>
      <w:pPr>
        <w:ind w:firstLine="480"/>
      </w:pPr>
    </w:p>
    <w:p>
      <w:r>
        <w:t xml:space="preserve"> </w:t>
      </w:r>
    </w:p>
    <w:p/>
    <w:p>
      <w:pPr>
        <w:jc w:val="center"/>
      </w:pPr>
      <w:r>
        <w:rPr>
          <w:b/>
          <w:sz w:val="36"/>
        </w:rPr>
        <w:t>第三章 投标人须知</w:t>
      </w:r>
    </w:p>
    <w:p>
      <w:pPr>
        <w:ind w:firstLine="480"/>
      </w:pPr>
      <w: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t>1.采购代理机构：本项目是指智林招标（广东）有限公司，负责整个采购活动的组织，依法负责编制和发布招标文件，对招标文件拥有最终的解释权，不以任何身份出任评标委员会成员。</w:t>
      </w:r>
    </w:p>
    <w:p>
      <w:pPr>
        <w:ind w:firstLine="480"/>
      </w:pPr>
      <w:r>
        <w:t>2.采购人：本项目是指中山市食品药品检验所，是采购活动当事人之一，负责项目的整体规划、技术方案可行性设计论证与实施，作为合同采购方（用户）的主体承担质疑回复、履行合同、验收与评价等义务。</w:t>
      </w:r>
    </w:p>
    <w:p>
      <w:pPr>
        <w:ind w:firstLine="480"/>
      </w:pPr>
      <w:r>
        <w:t>3.投标人：是指在云平台项目采购系统完成本项目投标登记并提交电子投标文件的供应商。</w:t>
      </w:r>
    </w:p>
    <w:p>
      <w:pPr>
        <w:ind w:firstLine="480"/>
      </w:pPr>
      <w:r>
        <w:t>4.“评标委员会”是指根据《中华人民共和国政府采购法》等法律法规规定，由采购人代表和有关专家组成以确定中标供应商或者推荐中标候选人的临时组织。</w:t>
      </w:r>
    </w:p>
    <w:p>
      <w:pPr>
        <w:ind w:firstLine="480"/>
      </w:pPr>
      <w:r>
        <w:t>5.“中标供应商”是指经评标委员会评审确定的对招标文件做出实质性响应，经采购人按照规定在评标委员会推荐的中标候选人中确定的或评标委员会受采购人委托直接确认的投标人。</w:t>
      </w:r>
    </w:p>
    <w:p>
      <w:pPr>
        <w:ind w:firstLine="480"/>
      </w:pPr>
      <w:r>
        <w:t>6.招标文件：是指包括招标公告和招标文件及其补充、变更和澄清等一系列文件。</w:t>
      </w:r>
    </w:p>
    <w:p>
      <w:pPr>
        <w:ind w:firstLine="480"/>
      </w:pPr>
      <w:r>
        <w:t>7.电子投标文件：是指使用云平台提供的投标客户端制作加密并上传到系统的投标文件。（投标客户端制作投标文件时，生成的后缀为“.标书”的文件）</w:t>
      </w:r>
    </w:p>
    <w:p>
      <w:pPr>
        <w:ind w:firstLine="480"/>
      </w:pPr>
      <w:r>
        <w:t>8.备用电子投标文件：是指使用云平台提供的投标客户端制作电子投标文件时，同时生成的同一版本的备用投标文件。（投标客户端制作投标文件时，生成的后缀为“.备用标书”的文件）</w:t>
      </w:r>
    </w:p>
    <w:p>
      <w:pPr>
        <w:ind w:firstLine="480"/>
      </w:pPr>
      <w: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t>12.“法定代表人”：在电子投标（响应）文件及相关的其他电子资料中，涉及“法定代表人”应在纸质投标（响应）文件上进行手写签名，或通过投标客户端使用电子签名完成。</w:t>
      </w:r>
    </w:p>
    <w:p>
      <w:pPr>
        <w:ind w:firstLine="480"/>
      </w:pPr>
      <w:r>
        <w:t>13.日期、天数、时间：未有特别说明时，均为公历日（天）及北京时间。</w:t>
      </w:r>
    </w:p>
    <w:p>
      <w:pPr>
        <w:ind w:firstLine="480"/>
      </w:pPr>
    </w:p>
    <w:p>
      <w:r>
        <w:rPr>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1"/>
        <w:gridCol w:w="2186"/>
        <w:gridCol w:w="531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r>
              <w:t>本表与招标文件对应章节的内容若不一致，以本表为准。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序号</w:t>
            </w:r>
          </w:p>
        </w:tc>
        <w:tc>
          <w:tcPr>
            <w:tcW w:w="2252" w:type="dxa"/>
          </w:tcPr>
          <w:p>
            <w:r>
              <w:t>条款名称</w:t>
            </w:r>
          </w:p>
        </w:tc>
        <w:tc>
          <w:tcPr>
            <w:tcW w:w="5004" w:type="dxa"/>
          </w:tcPr>
          <w:p>
            <w:r>
              <w:t>内容及要求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w:t>
            </w:r>
          </w:p>
        </w:tc>
        <w:tc>
          <w:tcPr>
            <w:tcW w:w="2252" w:type="dxa"/>
          </w:tcPr>
          <w:p>
            <w:r>
              <w:t>采购包情况</w:t>
            </w:r>
          </w:p>
        </w:tc>
        <w:tc>
          <w:tcPr>
            <w:tcW w:w="5004" w:type="dxa"/>
          </w:tcPr>
          <w:p>
            <w:r>
              <w:t>本项目共1个采购包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2</w:t>
            </w:r>
          </w:p>
        </w:tc>
        <w:tc>
          <w:tcPr>
            <w:tcW w:w="2252" w:type="dxa"/>
          </w:tcPr>
          <w:p>
            <w:r>
              <w:t>开标方式</w:t>
            </w:r>
          </w:p>
        </w:tc>
        <w:tc>
          <w:tcPr>
            <w:tcW w:w="5004" w:type="dxa"/>
          </w:tcPr>
          <w:p>
            <w:r>
              <w:t>远程电子开标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3</w:t>
            </w:r>
          </w:p>
        </w:tc>
        <w:tc>
          <w:tcPr>
            <w:tcW w:w="2252" w:type="dxa"/>
          </w:tcPr>
          <w:p>
            <w:r>
              <w:t>评标方式</w:t>
            </w:r>
          </w:p>
        </w:tc>
        <w:tc>
          <w:tcPr>
            <w:tcW w:w="5004" w:type="dxa"/>
          </w:tcPr>
          <w:p>
            <w:r>
              <w:t>现场电子评标（供应商应当审慎标记各评审项的应答部分，标记内容清晰且完整，否则将自行承担不利后果）</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4</w:t>
            </w:r>
          </w:p>
        </w:tc>
        <w:tc>
          <w:tcPr>
            <w:tcW w:w="2252" w:type="dxa"/>
          </w:tcPr>
          <w:p>
            <w:r>
              <w:t>评标办法</w:t>
            </w:r>
          </w:p>
        </w:tc>
        <w:tc>
          <w:tcPr>
            <w:tcW w:w="5004" w:type="dxa"/>
          </w:tcPr>
          <w:p>
            <w:r>
              <w:t>采购包1：综合评分法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5</w:t>
            </w:r>
          </w:p>
        </w:tc>
        <w:tc>
          <w:tcPr>
            <w:tcW w:w="2252" w:type="dxa"/>
          </w:tcPr>
          <w:p>
            <w:r>
              <w:t>报价形式</w:t>
            </w:r>
          </w:p>
        </w:tc>
        <w:tc>
          <w:tcPr>
            <w:tcW w:w="5004" w:type="dxa"/>
          </w:tcPr>
          <w:p/>
          <w:p>
            <w:r>
              <w:t>采购包1：总价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6</w:t>
            </w:r>
          </w:p>
        </w:tc>
        <w:tc>
          <w:tcPr>
            <w:tcW w:w="2252" w:type="dxa"/>
          </w:tcPr>
          <w:p>
            <w:r>
              <w:t>报价要求</w:t>
            </w:r>
          </w:p>
        </w:tc>
        <w:tc>
          <w:tcPr>
            <w:tcW w:w="5004" w:type="dxa"/>
          </w:tcPr>
          <w:p>
            <w:r>
              <w:t>各采购包报价不超过预算总价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7</w:t>
            </w:r>
          </w:p>
        </w:tc>
        <w:tc>
          <w:tcPr>
            <w:tcW w:w="2252" w:type="dxa"/>
          </w:tcPr>
          <w:p>
            <w:r>
              <w:t>现场踏勘</w:t>
            </w:r>
          </w:p>
        </w:tc>
        <w:tc>
          <w:tcPr>
            <w:tcW w:w="5004" w:type="dxa"/>
          </w:tcPr>
          <w:p/>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8</w:t>
            </w:r>
          </w:p>
        </w:tc>
        <w:tc>
          <w:tcPr>
            <w:tcW w:w="2252" w:type="dxa"/>
          </w:tcPr>
          <w:p>
            <w:r>
              <w:t>投标有效期</w:t>
            </w:r>
          </w:p>
        </w:tc>
        <w:tc>
          <w:tcPr>
            <w:tcW w:w="5004" w:type="dxa"/>
          </w:tcPr>
          <w:p>
            <w:r>
              <w:t>从提交投标（响应）文件的截止之日起90日历天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9</w:t>
            </w:r>
          </w:p>
        </w:tc>
        <w:tc>
          <w:tcPr>
            <w:tcW w:w="2252" w:type="dxa"/>
          </w:tcPr>
          <w:p>
            <w:r>
              <w:t>投标保证金</w:t>
            </w:r>
          </w:p>
        </w:tc>
        <w:tc>
          <w:tcPr>
            <w:tcW w:w="5004" w:type="dxa"/>
          </w:tcPr>
          <w:p>
            <w:pPr>
              <w:ind w:firstLine="480"/>
            </w:pPr>
          </w:p>
          <w:p>
            <w:r>
              <w:t>采购包1：保证金人民币：0.00元整。</w:t>
            </w:r>
          </w:p>
          <w:p>
            <w:r>
              <w:t>开户单位：无</w:t>
            </w:r>
          </w:p>
          <w:p>
            <w:r>
              <w:t>开户账号：无</w:t>
            </w:r>
          </w:p>
          <w:p>
            <w:r>
              <w:t>开户银行：无</w:t>
            </w:r>
          </w:p>
          <w:p>
            <w:r>
              <w:t>支票提交方式：无</w:t>
            </w:r>
          </w:p>
          <w:p>
            <w:r>
              <w:t>汇票、本票提交方式：无</w:t>
            </w:r>
          </w:p>
          <w:p/>
          <w:p>
            <w:pPr>
              <w:ind w:firstLine="480"/>
            </w:pPr>
            <w:r>
              <w:t>投标保证金有效期∶与投标有效期一致。</w:t>
            </w:r>
          </w:p>
          <w:p>
            <w:pPr>
              <w:ind w:firstLine="480"/>
            </w:pPr>
            <w:r>
              <w:t>投标保函提交方式：供应商可通过"广东政府采购智慧云平台金融服务中心"(http://gdgpo.czt.gd.gov.cn/zcdservice/zcd/guangdong/)，申请办理投标（响应）担保函、保险（保证）凭证，成功出函的等效于现金缴纳投标保证金。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10</w:t>
            </w:r>
          </w:p>
        </w:tc>
        <w:tc>
          <w:tcPr>
            <w:tcW w:w="2252" w:type="dxa"/>
          </w:tcPr>
          <w:p>
            <w:r>
              <w:t>投标文件要求</w:t>
            </w:r>
          </w:p>
        </w:tc>
        <w:tc>
          <w:tcPr>
            <w:tcW w:w="5004" w:type="dxa"/>
          </w:tcPr>
          <w:p>
            <w:pPr>
              <w:ind w:firstLine="480"/>
            </w:pPr>
            <w:r>
              <w:rPr>
                <w:b/>
              </w:rPr>
              <w:t>一、电子投标文件（必须提供）：</w:t>
            </w:r>
          </w:p>
          <w:p>
            <w:pPr>
              <w:ind w:firstLine="480"/>
            </w:pPr>
            <w:r>
              <w:t>（1）加密的电子投标文件 1 份（需在递交投标文件截止时间前成功上传至云平台项目采购系统）。</w:t>
            </w:r>
          </w:p>
          <w:p>
            <w:pPr>
              <w:ind w:firstLine="480"/>
            </w:pPr>
            <w:r>
              <w:t>（2）非加密电子版文件 U 盘(或光盘)0份，加密的电子投标文件与非加密的电子投标文件必须完全一致。</w:t>
            </w:r>
          </w:p>
          <w:p>
            <w:pPr>
              <w:ind w:firstLine="480"/>
            </w:pPr>
            <w:r>
              <w:rPr>
                <w:b/>
              </w:rPr>
              <w:t>非加密电子版投标文件使用情形:</w:t>
            </w:r>
            <w: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t>当项目采购系统出现故障，无法使用电子投标文件评标时，代理机构可根据云平台发布的通知指引，根据实际情况使用纸质投标文件评标。</w:t>
            </w:r>
            <w:r>
              <w:br w:type="textWrapping"/>
            </w:r>
            <w:r>
              <w:t>在电子投标文件能正常使用的情况下，不得因供应商未提交纸质投标文件而认定供应商投标无效。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11</w:t>
            </w:r>
          </w:p>
        </w:tc>
        <w:tc>
          <w:tcPr>
            <w:tcW w:w="2252" w:type="dxa"/>
          </w:tcPr>
          <w:p>
            <w:r>
              <w:t>中标候选供应商推荐家数</w:t>
            </w:r>
          </w:p>
        </w:tc>
        <w:tc>
          <w:tcPr>
            <w:tcW w:w="5004" w:type="dxa"/>
          </w:tcPr>
          <w:p>
            <w:r>
              <w:t>采购包1：3家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12</w:t>
            </w:r>
          </w:p>
        </w:tc>
        <w:tc>
          <w:tcPr>
            <w:tcW w:w="2252" w:type="dxa"/>
          </w:tcPr>
          <w:p>
            <w:pPr>
              <w:ind w:firstLine="480"/>
            </w:pPr>
            <w:r>
              <w:t>中标供应商数量</w:t>
            </w:r>
          </w:p>
        </w:tc>
        <w:tc>
          <w:tcPr>
            <w:tcW w:w="5004" w:type="dxa"/>
          </w:tcPr>
          <w:p>
            <w:pPr>
              <w:ind w:firstLine="480"/>
            </w:pPr>
          </w:p>
          <w:p>
            <w:r>
              <w:t>采购包1：1家</w:t>
            </w:r>
          </w:p>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13</w:t>
            </w:r>
          </w:p>
        </w:tc>
        <w:tc>
          <w:tcPr>
            <w:tcW w:w="2252" w:type="dxa"/>
          </w:tcPr>
          <w:p>
            <w:pPr>
              <w:ind w:firstLine="480"/>
            </w:pPr>
            <w:r>
              <w:t>有效供应商家数</w:t>
            </w:r>
          </w:p>
        </w:tc>
        <w:tc>
          <w:tcPr>
            <w:tcW w:w="5004" w:type="dxa"/>
          </w:tcPr>
          <w:p>
            <w:pPr>
              <w:ind w:firstLine="480"/>
            </w:pPr>
          </w:p>
          <w:p>
            <w:pPr>
              <w:jc w:val="left"/>
            </w:pPr>
          </w:p>
          <w:p>
            <w:r>
              <w:t>采购包1：3家</w:t>
            </w:r>
          </w:p>
          <w:p/>
          <w:p>
            <w:pPr>
              <w:ind w:firstLine="480"/>
            </w:pPr>
            <w:r>
              <w:t>此人数约定了开标与评标过程中的最低有效供应商家数，当家数不足时项目将不得开标、不得评标或直接废标。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14</w:t>
            </w:r>
          </w:p>
        </w:tc>
        <w:tc>
          <w:tcPr>
            <w:tcW w:w="2252" w:type="dxa"/>
          </w:tcPr>
          <w:p>
            <w:r>
              <w:t>项目兼投兼中（兼投不兼中）规则</w:t>
            </w:r>
          </w:p>
        </w:tc>
        <w:tc>
          <w:tcPr>
            <w:tcW w:w="5004" w:type="dxa"/>
          </w:tcPr>
          <w:p>
            <w:r>
              <w:t>无：兼投兼中：本项目兼投兼中。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15</w:t>
            </w:r>
          </w:p>
        </w:tc>
        <w:tc>
          <w:tcPr>
            <w:tcW w:w="2252" w:type="dxa"/>
          </w:tcPr>
          <w:p>
            <w:r>
              <w:t>中标供应商确定方式</w:t>
            </w:r>
          </w:p>
        </w:tc>
        <w:tc>
          <w:tcPr>
            <w:tcW w:w="5004" w:type="dxa"/>
          </w:tcPr>
          <w:p>
            <w:r>
              <w:t>采购人按照评审报告中推荐的成交候选人确定中标（成交）人。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16</w:t>
            </w:r>
          </w:p>
        </w:tc>
        <w:tc>
          <w:tcPr>
            <w:tcW w:w="2252" w:type="dxa"/>
          </w:tcPr>
          <w:p>
            <w:r>
              <w:t>代理服务费</w:t>
            </w:r>
          </w:p>
        </w:tc>
        <w:tc>
          <w:tcPr>
            <w:tcW w:w="5004" w:type="dxa"/>
          </w:tcPr>
          <w:p>
            <w:r>
              <w:t>收取。</w:t>
            </w:r>
          </w:p>
          <w:p>
            <w:r>
              <w:t>采购机构代理服务收费标准：参照国家颁布的《招标代理服务收费管理暂行办法》（国家发展计划委员会计价格[2002]1980号）及《国家发展改革委办公厅关于招标代理服务收费有关问题的通知》（发改办价格【2003】 857号）标准的90%收取。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17</w:t>
            </w:r>
          </w:p>
        </w:tc>
        <w:tc>
          <w:tcPr>
            <w:tcW w:w="2252" w:type="dxa"/>
          </w:tcPr>
          <w:p>
            <w:r>
              <w:t>代理服务费收取方式</w:t>
            </w:r>
          </w:p>
        </w:tc>
        <w:tc>
          <w:tcPr>
            <w:tcW w:w="5004" w:type="dxa"/>
          </w:tcPr>
          <w:p>
            <w:r>
              <w:t>向中标/成交供应商收取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18</w:t>
            </w:r>
          </w:p>
        </w:tc>
        <w:tc>
          <w:tcPr>
            <w:tcW w:w="2252" w:type="dxa"/>
          </w:tcPr>
          <w:p>
            <w:r>
              <w:t>其他</w:t>
            </w:r>
          </w:p>
        </w:tc>
        <w:tc>
          <w:tcPr>
            <w:tcW w:w="5004" w:type="dxa"/>
          </w:tcPr>
          <w:p>
            <w:pPr>
              <w:jc w:val="left"/>
            </w:pPr>
            <w: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t>三、采购标的对应的中小企业划分标准所属行业，工业。</w:t>
            </w:r>
          </w:p>
          <w:p>
            <w:pPr>
              <w:jc w:val="left"/>
            </w:pPr>
            <w: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 信时审慎性参考。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19</w:t>
            </w:r>
          </w:p>
        </w:tc>
        <w:tc>
          <w:tcPr>
            <w:tcW w:w="2252" w:type="dxa"/>
          </w:tcPr>
          <w:p>
            <w:r>
              <w:t>开标解密时长</w:t>
            </w:r>
          </w:p>
        </w:tc>
        <w:tc>
          <w:tcPr>
            <w:tcW w:w="5004" w:type="dxa"/>
          </w:tcPr>
          <w:p>
            <w:r>
              <w:t>30分钟</w:t>
            </w:r>
          </w:p>
          <w:p>
            <w:r>
              <w:t>说明：具体情况根据开标时现场代理机构人员设置为准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20</w:t>
            </w:r>
          </w:p>
        </w:tc>
        <w:tc>
          <w:tcPr>
            <w:tcW w:w="2252" w:type="dxa"/>
          </w:tcPr>
          <w:p>
            <w:r>
              <w:t>专门面向中小企业采购</w:t>
            </w:r>
          </w:p>
        </w:tc>
        <w:tc>
          <w:tcPr>
            <w:tcW w:w="5004" w:type="dxa"/>
          </w:tcPr>
          <w:p>
            <w:pPr>
              <w:jc w:val="left"/>
            </w:pPr>
            <w:r>
              <w:t>采购包1：非专门面向中小企业</w:t>
            </w:r>
          </w:p>
        </w:tc>
      </w:tr>
    </w:tbl>
    <w:p>
      <w:r>
        <w:rPr>
          <w:b/>
          <w:sz w:val="28"/>
        </w:rPr>
        <w:t>三、说明</w:t>
      </w:r>
    </w:p>
    <w:p>
      <w:r>
        <w:rPr>
          <w:b/>
          <w:sz w:val="24"/>
        </w:rPr>
        <w:t>1.总则</w:t>
      </w:r>
    </w:p>
    <w:p>
      <w:pPr>
        <w:ind w:firstLine="480"/>
      </w:pPr>
      <w:r>
        <w:t>采购人、采购代理机构及投标人进行的本次采购活动适用《中华人民共和国政府采购法》及其配套的法规、规章、政策。</w:t>
      </w:r>
    </w:p>
    <w:p>
      <w:pPr>
        <w:ind w:firstLine="480"/>
      </w:pPr>
      <w: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t>本次公开招标项目，是以招标公告的方式邀请非特定的投标人参加投标。</w:t>
      </w:r>
    </w:p>
    <w:p>
      <w:r>
        <w:rPr>
          <w:b/>
          <w:sz w:val="24"/>
        </w:rPr>
        <w:t>2.适用范围</w:t>
      </w:r>
    </w:p>
    <w:p>
      <w:pPr>
        <w:ind w:firstLine="480"/>
      </w:pPr>
      <w:r>
        <w:t>本招标文件仅适用于本次招标公告中所涉及的项目和内容。</w:t>
      </w:r>
    </w:p>
    <w:p>
      <w:r>
        <w:rPr>
          <w:b/>
          <w:sz w:val="24"/>
        </w:rPr>
        <w:t>3.进口产品</w:t>
      </w:r>
    </w:p>
    <w:p>
      <w:pPr>
        <w:ind w:firstLine="480"/>
      </w:pPr>
      <w:r>
        <w:t>若本项目允许采购进口产品，供应商应保证所投产品可履行合法报通关手续进入中国关境内。</w:t>
      </w:r>
    </w:p>
    <w:p>
      <w:pPr>
        <w:ind w:firstLine="480"/>
      </w:pPr>
      <w:r>
        <w:t>若本项目不允许采购进口产品，如供应商所投产品为进口产品，其响应将被认定为响应无效。</w:t>
      </w:r>
    </w:p>
    <w:p>
      <w:r>
        <w:rPr>
          <w:b/>
          <w:sz w:val="24"/>
        </w:rPr>
        <w:t>4.投标的费用</w:t>
      </w:r>
    </w:p>
    <w:p>
      <w:pPr>
        <w:ind w:firstLine="480"/>
      </w:pPr>
      <w: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t>5.1联合体各方均应当满足《中华人民共和国政府采购法》第二十二条规定的条件，并在投标文件中提供联合体各方的相关证明材料。</w:t>
      </w:r>
    </w:p>
    <w:p>
      <w:pPr>
        <w:ind w:firstLine="480"/>
      </w:pPr>
      <w:r>
        <w:t>5.2</w:t>
      </w:r>
      <w:r>
        <w:tab/>
      </w:r>
      <w:r>
        <w:tab/>
      </w:r>
      <w:r>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t>5.3</w:t>
      </w:r>
      <w:r>
        <w:tab/>
      </w:r>
      <w:r>
        <w:tab/>
      </w:r>
      <w:r>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t>5.4联合体成员存在不良信用记录的，视同联合体存在不良信用记录。</w:t>
      </w:r>
    </w:p>
    <w:p>
      <w:pPr>
        <w:ind w:firstLine="480"/>
      </w:pPr>
      <w: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t>5.6联合体各方应当共同与采购人签订采购合同，就合同约定的事项对采购人承担连带责任。</w:t>
      </w:r>
    </w:p>
    <w:p>
      <w:r>
        <w:rPr>
          <w:b/>
          <w:sz w:val="24"/>
        </w:rPr>
        <w:t>6.关联企业投标说明</w:t>
      </w:r>
    </w:p>
    <w:p>
      <w:pPr>
        <w:ind w:firstLine="480"/>
      </w:pPr>
      <w:r>
        <w:t>6.1</w:t>
      </w:r>
      <w:r>
        <w:tab/>
      </w:r>
      <w:r>
        <w:tab/>
      </w:r>
      <w:r>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t>6.2</w:t>
      </w:r>
      <w:r>
        <w:tab/>
      </w:r>
      <w:r>
        <w:tab/>
      </w:r>
      <w:r>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r>
        <w:tab/>
      </w:r>
      <w:r>
        <w:tab/>
      </w:r>
      <w:r>
        <w:t xml:space="preserve"> 中小企业划分见《关于印发中小企业划型标准规定的通知》（工信部联企业〔2011〕300号) 。</w:t>
      </w:r>
    </w:p>
    <w:p>
      <w:pPr>
        <w:ind w:firstLine="480"/>
      </w:pPr>
      <w:r>
        <w:t>根据财库〔2014〕68号《财政部</w:t>
      </w:r>
      <w:r>
        <w:tab/>
      </w:r>
      <w:r>
        <w:tab/>
      </w:r>
      <w:r>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t>根据财库〔2017〕141号《财政部 民政部</w:t>
      </w:r>
      <w:r>
        <w:tab/>
      </w:r>
      <w:r>
        <w:tab/>
      </w:r>
      <w:r>
        <w:t xml:space="preserve"> 中国残疾人联合会关于促进残疾人就业政府采购政策的通知》，在政府采购活动中，残疾人福利性单位视同小型、微型企业，享受政府采购支持政策的残疾人福利性单位应当同时满足《财政部 民政部</w:t>
      </w:r>
      <w:r>
        <w:tab/>
      </w:r>
      <w:r>
        <w:tab/>
      </w:r>
      <w:r>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t>8.2在确定中标供应商之前，投标人不得与采购人就投标价格、投标方案等实质性内容进行谈判，也不得私下接触评标委员会成员。</w:t>
      </w:r>
    </w:p>
    <w:p>
      <w:pPr>
        <w:ind w:firstLine="480"/>
      </w:pPr>
      <w:r>
        <w:t>8.3在确定中标供应商之前，投标人试图在投标文件审查、澄清、比较和评价时对评标委员会、采购人和采购代理机构施加任何影响都可能导致其投标无效。</w:t>
      </w:r>
    </w:p>
    <w:p>
      <w:pPr>
        <w:ind w:firstLine="480"/>
      </w:pPr>
      <w:r>
        <w:t>8.4获得本招标文件者，须履行本项目下保密义务，不得将因本次项目获得的信息向第三人外传，不得将招标文件用作本次投标以外的任何用途。</w:t>
      </w:r>
    </w:p>
    <w:p>
      <w:pPr>
        <w:ind w:firstLine="480"/>
      </w:pPr>
      <w: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t>8.6采购人或采购代理机构有权将供应商提供的所有资料向有关政府部门或评审小组披露。</w:t>
      </w:r>
    </w:p>
    <w:p>
      <w:pPr>
        <w:ind w:firstLine="480"/>
      </w:pPr>
      <w: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t>9.2除非招标文件的技术规格中另有规定，投标人在投标文件中及其与采购人和采购代理机构的所有往来文件中的计量单位均应采用中华人民共和国法定计量单位。</w:t>
      </w:r>
    </w:p>
    <w:p>
      <w:pPr>
        <w:ind w:firstLine="480"/>
      </w:pPr>
      <w:r>
        <w:t>9.3投标人所提供的货物和服务均应以人民币报价，货币单位：元。</w:t>
      </w:r>
    </w:p>
    <w:p>
      <w:r>
        <w:rPr>
          <w:b/>
          <w:sz w:val="24"/>
        </w:rPr>
        <w:t>10. 现场踏勘（如有）</w:t>
      </w:r>
    </w:p>
    <w:p>
      <w:pPr>
        <w:ind w:firstLine="480"/>
      </w:pPr>
      <w:r>
        <w:t>10.1招标文件规定组织踏勘现场的，采购人按招标文件规定的时间、地点组织投标人踏勘项目现场。</w:t>
      </w:r>
    </w:p>
    <w:p>
      <w:pPr>
        <w:ind w:firstLine="480"/>
      </w:pPr>
      <w:r>
        <w:t>10.2投标人自行承担踏勘现场发生的责任、风险和自身费用。</w:t>
      </w:r>
    </w:p>
    <w:p>
      <w:pPr>
        <w:ind w:firstLine="480"/>
      </w:pPr>
      <w: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t>3.如更正公告有重新发布电子招标文件的，供应商应登录云平台项目采购系统下载最新发布的电子招标文件制作投标文件。</w:t>
      </w:r>
    </w:p>
    <w:p>
      <w:pPr>
        <w:ind w:firstLine="480"/>
      </w:pPr>
      <w: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t>(2)投标报价包括本项目采购需求和投入使用的所有费用，包括但不限于主件、标准附件、备品备件、施工、服务、专用工具、安装、调试、检验、培训、运输、保险、税款等。</w:t>
      </w:r>
    </w:p>
    <w:p>
      <w:pPr>
        <w:ind w:firstLine="480"/>
      </w:pPr>
      <w:r>
        <w:t>2.3 如有对多个采购包投标的，要对每个采购包独立制作电子投标文件。</w:t>
      </w:r>
    </w:p>
    <w:p>
      <w:pPr>
        <w:ind w:firstLine="480"/>
      </w:pPr>
      <w:r>
        <w:t>2.4投标人不得将同一个项目或同一个采购包的内容拆开投标，否则其报价将被视为非实质性响应。</w:t>
      </w:r>
    </w:p>
    <w:p>
      <w:pPr>
        <w:ind w:firstLine="480"/>
      </w:pPr>
      <w:r>
        <w:t>2.5投标人须对招标文件的对应要求给予唯一的实质性响应，否则将视为不响应。</w:t>
      </w:r>
    </w:p>
    <w:p>
      <w:pPr>
        <w:ind w:firstLine="480"/>
      </w:pPr>
      <w:r>
        <w:t>2.6招标文件中，凡标有“★”的地方均为实质性响应条款，投标人若有一项带“★”的条款未响应或不满足，将按无效投标处理。</w:t>
      </w:r>
    </w:p>
    <w:p>
      <w:pPr>
        <w:ind w:firstLine="480"/>
      </w:pPr>
      <w: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t>3.2代理机构对因不可抗力事件造成的投标文件的损坏、丢失的，不承担责任。</w:t>
      </w:r>
    </w:p>
    <w:p>
      <w:pPr>
        <w:ind w:firstLine="480"/>
      </w:pPr>
      <w:r>
        <w:t>3.3出现下述情形之一，属于未成功提交投标文件，按无效投标处理：</w:t>
      </w:r>
    </w:p>
    <w:p>
      <w:pPr>
        <w:ind w:firstLine="480"/>
      </w:pPr>
      <w:r>
        <w:t>（1）至提交投标文件截止时，投标文件未完整上传的。</w:t>
      </w:r>
    </w:p>
    <w:p>
      <w:pPr>
        <w:ind w:firstLine="480"/>
      </w:pPr>
      <w:r>
        <w:t>（2）投标文件未按投标格式中注明需签字盖章的要求进行签名（含电子签名）和加盖电子印章，或签名（含电子签名）或电子印章不完整的。</w:t>
      </w:r>
    </w:p>
    <w:p>
      <w:pPr>
        <w:ind w:firstLine="480"/>
      </w:pPr>
      <w:r>
        <w:t>（3）投标文件损坏或格式不正确的。</w:t>
      </w:r>
    </w:p>
    <w:p>
      <w:r>
        <w:rPr>
          <w:b/>
          <w:sz w:val="24"/>
        </w:rPr>
        <w:t>4.投标文件的修改、撤回与撤销</w:t>
      </w:r>
    </w:p>
    <w:p>
      <w:pPr>
        <w:ind w:firstLine="480"/>
      </w:pPr>
      <w: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t>4.2在提交投标文件截止时间后，投标人不得补充、修改和更换投标文件。</w:t>
      </w:r>
    </w:p>
    <w:p>
      <w:r>
        <w:rPr>
          <w:b/>
          <w:sz w:val="24"/>
        </w:rPr>
        <w:t>5.投标文件的解密</w:t>
      </w:r>
    </w:p>
    <w:p>
      <w:pPr>
        <w:ind w:firstLine="480"/>
      </w:pPr>
      <w: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t>6.1投标保证金的缴纳</w:t>
      </w:r>
    </w:p>
    <w:p>
      <w:pPr>
        <w:ind w:firstLine="480"/>
      </w:pPr>
      <w:r>
        <w:t>投标人在提交投标文件时，应按投标人须知前附表规定的金额和缴纳要求缴纳投标保证金，并作为其投标文件的组成部分。</w:t>
      </w:r>
    </w:p>
    <w:p>
      <w:pPr>
        <w:ind w:firstLine="480"/>
      </w:pPr>
      <w:r>
        <w:t>如采用转账、支票、本票、汇票形式提交的，投标保证金从投标人基本账户递交，由智林招标（广东）有限公司代收。具体操作要求详见智林招标（广东）有限公司有关指引，递交事宜请自行咨询智林招标（广东）有限公司；请各投标人在投标文件递交截止时间前按须知前附表规定的金额递交至智林招标（广东）有限公司，到账情况以开标时智林招标（广东）有限公司查询的信息为准。</w:t>
      </w:r>
    </w:p>
    <w:p>
      <w:pPr>
        <w:ind w:firstLine="480"/>
      </w:pPr>
      <w: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t>投标人可通过"广东政府采购智慧云平台金融服务中心"(https://gdgpo.czt.gd.gov.cn/zcdservice/zcd/guangdong/)，申请办理电子保函，电子保函与纸质保函具有同样效力。</w:t>
      </w:r>
    </w:p>
    <w:p>
      <w:pPr>
        <w:ind w:firstLine="480"/>
      </w:pPr>
      <w: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t>6.2投标保证金的退还：</w:t>
      </w:r>
    </w:p>
    <w:p>
      <w:pPr>
        <w:ind w:firstLine="480"/>
      </w:pPr>
      <w:r>
        <w:t>（1）投标人在投标截止时间前放弃投标的，自所投采购包结果公告发出后5个工作日内退还。</w:t>
      </w:r>
    </w:p>
    <w:p>
      <w:pPr>
        <w:ind w:firstLine="480"/>
      </w:pPr>
      <w:r>
        <w:t>（2）未中标的投标人投标保证金，自中标通知书发出之日起5个工作日内退还。</w:t>
      </w:r>
    </w:p>
    <w:p>
      <w:pPr>
        <w:ind w:firstLine="480"/>
      </w:pPr>
      <w:r>
        <w:t>（3）中标供应商的投标保证金，自政府采购合同签订之日起5个工作日内退还。</w:t>
      </w:r>
    </w:p>
    <w:p>
      <w:pPr>
        <w:ind w:firstLine="480"/>
      </w:pPr>
      <w:r>
        <w:t>备注：但因投标人自身原因导致无法及时退还的除外。</w:t>
      </w:r>
    </w:p>
    <w:p>
      <w:pPr>
        <w:ind w:firstLine="480"/>
      </w:pPr>
      <w:r>
        <w:t>6.3有下列情形之一的，投标保证金将不予退还：</w:t>
      </w:r>
    </w:p>
    <w:p>
      <w:pPr>
        <w:ind w:firstLine="480"/>
      </w:pPr>
      <w:r>
        <w:t>（1）提供虚假材料谋取中标、成交的；</w:t>
      </w:r>
    </w:p>
    <w:p>
      <w:pPr>
        <w:ind w:firstLine="480"/>
      </w:pPr>
      <w:r>
        <w:t>（2）投标人在招标文件规定的投标有效期内撤销其投标；</w:t>
      </w:r>
    </w:p>
    <w:p>
      <w:pPr>
        <w:ind w:firstLine="480"/>
      </w:pPr>
      <w:r>
        <w:t>（3）中标后，无正当理由放弃中标资格；</w:t>
      </w:r>
    </w:p>
    <w:p>
      <w:pPr>
        <w:ind w:firstLine="480"/>
      </w:pPr>
      <w:r>
        <w:t>（4）中标后，无正当理由不与采购人签订合同；</w:t>
      </w:r>
    </w:p>
    <w:p>
      <w:pPr>
        <w:ind w:firstLine="480"/>
      </w:pPr>
      <w:r>
        <w:t>（5）法律法规和招标文件规定的其他情形。</w:t>
      </w:r>
    </w:p>
    <w:p>
      <w:r>
        <w:rPr>
          <w:b/>
          <w:sz w:val="24"/>
        </w:rPr>
        <w:t>7.投标有效期</w:t>
      </w:r>
    </w:p>
    <w:p>
      <w:pPr>
        <w:ind w:firstLine="480"/>
      </w:pPr>
      <w:r>
        <w:t>7.1投标有效期内投标人撤销投标文件的，采购人或者采购代理机构可以不退还投标保证金（如有）。采用投标保函方式替代保证金的，采购人或者采购代理机构可以向担保机构索赔保证金。</w:t>
      </w:r>
    </w:p>
    <w:p>
      <w:pPr>
        <w:ind w:firstLine="480"/>
      </w:pPr>
      <w: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t>8.1招标文件规定投标人提交样品的，样品属于投标文件的组成部分。样品的生产、运输、安装、保全等一切费用由投标人自理。</w:t>
      </w:r>
    </w:p>
    <w:p>
      <w:pPr>
        <w:ind w:firstLine="480"/>
      </w:pPr>
      <w:r>
        <w:t>8.2投标截止时间前，投标人应将样品送达至指定地点。若需要现场演示的，投标人应提前做好演示准备（包括演示设备）。</w:t>
      </w:r>
    </w:p>
    <w:p>
      <w:pPr>
        <w:ind w:firstLine="480"/>
      </w:pPr>
      <w: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t>9.1投标文件未按照招标文件要求签署、盖章；</w:t>
      </w:r>
    </w:p>
    <w:p>
      <w:pPr>
        <w:ind w:firstLine="480"/>
      </w:pPr>
      <w:r>
        <w:t>9.2不符合招标文件中规定的资格要求；</w:t>
      </w:r>
    </w:p>
    <w:p>
      <w:pPr>
        <w:ind w:firstLine="480"/>
      </w:pPr>
      <w:r>
        <w:t>9.3投标报价超过招标文件中规定的预算金额或最高限价；</w:t>
      </w:r>
    </w:p>
    <w:p>
      <w:pPr>
        <w:ind w:firstLine="480"/>
      </w:pPr>
      <w:r>
        <w:t>9.4投标文件含有采购人不能接受的附加条件；</w:t>
      </w:r>
    </w:p>
    <w:p>
      <w:pPr>
        <w:ind w:firstLine="480"/>
      </w:pPr>
      <w:r>
        <w:t>9.5有关法律、法规和规章及招标文件规定的其他无效情形。</w:t>
      </w:r>
    </w:p>
    <w:p>
      <w:r>
        <w:rPr>
          <w:b/>
          <w:sz w:val="28"/>
        </w:rPr>
        <w:t>六、开标、评标和定标</w:t>
      </w:r>
    </w:p>
    <w:p>
      <w:r>
        <w:rPr>
          <w:b/>
          <w:sz w:val="24"/>
        </w:rPr>
        <w:t>1.开标</w:t>
      </w:r>
    </w:p>
    <w:p>
      <w:pPr>
        <w:ind w:firstLine="480"/>
      </w:pPr>
      <w:r>
        <w:t>1.1 开标程序</w:t>
      </w:r>
    </w:p>
    <w:p>
      <w:pPr>
        <w:ind w:firstLine="480"/>
      </w:pPr>
      <w: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t>1.2开标异议</w:t>
      </w:r>
    </w:p>
    <w:p>
      <w:pPr>
        <w:ind w:firstLine="480"/>
      </w:pPr>
      <w:r>
        <w:t>投标人代表对开标过程和开标记录有疑义，以及认为采购人、采购代理机构相关工作人员有需要回避的情形的，应当场提出询问或者回避申请。投标人未参加开标的，视同认可开标结果。</w:t>
      </w:r>
    </w:p>
    <w:p>
      <w:pPr>
        <w:ind w:firstLine="480"/>
      </w:pPr>
      <w:r>
        <w:t>1.3 投标截止时间后，投标人不足须知前附表中约定的有效供应商家数的，不得开标。同时，本次采购活动结束。</w:t>
      </w:r>
    </w:p>
    <w:p>
      <w:pPr>
        <w:ind w:firstLine="480"/>
      </w:pPr>
      <w:r>
        <w:t>1.4开标时出现下列情况的，视为投标无效处理：</w:t>
      </w:r>
    </w:p>
    <w:p>
      <w:pPr>
        <w:ind w:firstLine="480"/>
      </w:pPr>
      <w:r>
        <w:t>（1）经检查数字证书无效的；</w:t>
      </w:r>
    </w:p>
    <w:p>
      <w:pPr>
        <w:ind w:firstLine="480"/>
      </w:pPr>
      <w:r>
        <w:t>（2）因投标人自身原因，未在规定时间内完成电子投标文件解密的；</w:t>
      </w:r>
    </w:p>
    <w:p>
      <w:pPr>
        <w:ind w:firstLine="480"/>
      </w:pPr>
      <w: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t>3.1中标公告：</w:t>
      </w:r>
    </w:p>
    <w:p>
      <w:pPr>
        <w:ind w:firstLine="480"/>
      </w:pPr>
      <w:r>
        <w:t>中标供应商确定之日起2个工作日内，</w:t>
      </w:r>
      <w:r>
        <w:tab/>
      </w:r>
      <w:r>
        <w:tab/>
      </w:r>
      <w:r>
        <w:t xml:space="preserve"> 采购人或采购代理机构将在中国政府采购网(www.ccgp.gov.cn)、广东省政府采购网(https://gdgpo.czt.gd.gov.cn/)中山市政府采购网(http://120.234.108.5:8088/zfcg/）、广东省公共资源交易平台 （https://www.gdzwfw.gov.cn/ggzy-portal/index.html#/442000/index）、智林招标（广东）有限公司官网（ http://www.智林招标.com/)。上以公告的形式发布中标结果，中标公告的公告期限为 1</w:t>
      </w:r>
      <w:r>
        <w:tab/>
      </w:r>
      <w:r>
        <w:tab/>
      </w:r>
      <w:r>
        <w:t xml:space="preserve"> 个工作日。中标公告同时作为采购代理机构通知除中标供应商外的其他投标人没有中标的书面形式，采购代理机构不再以其它方式另行通知。</w:t>
      </w:r>
    </w:p>
    <w:p>
      <w:pPr>
        <w:ind w:firstLine="480"/>
      </w:pPr>
      <w:r>
        <w:t>3.2中标通知书：</w:t>
      </w:r>
    </w:p>
    <w:p>
      <w:pPr>
        <w:ind w:firstLine="480"/>
      </w:pPr>
      <w: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t>3.3终止公告：</w:t>
      </w:r>
    </w:p>
    <w:p>
      <w:pPr>
        <w:ind w:firstLine="480"/>
      </w:pPr>
      <w:r>
        <w:t>项目废标后，采购人或采购代理机构将在中国政府采购网(www.ccgp.gov.cn)、广东省政府采购网(https://gdgpo.czt.gd.gov.cn/)、中山市政府采购网(http://120.234.108.5:8088/zfcg/）、广东省公共资源交易平台 （https://www.gdzwfw.gov.cn/ggzy-portal/index.html#/442000/index）、智林招标（广东）有限公司官网（ http://www.智林招标.com/)。上发布终止公告，终止公告的公告期限为1个工作日。</w:t>
      </w:r>
    </w:p>
    <w:p>
      <w:r>
        <w:rPr>
          <w:b/>
          <w:sz w:val="28"/>
        </w:rPr>
        <w:t>七、询问、质疑与投诉</w:t>
      </w:r>
    </w:p>
    <w:p>
      <w:r>
        <w:rPr>
          <w:b/>
          <w:sz w:val="24"/>
        </w:rPr>
        <w:t>1.询问</w:t>
      </w:r>
    </w:p>
    <w:p>
      <w:pPr>
        <w:ind w:firstLine="480"/>
      </w:pPr>
      <w: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t>(1)对招标文件提出质疑的，为获取招标文件之日或者招标文件公告期限届满之日；</w:t>
      </w:r>
    </w:p>
    <w:p>
      <w:pPr>
        <w:ind w:firstLine="480"/>
      </w:pPr>
      <w:r>
        <w:t>(2)对采购过程提出质疑的，为各采购程序环节结束之日；</w:t>
      </w:r>
    </w:p>
    <w:p>
      <w:pPr>
        <w:ind w:firstLine="480"/>
      </w:pPr>
      <w:r>
        <w:t>(3)对中标结果提出质疑的，为中标结果公告期限届满之日。</w:t>
      </w:r>
    </w:p>
    <w:p>
      <w:pPr>
        <w:ind w:firstLine="480"/>
      </w:pPr>
      <w:r>
        <w:t>2.2质疑函应当包括下列主要内容：</w:t>
      </w:r>
    </w:p>
    <w:p>
      <w:pPr>
        <w:ind w:firstLine="480"/>
      </w:pPr>
      <w:r>
        <w:t>(1)质疑供应商和相关供应商的名称、地址、邮编、联系人及联系电话等；</w:t>
      </w:r>
    </w:p>
    <w:p>
      <w:pPr>
        <w:ind w:firstLine="480"/>
      </w:pPr>
      <w:r>
        <w:t>(2)质疑项目名称及编号、具体明确的质疑事项和与质疑事项相关的请求；</w:t>
      </w:r>
    </w:p>
    <w:p>
      <w:pPr>
        <w:ind w:firstLine="480"/>
      </w:pPr>
      <w:r>
        <w:t>(3)认为采购文件、采购过程、中标和成交结果使自己的合法权益受到损害的法律依据、事实依据、相关证明材料及证据来源；</w:t>
      </w:r>
    </w:p>
    <w:p>
      <w:pPr>
        <w:ind w:firstLine="480"/>
      </w:pPr>
      <w:r>
        <w:t>(4)提出质疑的日期。</w:t>
      </w:r>
    </w:p>
    <w:p>
      <w:pPr>
        <w:ind w:firstLine="480"/>
      </w:pPr>
      <w:r>
        <w:t>2.3 质疑函应当署名。质疑供应商为自然人的，应当由本人签字；质疑供应商为法人或者其他组织的，应当由法定代表人、主要负责人，或者其授权代表签字或者盖章，并加盖公章。</w:t>
      </w:r>
    </w:p>
    <w:p>
      <w:pPr>
        <w:ind w:firstLine="480"/>
      </w:pPr>
      <w:r>
        <w:t>2.4以联合体形式参加政府采购活动的，其质疑应当由联合体成员委托主体提出。</w:t>
      </w:r>
    </w:p>
    <w:p>
      <w:pPr>
        <w:ind w:firstLine="480"/>
      </w:pPr>
      <w: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t>2.6质疑联系方式如下：</w:t>
      </w:r>
    </w:p>
    <w:p>
      <w:pPr>
        <w:ind w:firstLine="480"/>
      </w:pPr>
      <w:r>
        <w:t>质疑联系人：黄文强</w:t>
      </w:r>
    </w:p>
    <w:p>
      <w:pPr>
        <w:ind w:firstLine="480"/>
      </w:pPr>
      <w:r>
        <w:t>电话：13232352888</w:t>
      </w:r>
    </w:p>
    <w:p>
      <w:pPr>
        <w:ind w:firstLine="480"/>
      </w:pPr>
      <w:r>
        <w:t>传真：0760-88889687</w:t>
      </w:r>
    </w:p>
    <w:p>
      <w:pPr>
        <w:ind w:firstLine="480"/>
      </w:pPr>
      <w:r>
        <w:t>邮箱：zlzb@zhilin-gd.com</w:t>
      </w:r>
    </w:p>
    <w:p>
      <w:pPr>
        <w:ind w:firstLine="480"/>
      </w:pPr>
      <w:r>
        <w:t>地址：广东省中山市东区中山五路82号紫岭国际二期2座513房之一</w:t>
      </w:r>
    </w:p>
    <w:p>
      <w:pPr>
        <w:ind w:firstLine="480"/>
      </w:pPr>
      <w:r>
        <w:t>邮编：528400</w:t>
      </w:r>
    </w:p>
    <w:p>
      <w:r>
        <w:rPr>
          <w:b/>
          <w:sz w:val="24"/>
        </w:rPr>
        <w:t>3.投诉</w:t>
      </w:r>
    </w:p>
    <w:p>
      <w:pPr>
        <w:ind w:firstLine="480"/>
      </w:pPr>
      <w:r>
        <w:t>质疑人对采购人或采购代理机构的质疑答复不满意或在规定时间内未得到答复的，可以在答复期满后15个工作日内，按如下联系方式向本项目监督管理部门提起投诉。</w:t>
      </w:r>
    </w:p>
    <w:p>
      <w:pPr>
        <w:ind w:firstLine="480"/>
      </w:pPr>
    </w:p>
    <w:p>
      <w:r>
        <w:t>政府采购监督管理机构名称：中山市财政局政府采购监管科</w:t>
      </w:r>
    </w:p>
    <w:p>
      <w:r>
        <w:t>地  址：广东省中山市兴中道63号101室</w:t>
      </w:r>
    </w:p>
    <w:p>
      <w:r>
        <w:t>电  话：0760-88266297、88266299</w:t>
      </w:r>
    </w:p>
    <w:p>
      <w:r>
        <w:t>邮  编：528400</w:t>
      </w:r>
    </w:p>
    <w:p>
      <w:r>
        <w:t>传  真：0760-88266215</w:t>
      </w:r>
    </w:p>
    <w:p/>
    <w:p>
      <w:r>
        <w:rPr>
          <w:b/>
          <w:sz w:val="28"/>
        </w:rPr>
        <w:t>八、合同签订和履行</w:t>
      </w:r>
    </w:p>
    <w:p>
      <w:r>
        <w:rPr>
          <w:b/>
          <w:sz w:val="24"/>
        </w:rPr>
        <w:t>1.合同签订</w:t>
      </w:r>
    </w:p>
    <w:p>
      <w:pPr>
        <w:ind w:firstLine="480"/>
      </w:pPr>
      <w: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t>1.2采购人不得提出试用合格等任何不合理的要求作为签订合同的条件，且不得与中标供应商私下订立背离合同实质性内容的协议。</w:t>
      </w:r>
    </w:p>
    <w:p>
      <w:pPr>
        <w:ind w:firstLine="480"/>
      </w:pPr>
      <w:r>
        <w:t>1.3采购人应当自政府采购合同签订之日起2个工作日内，将政府采购合同在省级以上人民政府财政部门指定的媒体上公告，但政府采购合同中涉及国家秘密、商业秘密的内容除外。</w:t>
      </w:r>
    </w:p>
    <w:p>
      <w:pPr>
        <w:ind w:firstLine="480"/>
      </w:pPr>
      <w: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t xml:space="preserve"> </w:t>
      </w:r>
    </w:p>
    <w:p/>
    <w:p>
      <w:pPr>
        <w:jc w:val="center"/>
      </w:pPr>
      <w:r>
        <w:rPr>
          <w:b/>
          <w:sz w:val="36"/>
        </w:rPr>
        <w:t>第四章 评标</w:t>
      </w:r>
    </w:p>
    <w:p>
      <w:r>
        <w:rPr>
          <w:b/>
          <w:sz w:val="28"/>
        </w:rPr>
        <w:t>一、评标要求</w:t>
      </w:r>
    </w:p>
    <w:p>
      <w:r>
        <w:rPr>
          <w:b/>
          <w:sz w:val="24"/>
        </w:rPr>
        <w:t>1.评标方法</w:t>
      </w:r>
    </w:p>
    <w:p>
      <w:pPr>
        <w:ind w:firstLine="480"/>
      </w:pPr>
    </w:p>
    <w:p/>
    <w:p>
      <w:r>
        <w:t>采购包1(中山市食品药品检验所检验检测设备更新和能力提高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t>2.1评标活动遵循公平、公正、科学和择优的原则，以招标文件和投标文件为评标的基本依据，并按照招标文件规定的评标方法和评标标准进行评标。</w:t>
      </w:r>
    </w:p>
    <w:p>
      <w:pPr>
        <w:ind w:firstLine="480"/>
      </w:pPr>
      <w:r>
        <w:t>2.2具体评标事项由评标委员会负责，并按招标文件的规定办法进行评审。</w:t>
      </w:r>
    </w:p>
    <w:p>
      <w:pPr>
        <w:ind w:firstLine="480"/>
      </w:pPr>
      <w:r>
        <w:t>2.3合格投标人不足须知前附表中约定的有效供应商家数的，不得评标。</w:t>
      </w:r>
    </w:p>
    <w:p>
      <w:r>
        <w:rPr>
          <w:b/>
          <w:sz w:val="24"/>
        </w:rPr>
        <w:t>3.评标委员会</w:t>
      </w:r>
    </w:p>
    <w:p>
      <w:pPr>
        <w:ind w:firstLine="480"/>
      </w:pPr>
      <w:r>
        <w:t>3.1评标委员会由采购人代表和评审专家组成，成员人数应当为5人及以上单数，其中评审专家不得少于成员总数的三分之二。</w:t>
      </w:r>
    </w:p>
    <w:p>
      <w:pPr>
        <w:ind w:firstLine="480"/>
      </w:pPr>
      <w:r>
        <w:t>3.2评标应遵守下列评标纪律：</w:t>
      </w:r>
    </w:p>
    <w:p>
      <w:pPr>
        <w:ind w:firstLine="480"/>
      </w:pPr>
      <w:r>
        <w:t>（1）评标情况不得私自外泄，有关信息由智林招标（广东）有限公司统一对外发布。</w:t>
      </w:r>
    </w:p>
    <w:p>
      <w:pPr>
        <w:ind w:firstLine="480"/>
      </w:pPr>
      <w:r>
        <w:t>（2）对智林招标（广东）有限公司或投标人提供的要求保密的资料，不得摘记翻印和外传。</w:t>
      </w:r>
    </w:p>
    <w:p>
      <w:pPr>
        <w:ind w:firstLine="480"/>
      </w:pPr>
      <w:r>
        <w:t>（3）不得收受投标供应商或有关人员的任何礼物，不得串联鼓动其他人袒护某投标人。若与投标人存在利害关系，则应主动声明并回避。</w:t>
      </w:r>
    </w:p>
    <w:p>
      <w:pPr>
        <w:ind w:firstLine="480"/>
      </w:pPr>
      <w:r>
        <w:t>（4）全体评委应按照招标文件规定进行评标，一切认定事项应查有实据且不得弄虚作假。</w:t>
      </w:r>
    </w:p>
    <w:p>
      <w:pPr>
        <w:ind w:firstLine="480"/>
      </w:pPr>
      <w:r>
        <w:t>（5）评标委员会各成员应当独立对每个投标人的投标文件进行评价，并对评价意见承担个人责任。评审过程中，不得发表倾向性言论。</w:t>
      </w:r>
    </w:p>
    <w:p>
      <w:pPr>
        <w:ind w:firstLine="480"/>
      </w:pPr>
      <w: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t>4.1不同投标人的投标文件由同一单位或者个人编制；</w:t>
      </w:r>
    </w:p>
    <w:p>
      <w:pPr>
        <w:ind w:firstLine="480"/>
      </w:pPr>
      <w:r>
        <w:t>4.2不同投标人委托同一单位或者个人办理投标事宜；</w:t>
      </w:r>
    </w:p>
    <w:p>
      <w:pPr>
        <w:ind w:firstLine="480"/>
      </w:pPr>
      <w:r>
        <w:t>4.3不同投标人的投标文件载明的项目管理成员或者联系人员为同一人；</w:t>
      </w:r>
    </w:p>
    <w:p>
      <w:pPr>
        <w:ind w:firstLine="480"/>
      </w:pPr>
      <w:r>
        <w:t>4.4不同投标人的投标文件异常一致或者投标报价呈规律性差异；</w:t>
      </w:r>
    </w:p>
    <w:p>
      <w:pPr>
        <w:ind w:firstLine="480"/>
      </w:pPr>
      <w:r>
        <w:t>4.5不同投标人的投标文件相互混装；</w:t>
      </w:r>
    </w:p>
    <w:p>
      <w:pPr>
        <w:ind w:firstLine="480"/>
      </w:pPr>
      <w:r>
        <w:t>4.6不同投标人的投标保证金或购买电子保函支付款为从同一单位或个人的账户转出；</w:t>
      </w:r>
    </w:p>
    <w:p>
      <w:pPr>
        <w:ind w:firstLine="480"/>
      </w:pPr>
      <w:r>
        <w:t>4.7投标人上传的电子投标文件使用该项目其他投标人的数字证书加密的或加盖该项目的其他投标人的电子印章的。</w:t>
      </w:r>
    </w:p>
    <w:p>
      <w:pPr>
        <w:ind w:firstLine="480"/>
      </w:pPr>
      <w: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t>详见资格性审查、符合性审查和招标文件其他投标无效条款。</w:t>
      </w:r>
    </w:p>
    <w:p>
      <w:r>
        <w:rPr>
          <w:b/>
          <w:sz w:val="24"/>
        </w:rPr>
        <w:t>6.定标</w:t>
      </w:r>
    </w:p>
    <w:p>
      <w:pPr>
        <w:ind w:firstLine="480"/>
      </w:pPr>
      <w: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t>对报价的计算错误按以下原则修正：</w:t>
      </w:r>
    </w:p>
    <w:p>
      <w:pPr>
        <w:ind w:firstLine="480"/>
      </w:pPr>
      <w:r>
        <w:t>（1）投标文件中开标一览表内容与投标文件中相应内容不一致的，以开标一览表为准；</w:t>
      </w:r>
    </w:p>
    <w:p>
      <w:pPr>
        <w:ind w:firstLine="480"/>
      </w:pPr>
      <w:r>
        <w:t>（2）大写金额和小写金额不一致的，以大写金额为准；</w:t>
      </w:r>
    </w:p>
    <w:p>
      <w:pPr>
        <w:ind w:firstLine="480"/>
      </w:pPr>
      <w:r>
        <w:t>（3）单价金额小数点或者百分比有明显错位的，以开标一览表的总价为准，并修改单价。</w:t>
      </w:r>
    </w:p>
    <w:p>
      <w:pPr>
        <w:ind w:firstLine="480"/>
      </w:pPr>
      <w:r>
        <w:t>（4）总价金额与按单价汇总金额不一致的，以单价金额计算结果为准。但是单价金额计算结果超过预算价的，对其按无效投标处理。</w:t>
      </w:r>
    </w:p>
    <w:p>
      <w:pPr>
        <w:ind w:firstLine="480"/>
      </w:pPr>
      <w:r>
        <w:t>（5）若投标客户端上传的电子报价数据与电子投标文件价格不一致的，以电子报价数据为准。</w:t>
      </w:r>
    </w:p>
    <w:p>
      <w:pPr>
        <w:ind w:firstLine="480"/>
      </w:pPr>
      <w: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t>依照《政府采购促进中小企业发展管理办法》、《支持监狱企业发展有关问题的通知》和《财政部 民政部</w:t>
      </w:r>
      <w:r>
        <w:tab/>
      </w:r>
      <w:r>
        <w:tab/>
      </w:r>
      <w:r>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t>采购包1（中山市食品药品检验所检验检测设备更新和能力提高项目）：</w:t>
      </w:r>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160"/>
        <w:gridCol w:w="2160"/>
        <w:gridCol w:w="1246"/>
        <w:gridCol w:w="21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序号</w:t>
            </w:r>
          </w:p>
        </w:tc>
        <w:tc>
          <w:tcPr>
            <w:tcW w:w="2160" w:type="dxa"/>
          </w:tcPr>
          <w:p>
            <w:r>
              <w:t>情形</w:t>
            </w:r>
          </w:p>
        </w:tc>
        <w:tc>
          <w:tcPr>
            <w:tcW w:w="2160" w:type="dxa"/>
          </w:tcPr>
          <w:p>
            <w:r>
              <w:t>适用对象</w:t>
            </w:r>
          </w:p>
        </w:tc>
        <w:tc>
          <w:tcPr>
            <w:tcW w:w="1246" w:type="dxa"/>
          </w:tcPr>
          <w:p>
            <w:r>
              <w:t>价格扣除比例</w:t>
            </w:r>
          </w:p>
        </w:tc>
        <w:tc>
          <w:tcPr>
            <w:tcW w:w="2160" w:type="dxa"/>
          </w:tcPr>
          <w:p>
            <w:r>
              <w:t>计算公式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1</w:t>
            </w:r>
          </w:p>
        </w:tc>
        <w:tc>
          <w:tcPr>
            <w:tcW w:w="2160" w:type="dxa"/>
          </w:tcPr>
          <w:p>
            <w:pPr>
              <w:jc w:val="left"/>
            </w:pPr>
            <w:r>
              <w:t>小型、微型企业，监狱企业，残疾人福利性单位</w:t>
            </w:r>
          </w:p>
        </w:tc>
        <w:tc>
          <w:tcPr>
            <w:tcW w:w="2160" w:type="dxa"/>
          </w:tcPr>
          <w:p>
            <w:r>
              <w:t>货物由小微企业制造</w:t>
            </w:r>
          </w:p>
        </w:tc>
        <w:tc>
          <w:tcPr>
            <w:tcW w:w="1246" w:type="dxa"/>
          </w:tcPr>
          <w:p>
            <w:r>
              <w:t>10%</w:t>
            </w:r>
          </w:p>
        </w:tc>
        <w:tc>
          <w:tcPr>
            <w:tcW w:w="2160" w:type="dxa"/>
          </w:tcPr>
          <w:p>
            <w:pPr>
              <w:jc w:val="left"/>
            </w:pPr>
            <w: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pPr>
              <w:jc w:val="left"/>
            </w:pPr>
            <w:r>
              <w:t>注：（1）上述评标价仅用于计算价格分，成交金额以实际投标价为准。</w:t>
            </w:r>
            <w:r>
              <w:tab/>
            </w:r>
            <w:r>
              <w:tab/>
            </w:r>
            <w:r>
              <w:tab/>
            </w:r>
            <w:r>
              <w:tab/>
            </w:r>
            <w:r>
              <w:tab/>
            </w:r>
            <w:r>
              <w:t xml:space="preserve"> （2）组成联合体的大中型企业和其他自然人、法人或者其他组织、与小型、微型企业之间不得存在投资关系。</w:t>
            </w:r>
          </w:p>
        </w:tc>
      </w:tr>
    </w:tbl>
    <w:p>
      <w:r>
        <w:br w:type="textWrapping"/>
      </w:r>
      <w:r>
        <w:br w:type="textWrapping"/>
      </w:r>
    </w:p>
    <w:p/>
    <w:p>
      <w:pPr>
        <w:ind w:firstLine="480"/>
      </w:pPr>
      <w:r>
        <w:t>（1）所称小型和微型企业应当符合以下条件：</w:t>
      </w:r>
    </w:p>
    <w:p>
      <w:pPr>
        <w:ind w:firstLine="480"/>
      </w:pPr>
      <w:r>
        <w:t>在中华人民共和国境内依法设立，依据国务院批准的中小企业划分标准确定的小型企业和微型企业，但与大企业的负责人为同一人，或者与大企业存在直接控股、管理关系的除外。</w:t>
      </w:r>
    </w:p>
    <w:p>
      <w:pPr>
        <w:ind w:firstLine="480"/>
      </w:pPr>
      <w:r>
        <w:t>符合中小企业划分标准的个体工商户，在政府采购活动中视同中小企业。</w:t>
      </w:r>
    </w:p>
    <w:p>
      <w:pPr>
        <w:ind w:firstLine="480"/>
      </w:pPr>
      <w:r>
        <w:t>提供本企业（属于小微企业）制造的货物或者提供其他小型或微型企业制造的货物/提供本企业（属于小微企业）承接的服务。</w:t>
      </w:r>
    </w:p>
    <w:p>
      <w:pPr>
        <w:ind w:firstLine="480"/>
      </w:pPr>
      <w: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t>说明：投标人应当对其出具的《中小企业声明函》真实性负责，投标人出具的《中小企业声明函》内容不实的，属于提供虚假材料谋取中标。</w:t>
      </w:r>
    </w:p>
    <w:p>
      <w:pPr>
        <w:ind w:firstLine="480"/>
      </w:pPr>
      <w: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t>资格性审查。公开招标采购项目开标结束后，采购人或采购代理机构应当依法对投标人的资格进行审查，以确定投标人是否具备投标资格。（详见后附表一资格性审查表）</w:t>
      </w:r>
    </w:p>
    <w:p>
      <w:pPr>
        <w:ind w:firstLine="480"/>
      </w:pPr>
      <w: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t>资格性审查和符合性审查中凡有其中任意一项未通过的，评审结果为未通过，未通过资格性审查、符合性审查的投标人按无效投标处理。</w:t>
      </w:r>
    </w:p>
    <w:p>
      <w:pPr>
        <w:ind w:firstLine="480"/>
      </w:pPr>
      <w:r>
        <w:t>对各投标人进行资格审查和符合性审查过程中，对初步被认定为无效投标者，由评标委员会组长或采购人代表将集体意见及时告知投标当事人。</w:t>
      </w:r>
    </w:p>
    <w:p>
      <w:pPr>
        <w:ind w:firstLine="480"/>
      </w:pPr>
      <w: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t>合格投标人不足3家的，不得评标。</w:t>
      </w:r>
    </w:p>
    <w:p>
      <w:pPr>
        <w:ind w:firstLine="480"/>
      </w:pPr>
      <w:r>
        <w:t>表一资格性审查表：</w:t>
      </w:r>
    </w:p>
    <w:p>
      <w:pPr>
        <w:ind w:firstLine="480"/>
      </w:pPr>
    </w:p>
    <w:p/>
    <w:p>
      <w:r>
        <w:t>采购包1（中山市食品药品检验所检验检测设备更新和能力提高项目）：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7416" w:type="dxa"/>
            <w:gridSpan w:val="2"/>
          </w:tcPr>
          <w:p>
            <w:r>
              <w:t>资格审查内容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3178" w:type="dxa"/>
          </w:tcPr>
          <w:p>
            <w:r>
              <w:t>具有独立承担民事责任的能力</w:t>
            </w:r>
          </w:p>
        </w:tc>
        <w:tc>
          <w:tcPr>
            <w:tcW w:w="4238" w:type="dxa"/>
          </w:tcPr>
          <w:p>
            <w: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3178" w:type="dxa"/>
          </w:tcPr>
          <w:p>
            <w:r>
              <w:t>有依法缴纳税收和社会保障资金的良好记录</w:t>
            </w:r>
          </w:p>
        </w:tc>
        <w:tc>
          <w:tcPr>
            <w:tcW w:w="4238" w:type="dxa"/>
          </w:tcPr>
          <w:p>
            <w:r>
              <w:t>提供投标截止日前12个月内任意1个月依法缴纳税收和社会保障资金的相关材料。 如依法免税或不需要缴纳社会保障资金的， 提供相应证明材料。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3178" w:type="dxa"/>
          </w:tcPr>
          <w:p>
            <w:r>
              <w:t>具有良好的商业信誉和健全的财务会计制度</w:t>
            </w:r>
          </w:p>
        </w:tc>
        <w:tc>
          <w:tcPr>
            <w:tcW w:w="4238" w:type="dxa"/>
          </w:tcPr>
          <w:p>
            <w:r>
              <w:t>提供2021年度或2022年度财务状况报告或投标截止日前12个月内任意1个月的财务报表复印件，财务报表须包含资产负债表、利润表或银行出具的资信证明材料复印件。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3178" w:type="dxa"/>
          </w:tcPr>
          <w:p>
            <w:r>
              <w:t>履行合同所必需的设备和专业技术能力</w:t>
            </w:r>
          </w:p>
        </w:tc>
        <w:tc>
          <w:tcPr>
            <w:tcW w:w="4238" w:type="dxa"/>
          </w:tcPr>
          <w:p>
            <w:r>
              <w:t>请在投标文件里提供承诺书或说明书。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3178" w:type="dxa"/>
          </w:tcPr>
          <w:p>
            <w:r>
              <w:t>参加采购活动前3年内，在经营活动中没有重大违法记录</w:t>
            </w:r>
          </w:p>
        </w:tc>
        <w:tc>
          <w:tcPr>
            <w:tcW w:w="4238" w:type="dxa"/>
          </w:tcPr>
          <w:p>
            <w: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6</w:t>
            </w:r>
          </w:p>
        </w:tc>
        <w:tc>
          <w:tcPr>
            <w:tcW w:w="3178" w:type="dxa"/>
          </w:tcPr>
          <w:p>
            <w:r>
              <w:t>信用记录</w:t>
            </w:r>
          </w:p>
        </w:tc>
        <w:tc>
          <w:tcPr>
            <w:tcW w:w="4238" w:type="dxa"/>
          </w:tcPr>
          <w:p>
            <w: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7</w:t>
            </w:r>
          </w:p>
        </w:tc>
        <w:tc>
          <w:tcPr>
            <w:tcW w:w="3178" w:type="dxa"/>
          </w:tcPr>
          <w:p>
            <w:r>
              <w:t>供应商必须符合法律、行政法规规定的其他条件</w:t>
            </w:r>
          </w:p>
        </w:tc>
        <w:tc>
          <w:tcPr>
            <w:tcW w:w="4238" w:type="dxa"/>
          </w:tcPr>
          <w:p>
            <w: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8</w:t>
            </w:r>
          </w:p>
        </w:tc>
        <w:tc>
          <w:tcPr>
            <w:tcW w:w="3178" w:type="dxa"/>
          </w:tcPr>
          <w:p>
            <w:r>
              <w:t>落实政府采购政策需满足的资格要求</w:t>
            </w:r>
          </w:p>
        </w:tc>
        <w:tc>
          <w:tcPr>
            <w:tcW w:w="4238" w:type="dxa"/>
          </w:tcPr>
          <w:p>
            <w:r>
              <w:t>本项目不专门面向中小企业采购。</w:t>
            </w:r>
          </w:p>
        </w:tc>
      </w:tr>
    </w:tbl>
    <w:p/>
    <w:p>
      <w:pPr>
        <w:ind w:firstLine="480"/>
      </w:pPr>
      <w:r>
        <w:t>表二符合性审查表：</w:t>
      </w:r>
    </w:p>
    <w:p>
      <w:pPr>
        <w:ind w:firstLine="480"/>
      </w:pPr>
    </w:p>
    <w:p/>
    <w:p>
      <w:r>
        <w:t>采购包1（中山市食品药品检验所检验检测设备更新和能力提高项目）：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3178" w:type="dxa"/>
          </w:tcPr>
          <w:p>
            <w:r>
              <w:t>评审点要求概况</w:t>
            </w:r>
          </w:p>
        </w:tc>
        <w:tc>
          <w:tcPr>
            <w:tcW w:w="4238" w:type="dxa"/>
          </w:tcPr>
          <w:p>
            <w: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3178" w:type="dxa"/>
          </w:tcPr>
          <w:p>
            <w:r>
              <w:t>投标文件格式</w:t>
            </w:r>
          </w:p>
        </w:tc>
        <w:tc>
          <w:tcPr>
            <w:tcW w:w="4238" w:type="dxa"/>
          </w:tcPr>
          <w:p>
            <w:r>
              <w:t>按投标文件格式规定盖章和签署。</w:t>
            </w:r>
          </w:p>
        </w:tc>
      </w:tr>
      <w:tr>
        <w:tblPrEx>
          <w:tblCellMar>
            <w:top w:w="0" w:type="dxa"/>
            <w:left w:w="108" w:type="dxa"/>
            <w:bottom w:w="0" w:type="dxa"/>
            <w:right w:w="108" w:type="dxa"/>
          </w:tblCellMar>
        </w:tblPrEx>
        <w:tc>
          <w:tcPr>
            <w:tcW w:w="890" w:type="dxa"/>
          </w:tcPr>
          <w:p>
            <w:r>
              <w:t>2</w:t>
            </w:r>
          </w:p>
        </w:tc>
        <w:tc>
          <w:tcPr>
            <w:tcW w:w="3178" w:type="dxa"/>
          </w:tcPr>
          <w:p>
            <w:r>
              <w:t>投标承诺函及投标有效期</w:t>
            </w:r>
          </w:p>
        </w:tc>
        <w:tc>
          <w:tcPr>
            <w:tcW w:w="4238" w:type="dxa"/>
          </w:tcPr>
          <w:p>
            <w:r>
              <w:t>投标承诺函及投标有效期符合要求（90天）。</w:t>
            </w:r>
          </w:p>
        </w:tc>
      </w:tr>
      <w:tr>
        <w:tblPrEx>
          <w:tblCellMar>
            <w:top w:w="0" w:type="dxa"/>
            <w:left w:w="108" w:type="dxa"/>
            <w:bottom w:w="0" w:type="dxa"/>
            <w:right w:w="108" w:type="dxa"/>
          </w:tblCellMar>
        </w:tblPrEx>
        <w:tc>
          <w:tcPr>
            <w:tcW w:w="890" w:type="dxa"/>
          </w:tcPr>
          <w:p>
            <w:r>
              <w:t>3</w:t>
            </w:r>
          </w:p>
        </w:tc>
        <w:tc>
          <w:tcPr>
            <w:tcW w:w="3178" w:type="dxa"/>
          </w:tcPr>
          <w:p>
            <w:r>
              <w:t>法定代表人授权委托书</w:t>
            </w:r>
          </w:p>
        </w:tc>
        <w:tc>
          <w:tcPr>
            <w:tcW w:w="4238" w:type="dxa"/>
          </w:tcPr>
          <w:p>
            <w:r>
              <w:t>已提交有效的法定代表人授权书（投标代表为授权代表时）。</w:t>
            </w:r>
          </w:p>
        </w:tc>
      </w:tr>
      <w:tr>
        <w:tblPrEx>
          <w:tblCellMar>
            <w:top w:w="0" w:type="dxa"/>
            <w:left w:w="108" w:type="dxa"/>
            <w:bottom w:w="0" w:type="dxa"/>
            <w:right w:w="108" w:type="dxa"/>
          </w:tblCellMar>
        </w:tblPrEx>
        <w:tc>
          <w:tcPr>
            <w:tcW w:w="890" w:type="dxa"/>
          </w:tcPr>
          <w:p>
            <w:r>
              <w:t>4</w:t>
            </w:r>
          </w:p>
        </w:tc>
        <w:tc>
          <w:tcPr>
            <w:tcW w:w="3178" w:type="dxa"/>
          </w:tcPr>
          <w:p>
            <w:r>
              <w:t>投标报价</w:t>
            </w:r>
          </w:p>
        </w:tc>
        <w:tc>
          <w:tcPr>
            <w:tcW w:w="4238" w:type="dxa"/>
          </w:tcPr>
          <w:p>
            <w:r>
              <w:t>投标（报价）总金额是固定价且是唯一的，未超过本项目预算总金额。</w:t>
            </w:r>
          </w:p>
        </w:tc>
      </w:tr>
      <w:tr>
        <w:tblPrEx>
          <w:tblCellMar>
            <w:top w:w="0" w:type="dxa"/>
            <w:left w:w="108" w:type="dxa"/>
            <w:bottom w:w="0" w:type="dxa"/>
            <w:right w:w="108" w:type="dxa"/>
          </w:tblCellMar>
        </w:tblPrEx>
        <w:tc>
          <w:tcPr>
            <w:tcW w:w="890" w:type="dxa"/>
          </w:tcPr>
          <w:p>
            <w:r>
              <w:t>5</w:t>
            </w:r>
          </w:p>
        </w:tc>
        <w:tc>
          <w:tcPr>
            <w:tcW w:w="3178" w:type="dxa"/>
          </w:tcPr>
          <w:p>
            <w:r>
              <w:t>带“★”号条款要求</w:t>
            </w:r>
          </w:p>
        </w:tc>
        <w:tc>
          <w:tcPr>
            <w:tcW w:w="4238" w:type="dxa"/>
          </w:tcPr>
          <w:p>
            <w:r>
              <w:t>实质性满足采购需求中的带“★”号条款要求。</w:t>
            </w:r>
          </w:p>
        </w:tc>
      </w:tr>
      <w:tr>
        <w:tblPrEx>
          <w:tblCellMar>
            <w:top w:w="0" w:type="dxa"/>
            <w:left w:w="108" w:type="dxa"/>
            <w:bottom w:w="0" w:type="dxa"/>
            <w:right w:w="108" w:type="dxa"/>
          </w:tblCellMar>
        </w:tblPrEx>
        <w:tc>
          <w:tcPr>
            <w:tcW w:w="890" w:type="dxa"/>
          </w:tcPr>
          <w:p>
            <w:r>
              <w:t>6</w:t>
            </w:r>
          </w:p>
        </w:tc>
        <w:tc>
          <w:tcPr>
            <w:tcW w:w="3178" w:type="dxa"/>
          </w:tcPr>
          <w:p>
            <w:r>
              <w:t>其他情形</w:t>
            </w:r>
          </w:p>
        </w:tc>
        <w:tc>
          <w:tcPr>
            <w:tcW w:w="4238" w:type="dxa"/>
          </w:tcPr>
          <w:p>
            <w:r>
              <w:t>无招标文件或法规明确规定可以废标的其他情形。</w:t>
            </w:r>
          </w:p>
        </w:tc>
      </w:tr>
    </w:tbl>
    <w:p/>
    <w:p>
      <w:r>
        <w:rPr>
          <w:b/>
          <w:sz w:val="24"/>
        </w:rPr>
        <w:t>2.投标文件澄清</w:t>
      </w:r>
    </w:p>
    <w:p>
      <w:pPr>
        <w:ind w:firstLine="480"/>
      </w:pPr>
      <w: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t>投标人需登录广东政府采购智慧云平台项目采购系统的等候大厅，在规定时间内完成澄清（响应），并加盖电子印章。</w:t>
      </w:r>
    </w:p>
    <w:p>
      <w:pPr>
        <w:ind w:firstLine="480"/>
      </w:pPr>
      <w: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t>2.2评标委员会不接受投标人主动提出的澄清、说明或补正。</w:t>
      </w:r>
    </w:p>
    <w:p>
      <w:pPr>
        <w:ind w:firstLine="480"/>
      </w:pPr>
      <w:r>
        <w:t>2.3评标委员会对投标人提交的澄清、说明或补正有疑问的，可以要求投标人进一步澄清、说明或补正。</w:t>
      </w:r>
    </w:p>
    <w:p>
      <w:r>
        <w:rPr>
          <w:b/>
          <w:sz w:val="24"/>
        </w:rPr>
        <w:t>3.详细评审</w:t>
      </w:r>
    </w:p>
    <w:p>
      <w:pPr>
        <w:ind w:firstLine="480"/>
      </w:pPr>
    </w:p>
    <w:p/>
    <w:p/>
    <w:p>
      <w:r>
        <w:t>采购包1(中山市食品药品检验所检验检测设备更新和能力提高项目):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评审因素</w:t>
            </w:r>
          </w:p>
        </w:tc>
        <w:tc>
          <w:tcPr>
            <w:tcW w:w="7383" w:type="dxa"/>
            <w:gridSpan w:val="2"/>
          </w:tcPr>
          <w:p>
            <w:pPr>
              <w:jc w:val="center"/>
            </w:pPr>
            <w: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分值构成</w:t>
            </w:r>
          </w:p>
        </w:tc>
        <w:tc>
          <w:tcPr>
            <w:tcW w:w="7383" w:type="dxa"/>
            <w:gridSpan w:val="2"/>
          </w:tcPr>
          <w:p>
            <w:r>
              <w:t>商务部分11.0分</w:t>
            </w:r>
          </w:p>
          <w:p>
            <w:r>
              <w:t>技术部分59.0分</w:t>
            </w:r>
          </w:p>
          <w:p>
            <w:r>
              <w:t>报价得分30.0分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jc w:val="center"/>
            </w:pPr>
            <w:r>
              <w:t>技术部分</w:t>
            </w:r>
          </w:p>
        </w:tc>
        <w:tc>
          <w:tcPr>
            <w:tcW w:w="2307" w:type="dxa"/>
          </w:tcPr>
          <w:p>
            <w:pPr>
              <w:jc w:val="left"/>
            </w:pPr>
            <w:r>
              <w:t>一般技术条款响应程度 (15.0分)</w:t>
            </w:r>
          </w:p>
        </w:tc>
        <w:tc>
          <w:tcPr>
            <w:tcW w:w="5076" w:type="dxa"/>
          </w:tcPr>
          <w:p>
            <w:pPr>
              <w:jc w:val="left"/>
            </w:pPr>
            <w:r>
              <w:t>对招标文件《附表一》至《附表一十一》中一般条款（非“▲”、非“★”条款）的响应程度进行评分： （1）一般条款（非“▲”、非“★”条款）负偏离在15项以内（含15项），每项扣1分；  （2）一般条款（非“▲”、非“★”条款）负偏 离超过15项的，得0分； （3）完全响应，无负偏离，得15分。  备注：提供外文资料的，应同时翻译成中文简体版资料并投标人盖章，翻译内容的准确性由投标人负责。严禁翻译误导和错误，采购人有权拒绝验收并保留追责的权利。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重要技术条款响应程度 (35.0分)</w:t>
            </w:r>
          </w:p>
        </w:tc>
        <w:tc>
          <w:tcPr>
            <w:tcW w:w="5076" w:type="dxa"/>
          </w:tcPr>
          <w:p>
            <w:pPr>
              <w:jc w:val="left"/>
            </w:pPr>
            <w:r>
              <w:t>对招标文件《附表一》至《附表一十一》中带“▲”条款的响应程度进行评分：采购需求中带“▲”条款负偏离的，每负偏离1个扣2.5分，扣至0分为止。 备注：提供外文资料的，应同时翻译成中文简体版资料并投标人盖章，翻译内容的准确性由投标人负责。严禁翻译误 导和错误，采购人有权拒绝验收并保留追责的权利。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供货方案、进度计划 (3.0分)，（等次分值选择：0.0;1.0;2.0;3.0;）</w:t>
            </w:r>
          </w:p>
        </w:tc>
        <w:tc>
          <w:tcPr>
            <w:tcW w:w="5076" w:type="dxa"/>
          </w:tcPr>
          <w:p>
            <w:pPr>
              <w:jc w:val="left"/>
            </w:pPr>
            <w:r>
              <w:t>根据投标人针对本项目提供的供货方案、进度计划进行评价： （1）供货方案、进度计划条理清晰，脉络分明，具体全面，项目管理及进度安排合 理高效、操作性强，得3分；  （2）供货方案、进度计划条理较清晰，脉络 较分明，较具体全面，项目管理及进度安排较合理高效、操作 性较强，得 2分； （3）供货方案、进度计划条理不太全面，脉络不太分明，项目管理 及进度安排不太全面、操作性较弱，得 1分； （4）供货方案、进度计划条理差，脉络不分明，项目管理及进度安排差、操作性差，或者未提供，得0分。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安装、验收、培训计划 (3.0分)，（等次分值选择：0.0;1.0;2.0;3.0;）</w:t>
            </w:r>
          </w:p>
        </w:tc>
        <w:tc>
          <w:tcPr>
            <w:tcW w:w="5076" w:type="dxa"/>
          </w:tcPr>
          <w:p>
            <w:pPr>
              <w:jc w:val="left"/>
            </w:pPr>
            <w:r>
              <w:t>投标人针对本项目提供的实施方案（包括安装调试、项目验收、培训等）的完整性、可行性情况： （1）安装、调试、验收及培训方案完全契合本 项目实际需求，具体详细、合理可行、可操作性强，得3分； （2）安装、调试、验收及培训方案基本满足本项目实际需求，完整但不具体、有一定 可行性，得2分； （3）安装、调试、验收及培训方案部分满足本项目实际需求，有缺项，得1分； （4）安装、调试、验收及培训方案有重大偏差 或缺漏，合理性、可操作性差或者没有相关描述，得0分。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备品备件、耗材情况 (3.0分)，（等次分值选择：0.0;1.5;3.0;）</w:t>
            </w:r>
          </w:p>
        </w:tc>
        <w:tc>
          <w:tcPr>
            <w:tcW w:w="5076" w:type="dxa"/>
          </w:tcPr>
          <w:p>
            <w:pPr>
              <w:jc w:val="left"/>
            </w:pPr>
            <w:r>
              <w:t>报价人所投产品的备品备件供应及耗材损耗情况： （1）备品备件供应及 时、充足，耗材损耗率低，性价比高，得3分； （2）备品备件供应能力较 好，耗材损耗率满足项目需要，性价比基本满足要求，得1.5分； （3）备品备件供应能力差，耗材损耗率高，性价比差，或者无相关描述，得0分。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jc w:val="center"/>
            </w:pPr>
            <w:r>
              <w:t>商务部分</w:t>
            </w:r>
          </w:p>
        </w:tc>
        <w:tc>
          <w:tcPr>
            <w:tcW w:w="2307" w:type="dxa"/>
          </w:tcPr>
          <w:p>
            <w:pPr>
              <w:jc w:val="left"/>
            </w:pPr>
            <w:r>
              <w:t>业绩 (3.0分)</w:t>
            </w:r>
          </w:p>
        </w:tc>
        <w:tc>
          <w:tcPr>
            <w:tcW w:w="5076" w:type="dxa"/>
          </w:tcPr>
          <w:p>
            <w:pPr>
              <w:jc w:val="left"/>
            </w:pPr>
            <w:r>
              <w:t>投标人2019年1月1日以来（以合同签订日期为准）承接过的同类项目业 绩情况，每提供1个得0.5分，满分得3分。  注：1、投标文件中提供合同 复印件并加盖投标人公章，合同复印件应体现采购内容、金额、签约日期 、双方盖章等重要信息，未按要求提供合同复印件不得分。2、同类仪器 设备合同指提供的合同本项目的核心产品。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售后服务情况及方案 (4.0分)，（等次分值选择：0.0;1.0;2.0;3.0;4.0;）</w:t>
            </w:r>
          </w:p>
        </w:tc>
        <w:tc>
          <w:tcPr>
            <w:tcW w:w="5076" w:type="dxa"/>
          </w:tcPr>
          <w:p>
            <w:pPr>
              <w:jc w:val="left"/>
            </w:pPr>
            <w:r>
              <w:t>对投标人提供的售后服务方案中的售后服务内容、售后服务措施、售后服务团队及人员技术支持、维护保养安排、售后服务便捷程度、响应时间等 内容进行评审： （1）售后服务保障体系完善、科学、详实，完全满足项目需求，并且能为本项目提供非常便捷的服务,服务响应时间、维修保障时 间满足或优于招标文件要求，售后、技术能力服务质量能很好地支持完成 本项目工作，得4分；  （2）售后服务保障体系较完善，基本满足项目需求 ，且能为本项目提供较为便捷的售后服务,服务响应时间、维修保障时间满 足或存在微小负偏离于招标文件要求，而该微小偏离不影响项目服务的提 供，基本保证项目的顺利完成，得3分； （3）售后服务内容不全、保障 体系欠缺的，或者只能为本项目提供一般或较差的售后服务,服务响应时间 或维修保障时间负偏离于招标文件要求，得2分； （4）售后服务方案不满 足项目需求的，服务响应时间或维修保障时间负偏离且远超出项目要求， 对售后服务质量影响较大，得1分。 （5）不提供不得分。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商务条款响应程度 (4.0分)</w:t>
            </w:r>
          </w:p>
        </w:tc>
        <w:tc>
          <w:tcPr>
            <w:tcW w:w="5076" w:type="dxa"/>
          </w:tcPr>
          <w:p>
            <w:pPr>
              <w:jc w:val="left"/>
            </w:pPr>
            <w:r>
              <w:t>（1）对招标文件对应包组“主要商务要求”全部响应，无负偏离，得4分；（2）对招标文件对应包组“主要商务要求”的响应有负偏离或有部分保留，得2分；（3）对招标文件对应包组“主要商务要求”全部负偏离或不响应，得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投标报价</w:t>
            </w:r>
          </w:p>
        </w:tc>
        <w:tc>
          <w:tcPr>
            <w:tcW w:w="2307" w:type="dxa"/>
          </w:tcPr>
          <w:p>
            <w:pPr>
              <w:jc w:val="left"/>
            </w:pPr>
            <w:r>
              <w:t>投标报价得分 (30.0分)</w:t>
            </w:r>
          </w:p>
        </w:tc>
        <w:tc>
          <w:tcPr>
            <w:tcW w:w="5076" w:type="dxa"/>
          </w:tcPr>
          <w:p>
            <w:pPr>
              <w:jc w:val="left"/>
            </w:pPr>
            <w: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t>采购包1：</w:t>
      </w:r>
    </w:p>
    <w:p/>
    <w:p>
      <w: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t>除了按第四章第一点第7条修正并经投标人确认的投标报价作为中标价外，中标价以开标时公开唱标价为准。</w:t>
      </w:r>
    </w:p>
    <w:p>
      <w:r>
        <w:rPr>
          <w:b/>
          <w:sz w:val="24"/>
        </w:rPr>
        <w:t>6.其他无效投标的情形：</w:t>
      </w:r>
    </w:p>
    <w:p>
      <w:pPr>
        <w:ind w:firstLine="480"/>
      </w:pPr>
      <w:r>
        <w:t>(1)评标期间，投标人没有按评标委员会的要求提交法定代表人或其委托代理人签字的澄清、说明、补正或改变了投标文件的实质性内容的。</w:t>
      </w:r>
    </w:p>
    <w:p>
      <w:pPr>
        <w:ind w:firstLine="480"/>
      </w:pPr>
      <w:r>
        <w:t>(2)投标文件提供虚假材料的。</w:t>
      </w:r>
    </w:p>
    <w:p>
      <w:pPr>
        <w:ind w:firstLine="480"/>
      </w:pPr>
      <w:r>
        <w:t>(3)投标人以他人名义投标、串通投标、以行贿手段谋取中标或者以其他弄虚作假方式投标的。</w:t>
      </w:r>
    </w:p>
    <w:p>
      <w:pPr>
        <w:ind w:firstLine="480"/>
      </w:pPr>
      <w:r>
        <w:t>(4)投标人对采购人、采购代理机构、评标委员会及其工作人员施加影响，有碍招标公平、公正的。</w:t>
      </w:r>
    </w:p>
    <w:p>
      <w:pPr>
        <w:ind w:firstLine="480"/>
      </w:pPr>
      <w:r>
        <w:t>(5)投标文件含有采购人不能接受的附加条件的。</w:t>
      </w:r>
    </w:p>
    <w:p>
      <w:pPr>
        <w:ind w:firstLine="480"/>
      </w:pPr>
      <w:r>
        <w:t>(6)法律、法规和招标文件规定的其他无效情形。</w:t>
      </w:r>
    </w:p>
    <w:p>
      <w:pPr>
        <w:ind w:firstLine="480"/>
      </w:pPr>
    </w:p>
    <w:p>
      <w: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t xml:space="preserve"> </w:t>
      </w:r>
    </w:p>
    <w:p>
      <w:pPr>
        <w:ind w:firstLine="480"/>
        <w:jc w:val="both"/>
      </w:pPr>
    </w:p>
    <w:p>
      <w:pPr>
        <w:jc w:val="both"/>
      </w:pPr>
    </w:p>
    <w:p>
      <w:pPr>
        <w:jc w:val="center"/>
      </w:pPr>
      <w:r>
        <w:rPr>
          <w:sz w:val="21"/>
        </w:rPr>
        <w:t xml:space="preserve"> </w:t>
      </w:r>
    </w:p>
    <w:p>
      <w:pPr>
        <w:jc w:val="center"/>
      </w:pPr>
      <w:r>
        <w:t xml:space="preserve"> </w:t>
      </w:r>
    </w:p>
    <w:p>
      <w:pPr>
        <w:jc w:val="center"/>
      </w:pPr>
      <w:r>
        <w:t xml:space="preserve"> </w:t>
      </w:r>
    </w:p>
    <w:p>
      <w:pPr>
        <w:jc w:val="center"/>
      </w:pPr>
      <w:r>
        <w:t xml:space="preserve"> </w:t>
      </w:r>
    </w:p>
    <w:p>
      <w:pPr>
        <w:jc w:val="center"/>
      </w:pPr>
      <w:r>
        <w:t xml:space="preserve"> </w:t>
      </w:r>
    </w:p>
    <w:p>
      <w:pPr>
        <w:jc w:val="center"/>
      </w:pPr>
      <w:r>
        <w:t xml:space="preserve"> </w:t>
      </w:r>
    </w:p>
    <w:p>
      <w:pPr>
        <w:jc w:val="center"/>
      </w:pPr>
      <w:r>
        <w:t xml:space="preserve"> </w:t>
      </w:r>
    </w:p>
    <w:p>
      <w:pPr>
        <w:jc w:val="center"/>
      </w:pPr>
    </w:p>
    <w:p>
      <w:pPr>
        <w:jc w:val="center"/>
      </w:pPr>
      <w:r>
        <w:rPr>
          <w:b/>
          <w:sz w:val="48"/>
        </w:rPr>
        <w:t>广东省政府采购</w:t>
      </w:r>
    </w:p>
    <w:p>
      <w:pPr>
        <w:jc w:val="both"/>
      </w:pPr>
      <w:r>
        <w:rPr>
          <w:b/>
          <w:sz w:val="21"/>
        </w:rPr>
        <w:t xml:space="preserve"> </w:t>
      </w:r>
    </w:p>
    <w:p>
      <w:pPr>
        <w:jc w:val="center"/>
      </w:pPr>
      <w:r>
        <w:rPr>
          <w:b/>
          <w:sz w:val="48"/>
        </w:rPr>
        <w:t>合　同　书</w:t>
      </w:r>
    </w:p>
    <w:p>
      <w:pPr>
        <w:jc w:val="center"/>
      </w:pPr>
    </w:p>
    <w:p>
      <w:pPr>
        <w:jc w:val="center"/>
      </w:pPr>
    </w:p>
    <w:p>
      <w:pPr>
        <w:jc w:val="both"/>
      </w:pPr>
      <w:r>
        <w:rPr>
          <w:b/>
          <w:sz w:val="21"/>
        </w:rPr>
        <w:t xml:space="preserve">        （本合同范本仅供参考，中标人与采购人可根据双方的具体要求进行修订，双方所签订的合同不得对招标文件确定的事项和中标人投标文件作实质性修改。）</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left"/>
      </w:pPr>
    </w:p>
    <w:p>
      <w:pPr>
        <w:ind w:firstLine="2240"/>
        <w:jc w:val="both"/>
      </w:pPr>
      <w:r>
        <w:rPr>
          <w:color w:val="222222"/>
          <w:sz w:val="28"/>
        </w:rPr>
        <w:t>采购计划编号：</w:t>
      </w:r>
      <w:r>
        <w:rPr>
          <w:sz w:val="21"/>
          <w:u w:val="single"/>
        </w:rPr>
        <w:t xml:space="preserve">                    </w:t>
      </w:r>
    </w:p>
    <w:p>
      <w:pPr>
        <w:jc w:val="both"/>
      </w:pPr>
      <w:r>
        <w:rPr>
          <w:sz w:val="21"/>
        </w:rPr>
        <w:t xml:space="preserve"> </w:t>
      </w:r>
    </w:p>
    <w:p>
      <w:pPr>
        <w:ind w:firstLine="2240"/>
        <w:jc w:val="both"/>
      </w:pPr>
      <w:r>
        <w:rPr>
          <w:color w:val="222222"/>
          <w:sz w:val="28"/>
        </w:rPr>
        <w:t>项目编号：</w:t>
      </w:r>
      <w:r>
        <w:rPr>
          <w:sz w:val="21"/>
          <w:u w:val="single"/>
        </w:rPr>
        <w:t xml:space="preserve">                        </w:t>
      </w:r>
    </w:p>
    <w:p>
      <w:pPr>
        <w:jc w:val="both"/>
      </w:pPr>
      <w:r>
        <w:rPr>
          <w:sz w:val="21"/>
        </w:rPr>
        <w:t xml:space="preserve"> </w:t>
      </w:r>
    </w:p>
    <w:p>
      <w:pPr>
        <w:ind w:firstLine="2240"/>
        <w:jc w:val="both"/>
      </w:pPr>
      <w:r>
        <w:rPr>
          <w:color w:val="222222"/>
          <w:sz w:val="28"/>
        </w:rPr>
        <w:t>项目名称：</w:t>
      </w:r>
      <w:r>
        <w:rPr>
          <w:sz w:val="21"/>
          <w:u w:val="single"/>
        </w:rPr>
        <w:t xml:space="preserve">                        </w:t>
      </w:r>
    </w:p>
    <w:p>
      <w:pPr>
        <w:jc w:val="center"/>
      </w:pPr>
      <w:r>
        <w:rPr>
          <w:sz w:val="21"/>
        </w:rPr>
        <w:t xml:space="preserve"> </w:t>
      </w:r>
    </w:p>
    <w:p>
      <w:pPr>
        <w:jc w:val="center"/>
      </w:pPr>
      <w:r>
        <w:rPr>
          <w:sz w:val="21"/>
        </w:rPr>
        <w:t xml:space="preserve"> </w:t>
      </w:r>
    </w:p>
    <w:p>
      <w:pPr>
        <w:ind w:firstLine="1687"/>
        <w:jc w:val="left"/>
      </w:pPr>
      <w:r>
        <w:t xml:space="preserve"> </w:t>
      </w:r>
    </w:p>
    <w:p>
      <w:pPr>
        <w:ind w:firstLine="1687"/>
        <w:jc w:val="left"/>
      </w:pPr>
      <w:r>
        <w:t xml:space="preserve"> </w:t>
      </w:r>
    </w:p>
    <w:p>
      <w:pPr>
        <w:ind w:firstLine="1687"/>
        <w:jc w:val="left"/>
      </w:pPr>
      <w:r>
        <w:t xml:space="preserve"> </w:t>
      </w:r>
    </w:p>
    <w:p>
      <w:pPr>
        <w:ind w:firstLine="1687"/>
        <w:jc w:val="left"/>
      </w:pPr>
      <w:r>
        <w:t xml:space="preserve"> </w:t>
      </w:r>
    </w:p>
    <w:p>
      <w:pPr>
        <w:ind w:firstLine="1687"/>
        <w:jc w:val="left"/>
      </w:pPr>
      <w:r>
        <w:br w:type="textWrapping"/>
      </w:r>
      <w:r>
        <w:rPr>
          <w:b/>
          <w:sz w:val="27"/>
        </w:rPr>
        <w:t>甲　　方：</w:t>
      </w:r>
    </w:p>
    <w:p>
      <w:pPr>
        <w:jc w:val="both"/>
      </w:pPr>
      <w:r>
        <w:rPr>
          <w:sz w:val="27"/>
        </w:rPr>
        <w:t>电　　话：　　传　　真：　　地　　址：</w:t>
      </w:r>
    </w:p>
    <w:p>
      <w:pPr>
        <w:jc w:val="both"/>
      </w:pPr>
      <w:r>
        <w:rPr>
          <w:b/>
          <w:sz w:val="27"/>
        </w:rPr>
        <w:t>乙　　方：</w:t>
      </w:r>
    </w:p>
    <w:p>
      <w:pPr>
        <w:jc w:val="both"/>
      </w:pPr>
      <w:r>
        <w:rPr>
          <w:sz w:val="27"/>
        </w:rPr>
        <w:t>电　　话：　　传　　真：　　地　　址：</w:t>
      </w:r>
    </w:p>
    <w:p>
      <w:pPr>
        <w:jc w:val="both"/>
      </w:pPr>
      <w:r>
        <w:rPr>
          <w:sz w:val="21"/>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的采购结果，按照《中华人民共和国政府采购法》、《中华人民共和国民法典(合同编)》的规定，经双方协商，本着平等互利和诚实信用的原则，一致同意签订本合同如下。</w:t>
      </w:r>
    </w:p>
    <w:p>
      <w:pPr>
        <w:jc w:val="both"/>
      </w:pPr>
      <w:r>
        <w:rPr>
          <w:b/>
          <w:sz w:val="27"/>
        </w:rPr>
        <w:t>一、货物内容</w:t>
      </w:r>
    </w:p>
    <w:p>
      <w:pPr>
        <w:jc w:val="center"/>
      </w:pP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46"/>
        <w:gridCol w:w="3801"/>
        <w:gridCol w:w="746"/>
        <w:gridCol w:w="507"/>
        <w:gridCol w:w="507"/>
        <w:gridCol w:w="1000"/>
        <w:gridCol w:w="1000"/>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6" w:type="dxa"/>
            <w:tcBorders>
              <w:top w:val="single" w:color="CCCCCC" w:sz="4" w:space="0"/>
              <w:left w:val="single" w:color="CCCCCC" w:sz="4" w:space="0"/>
              <w:bottom w:val="single" w:color="CCCCCC" w:sz="4" w:space="0"/>
              <w:right w:val="single" w:color="CCCCCC" w:sz="4" w:space="0"/>
            </w:tcBorders>
            <w:vAlign w:val="top"/>
          </w:tcPr>
          <w:p>
            <w:pPr>
              <w:jc w:val="both"/>
            </w:pPr>
            <w:r>
              <w:rPr>
                <w:sz w:val="24"/>
              </w:rPr>
              <w:t>名称</w:t>
            </w:r>
          </w:p>
        </w:tc>
        <w:tc>
          <w:tcPr>
            <w:tcW w:w="3801" w:type="dxa"/>
            <w:tcBorders>
              <w:top w:val="single" w:color="CCCCCC" w:sz="4" w:space="0"/>
              <w:left w:val="single" w:color="000000" w:sz="4" w:space="0"/>
              <w:bottom w:val="single" w:color="CCCCCC" w:sz="4" w:space="0"/>
              <w:right w:val="single" w:color="CCCCCC" w:sz="4" w:space="0"/>
            </w:tcBorders>
            <w:vAlign w:val="top"/>
          </w:tcPr>
          <w:p>
            <w:pPr>
              <w:jc w:val="center"/>
            </w:pPr>
            <w:r>
              <w:rPr>
                <w:sz w:val="24"/>
              </w:rPr>
              <w:t>品牌、规格、标准/主要服务内容</w:t>
            </w:r>
          </w:p>
        </w:tc>
        <w:tc>
          <w:tcPr>
            <w:tcW w:w="746" w:type="dxa"/>
            <w:tcBorders>
              <w:top w:val="single" w:color="CCCCCC" w:sz="4" w:space="0"/>
              <w:left w:val="single" w:color="000000" w:sz="4" w:space="0"/>
              <w:bottom w:val="single" w:color="CCCCCC" w:sz="4" w:space="0"/>
              <w:right w:val="single" w:color="CCCCCC" w:sz="4" w:space="0"/>
            </w:tcBorders>
            <w:vAlign w:val="top"/>
          </w:tcPr>
          <w:p>
            <w:pPr>
              <w:jc w:val="both"/>
            </w:pPr>
            <w:r>
              <w:rPr>
                <w:sz w:val="24"/>
              </w:rPr>
              <w:t>产地</w:t>
            </w:r>
          </w:p>
        </w:tc>
        <w:tc>
          <w:tcPr>
            <w:tcW w:w="507" w:type="dxa"/>
            <w:tcBorders>
              <w:top w:val="single" w:color="CCCCCC" w:sz="4" w:space="0"/>
              <w:left w:val="single" w:color="000000" w:sz="4" w:space="0"/>
              <w:bottom w:val="single" w:color="CCCCCC" w:sz="4" w:space="0"/>
              <w:right w:val="single" w:color="CCCCCC" w:sz="4" w:space="0"/>
            </w:tcBorders>
            <w:vAlign w:val="top"/>
          </w:tcPr>
          <w:p>
            <w:pPr>
              <w:jc w:val="center"/>
            </w:pPr>
            <w:r>
              <w:rPr>
                <w:sz w:val="24"/>
              </w:rPr>
              <w:t>数量</w:t>
            </w:r>
          </w:p>
        </w:tc>
        <w:tc>
          <w:tcPr>
            <w:tcW w:w="507" w:type="dxa"/>
            <w:tcBorders>
              <w:top w:val="single" w:color="CCCCCC" w:sz="4" w:space="0"/>
              <w:left w:val="single" w:color="000000" w:sz="4" w:space="0"/>
              <w:bottom w:val="single" w:color="CCCCCC" w:sz="4" w:space="0"/>
              <w:right w:val="single" w:color="CCCCCC" w:sz="4" w:space="0"/>
            </w:tcBorders>
            <w:vAlign w:val="top"/>
          </w:tcPr>
          <w:p>
            <w:pPr>
              <w:jc w:val="center"/>
            </w:pPr>
            <w:r>
              <w:rPr>
                <w:sz w:val="24"/>
              </w:rPr>
              <w:t>单位</w:t>
            </w:r>
          </w:p>
        </w:tc>
        <w:tc>
          <w:tcPr>
            <w:tcW w:w="1000" w:type="dxa"/>
            <w:tcBorders>
              <w:top w:val="single" w:color="CCCCCC" w:sz="4" w:space="0"/>
              <w:left w:val="single" w:color="000000" w:sz="4" w:space="0"/>
              <w:bottom w:val="single" w:color="CCCCCC" w:sz="4" w:space="0"/>
              <w:right w:val="single" w:color="CCCCCC" w:sz="4" w:space="0"/>
            </w:tcBorders>
            <w:vAlign w:val="top"/>
          </w:tcPr>
          <w:p>
            <w:pPr>
              <w:jc w:val="center"/>
            </w:pPr>
            <w:r>
              <w:rPr>
                <w:sz w:val="24"/>
              </w:rPr>
              <w:t>单价</w:t>
            </w:r>
          </w:p>
          <w:p>
            <w:pPr>
              <w:jc w:val="center"/>
            </w:pPr>
            <w:r>
              <w:rPr>
                <w:sz w:val="24"/>
              </w:rPr>
              <w:t>（元）</w:t>
            </w:r>
          </w:p>
        </w:tc>
        <w:tc>
          <w:tcPr>
            <w:tcW w:w="1000" w:type="dxa"/>
            <w:tcBorders>
              <w:top w:val="single" w:color="CCCCCC" w:sz="4" w:space="0"/>
              <w:left w:val="single" w:color="000000" w:sz="4" w:space="0"/>
              <w:bottom w:val="single" w:color="CCCCCC" w:sz="4" w:space="0"/>
              <w:right w:val="single" w:color="CCCCCC" w:sz="4" w:space="0"/>
            </w:tcBorders>
            <w:vAlign w:val="top"/>
          </w:tcPr>
          <w:p>
            <w:pPr>
              <w:jc w:val="center"/>
            </w:pPr>
            <w:r>
              <w:rPr>
                <w:sz w:val="24"/>
              </w:rPr>
              <w:t>金额</w:t>
            </w:r>
          </w:p>
          <w:p>
            <w:pPr>
              <w:jc w:val="center"/>
            </w:pPr>
            <w:r>
              <w:rPr>
                <w:sz w:val="24"/>
              </w:rPr>
              <w:t>（元）</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6" w:type="dxa"/>
            <w:tcBorders>
              <w:top w:val="single" w:color="000000" w:sz="4" w:space="0"/>
              <w:left w:val="single" w:color="CCCCCC" w:sz="4" w:space="0"/>
              <w:bottom w:val="single" w:color="CCCCCC" w:sz="4" w:space="0"/>
              <w:right w:val="single" w:color="CCCCCC" w:sz="4" w:space="0"/>
            </w:tcBorders>
            <w:vAlign w:val="top"/>
          </w:tcPr>
          <w:p>
            <w:pPr>
              <w:jc w:val="center"/>
            </w:pPr>
            <w:r>
              <w:rPr>
                <w:sz w:val="24"/>
              </w:rPr>
              <w:t xml:space="preserve"> **</w:t>
            </w:r>
          </w:p>
        </w:tc>
        <w:tc>
          <w:tcPr>
            <w:tcW w:w="3801" w:type="dxa"/>
            <w:tcBorders>
              <w:top w:val="single" w:color="000000" w:sz="4" w:space="0"/>
              <w:left w:val="single" w:color="000000" w:sz="4" w:space="0"/>
              <w:bottom w:val="single" w:color="CCCCCC" w:sz="4" w:space="0"/>
              <w:right w:val="single" w:color="CCCCCC" w:sz="4" w:space="0"/>
            </w:tcBorders>
            <w:vAlign w:val="top"/>
          </w:tcPr>
          <w:p>
            <w:pPr>
              <w:jc w:val="center"/>
            </w:pPr>
            <w:r>
              <w:rPr>
                <w:sz w:val="24"/>
              </w:rPr>
              <w:t>**</w:t>
            </w:r>
          </w:p>
        </w:tc>
        <w:tc>
          <w:tcPr>
            <w:tcW w:w="746" w:type="dxa"/>
            <w:tcBorders>
              <w:top w:val="single" w:color="000000" w:sz="4" w:space="0"/>
              <w:left w:val="single" w:color="000000" w:sz="4" w:space="0"/>
              <w:bottom w:val="single" w:color="CCCCCC" w:sz="4" w:space="0"/>
              <w:right w:val="single" w:color="CCCCCC" w:sz="4" w:space="0"/>
            </w:tcBorders>
            <w:vAlign w:val="top"/>
          </w:tcPr>
          <w:p>
            <w:pPr>
              <w:jc w:val="center"/>
            </w:pPr>
            <w:r>
              <w:rPr>
                <w:sz w:val="24"/>
              </w:rPr>
              <w:t>**</w:t>
            </w:r>
          </w:p>
        </w:tc>
        <w:tc>
          <w:tcPr>
            <w:tcW w:w="507" w:type="dxa"/>
            <w:tcBorders>
              <w:top w:val="single" w:color="000000" w:sz="4" w:space="0"/>
              <w:left w:val="single" w:color="000000" w:sz="4" w:space="0"/>
              <w:bottom w:val="single" w:color="CCCCCC" w:sz="4" w:space="0"/>
              <w:right w:val="single" w:color="CCCCCC" w:sz="4" w:space="0"/>
            </w:tcBorders>
            <w:vAlign w:val="top"/>
          </w:tcPr>
          <w:p>
            <w:pPr>
              <w:jc w:val="center"/>
            </w:pPr>
            <w:r>
              <w:rPr>
                <w:sz w:val="24"/>
              </w:rPr>
              <w:t>**</w:t>
            </w:r>
          </w:p>
        </w:tc>
        <w:tc>
          <w:tcPr>
            <w:tcW w:w="507" w:type="dxa"/>
            <w:tcBorders>
              <w:top w:val="single" w:color="000000" w:sz="4" w:space="0"/>
              <w:left w:val="single" w:color="000000" w:sz="4" w:space="0"/>
              <w:bottom w:val="single" w:color="CCCCCC" w:sz="4" w:space="0"/>
              <w:right w:val="single" w:color="CCCCCC" w:sz="4" w:space="0"/>
            </w:tcBorders>
            <w:vAlign w:val="top"/>
          </w:tcPr>
          <w:p>
            <w:pPr>
              <w:jc w:val="center"/>
            </w:pPr>
            <w:r>
              <w:rPr>
                <w:sz w:val="24"/>
              </w:rPr>
              <w:t>**</w:t>
            </w:r>
          </w:p>
        </w:tc>
        <w:tc>
          <w:tcPr>
            <w:tcW w:w="1000" w:type="dxa"/>
            <w:tcBorders>
              <w:top w:val="single" w:color="000000" w:sz="4" w:space="0"/>
              <w:left w:val="single" w:color="000000" w:sz="4" w:space="0"/>
              <w:bottom w:val="single" w:color="CCCCCC" w:sz="4" w:space="0"/>
              <w:right w:val="single" w:color="CCCCCC" w:sz="4" w:space="0"/>
            </w:tcBorders>
            <w:vAlign w:val="top"/>
          </w:tcPr>
          <w:p>
            <w:pPr>
              <w:jc w:val="center"/>
            </w:pPr>
            <w:r>
              <w:rPr>
                <w:sz w:val="24"/>
              </w:rPr>
              <w:t xml:space="preserve"> **</w:t>
            </w:r>
          </w:p>
        </w:tc>
        <w:tc>
          <w:tcPr>
            <w:tcW w:w="1000" w:type="dxa"/>
            <w:tcBorders>
              <w:top w:val="single" w:color="000000" w:sz="4" w:space="0"/>
              <w:left w:val="single" w:color="000000" w:sz="4" w:space="0"/>
              <w:bottom w:val="single" w:color="CCCCCC" w:sz="4" w:space="0"/>
              <w:right w:val="single" w:color="CCCCCC" w:sz="4" w:space="0"/>
            </w:tcBorders>
            <w:vAlign w:val="top"/>
          </w:tcPr>
          <w:p>
            <w:pPr>
              <w:jc w:val="center"/>
            </w:pPr>
            <w:r>
              <w:rPr>
                <w:sz w:val="24"/>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6" w:type="dxa"/>
            <w:tcBorders>
              <w:top w:val="single" w:color="000000" w:sz="4" w:space="0"/>
              <w:left w:val="single" w:color="CCCCCC" w:sz="4" w:space="0"/>
              <w:bottom w:val="single" w:color="CCCCCC" w:sz="4" w:space="0"/>
              <w:right w:val="single" w:color="CCCCCC" w:sz="4" w:space="0"/>
            </w:tcBorders>
            <w:vAlign w:val="top"/>
          </w:tcPr>
          <w:p>
            <w:pPr>
              <w:jc w:val="center"/>
            </w:pPr>
            <w:r>
              <w:rPr>
                <w:sz w:val="21"/>
              </w:rPr>
              <w:t xml:space="preserve"> </w:t>
            </w:r>
          </w:p>
        </w:tc>
        <w:tc>
          <w:tcPr>
            <w:tcW w:w="3801"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746"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507"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507"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1000"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1000"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6" w:type="dxa"/>
            <w:tcBorders>
              <w:top w:val="single" w:color="000000" w:sz="4" w:space="0"/>
              <w:left w:val="single" w:color="CCCCCC" w:sz="4" w:space="0"/>
              <w:bottom w:val="single" w:color="CCCCCC" w:sz="4" w:space="0"/>
              <w:right w:val="single" w:color="CCCCCC" w:sz="4" w:space="0"/>
            </w:tcBorders>
            <w:vAlign w:val="top"/>
          </w:tcPr>
          <w:p>
            <w:pPr>
              <w:jc w:val="center"/>
            </w:pPr>
            <w:r>
              <w:rPr>
                <w:sz w:val="21"/>
              </w:rPr>
              <w:t xml:space="preserve"> </w:t>
            </w:r>
          </w:p>
        </w:tc>
        <w:tc>
          <w:tcPr>
            <w:tcW w:w="3801"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746"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507"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507"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1000"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1000"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6" w:type="dxa"/>
            <w:tcBorders>
              <w:top w:val="single" w:color="000000" w:sz="4" w:space="0"/>
              <w:left w:val="single" w:color="CCCCCC" w:sz="4" w:space="0"/>
              <w:bottom w:val="single" w:color="CCCCCC" w:sz="4" w:space="0"/>
              <w:right w:val="single" w:color="CCCCCC" w:sz="4" w:space="0"/>
            </w:tcBorders>
            <w:vAlign w:val="top"/>
          </w:tcPr>
          <w:p>
            <w:pPr>
              <w:jc w:val="center"/>
            </w:pPr>
            <w:r>
              <w:rPr>
                <w:sz w:val="21"/>
              </w:rPr>
              <w:t xml:space="preserve"> </w:t>
            </w:r>
          </w:p>
        </w:tc>
        <w:tc>
          <w:tcPr>
            <w:tcW w:w="3801"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746"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507"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507"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1000"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1000"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6" w:type="dxa"/>
            <w:tcBorders>
              <w:top w:val="single" w:color="000000" w:sz="4" w:space="0"/>
              <w:left w:val="single" w:color="CCCCCC" w:sz="4" w:space="0"/>
              <w:bottom w:val="single" w:color="CCCCCC" w:sz="4" w:space="0"/>
              <w:right w:val="single" w:color="CCCCCC" w:sz="4" w:space="0"/>
            </w:tcBorders>
            <w:vAlign w:val="top"/>
          </w:tcPr>
          <w:p>
            <w:pPr>
              <w:jc w:val="center"/>
            </w:pPr>
            <w:r>
              <w:rPr>
                <w:sz w:val="21"/>
              </w:rPr>
              <w:t xml:space="preserve"> </w:t>
            </w:r>
          </w:p>
        </w:tc>
        <w:tc>
          <w:tcPr>
            <w:tcW w:w="3801"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746"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507"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507"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1000"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c>
          <w:tcPr>
            <w:tcW w:w="1000" w:type="dxa"/>
            <w:tcBorders>
              <w:top w:val="single" w:color="000000" w:sz="4" w:space="0"/>
              <w:left w:val="single" w:color="000000" w:sz="4" w:space="0"/>
              <w:bottom w:val="single" w:color="CCCCCC" w:sz="4" w:space="0"/>
              <w:right w:val="single" w:color="CCCCCC" w:sz="4" w:space="0"/>
            </w:tcBorders>
            <w:vAlign w:val="top"/>
          </w:tcPr>
          <w:p>
            <w:pPr>
              <w:jc w:val="center"/>
            </w:pPr>
            <w:r>
              <w:rPr>
                <w:sz w:val="21"/>
              </w:rPr>
              <w:t xml:space="preserve"> </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07" w:type="dxa"/>
            <w:gridSpan w:val="6"/>
            <w:tcBorders>
              <w:top w:val="single" w:color="000000" w:sz="4" w:space="0"/>
              <w:left w:val="single" w:color="CCCCCC" w:sz="4" w:space="0"/>
              <w:bottom w:val="single" w:color="CCCCCC" w:sz="4" w:space="0"/>
              <w:right w:val="single" w:color="CCCCCC" w:sz="4" w:space="0"/>
            </w:tcBorders>
            <w:vAlign w:val="top"/>
          </w:tcPr>
          <w:p>
            <w:pPr>
              <w:jc w:val="center"/>
            </w:pPr>
            <w:r>
              <w:rPr>
                <w:sz w:val="24"/>
              </w:rPr>
              <w:t>合计：人民币大写：**元整</w:t>
            </w:r>
          </w:p>
        </w:tc>
        <w:tc>
          <w:tcPr>
            <w:tcW w:w="1000" w:type="dxa"/>
            <w:tcBorders>
              <w:top w:val="single" w:color="000000" w:sz="4" w:space="0"/>
              <w:left w:val="single" w:color="000000" w:sz="4" w:space="0"/>
              <w:bottom w:val="single" w:color="CCCCCC" w:sz="4" w:space="0"/>
              <w:right w:val="single" w:color="CCCCCC" w:sz="4" w:space="0"/>
            </w:tcBorders>
            <w:vAlign w:val="top"/>
          </w:tcPr>
          <w:p>
            <w:pPr>
              <w:jc w:val="center"/>
            </w:pPr>
            <w:r>
              <w:rPr>
                <w:sz w:val="24"/>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6" w:type="dxa"/>
            <w:tcBorders>
              <w:top w:val="nil"/>
              <w:left w:val="nil"/>
              <w:bottom w:val="nil"/>
              <w:right w:val="nil"/>
            </w:tcBorders>
            <w:vAlign w:val="top"/>
          </w:tcPr>
          <w:p>
            <w:pPr>
              <w:jc w:val="both"/>
            </w:pPr>
            <w:r>
              <w:rPr>
                <w:sz w:val="21"/>
              </w:rPr>
              <w:t xml:space="preserve"> </w:t>
            </w:r>
          </w:p>
        </w:tc>
        <w:tc>
          <w:tcPr>
            <w:tcW w:w="3801" w:type="dxa"/>
            <w:tcBorders>
              <w:top w:val="nil"/>
              <w:left w:val="nil"/>
              <w:bottom w:val="nil"/>
              <w:right w:val="nil"/>
            </w:tcBorders>
            <w:vAlign w:val="top"/>
          </w:tcPr>
          <w:p>
            <w:pPr>
              <w:jc w:val="both"/>
            </w:pPr>
            <w:r>
              <w:rPr>
                <w:sz w:val="21"/>
              </w:rPr>
              <w:t xml:space="preserve"> </w:t>
            </w:r>
          </w:p>
        </w:tc>
        <w:tc>
          <w:tcPr>
            <w:tcW w:w="746" w:type="dxa"/>
            <w:tcBorders>
              <w:top w:val="nil"/>
              <w:left w:val="nil"/>
              <w:bottom w:val="nil"/>
              <w:right w:val="nil"/>
            </w:tcBorders>
            <w:vAlign w:val="top"/>
          </w:tcPr>
          <w:p>
            <w:pPr>
              <w:jc w:val="both"/>
            </w:pPr>
            <w:r>
              <w:rPr>
                <w:sz w:val="21"/>
              </w:rPr>
              <w:t xml:space="preserve"> </w:t>
            </w:r>
          </w:p>
        </w:tc>
        <w:tc>
          <w:tcPr>
            <w:tcW w:w="507" w:type="dxa"/>
            <w:tcBorders>
              <w:top w:val="nil"/>
              <w:left w:val="nil"/>
              <w:bottom w:val="nil"/>
              <w:right w:val="nil"/>
            </w:tcBorders>
            <w:vAlign w:val="top"/>
          </w:tcPr>
          <w:p>
            <w:pPr>
              <w:jc w:val="both"/>
            </w:pPr>
            <w:r>
              <w:rPr>
                <w:sz w:val="21"/>
              </w:rPr>
              <w:t xml:space="preserve"> </w:t>
            </w:r>
          </w:p>
        </w:tc>
        <w:tc>
          <w:tcPr>
            <w:tcW w:w="507" w:type="dxa"/>
            <w:tcBorders>
              <w:top w:val="nil"/>
              <w:left w:val="nil"/>
              <w:bottom w:val="nil"/>
              <w:right w:val="nil"/>
            </w:tcBorders>
            <w:vAlign w:val="top"/>
          </w:tcPr>
          <w:p>
            <w:pPr>
              <w:jc w:val="both"/>
            </w:pPr>
            <w:r>
              <w:rPr>
                <w:sz w:val="21"/>
              </w:rPr>
              <w:t xml:space="preserve"> </w:t>
            </w:r>
          </w:p>
        </w:tc>
        <w:tc>
          <w:tcPr>
            <w:tcW w:w="1000" w:type="dxa"/>
            <w:tcBorders>
              <w:top w:val="nil"/>
              <w:left w:val="nil"/>
              <w:bottom w:val="nil"/>
              <w:right w:val="nil"/>
            </w:tcBorders>
            <w:vAlign w:val="top"/>
          </w:tcPr>
          <w:p>
            <w:pPr>
              <w:jc w:val="both"/>
            </w:pPr>
            <w:r>
              <w:rPr>
                <w:sz w:val="21"/>
              </w:rPr>
              <w:t xml:space="preserve"> </w:t>
            </w:r>
          </w:p>
        </w:tc>
        <w:tc>
          <w:tcPr>
            <w:tcW w:w="1000" w:type="dxa"/>
            <w:tcBorders>
              <w:top w:val="nil"/>
              <w:left w:val="nil"/>
              <w:bottom w:val="nil"/>
              <w:right w:val="nil"/>
            </w:tcBorders>
            <w:vAlign w:val="top"/>
          </w:tcPr>
          <w:p>
            <w:pPr>
              <w:jc w:val="both"/>
            </w:pPr>
            <w:r>
              <w:rPr>
                <w:sz w:val="21"/>
              </w:rPr>
              <w:t xml:space="preserve"> </w:t>
            </w:r>
          </w:p>
        </w:tc>
      </w:tr>
    </w:tbl>
    <w:p>
      <w:pPr>
        <w:jc w:val="both"/>
      </w:pPr>
      <w:r>
        <w:rPr>
          <w:sz w:val="21"/>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二、合同金额</w:t>
      </w:r>
    </w:p>
    <w:p>
      <w:pPr>
        <w:jc w:val="both"/>
      </w:pPr>
      <w:r>
        <w:rPr>
          <w:sz w:val="27"/>
        </w:rPr>
        <w:t>合同金额为（大写）：_________________元（￥_______________元）人民币。</w:t>
      </w:r>
    </w:p>
    <w:p>
      <w:pPr>
        <w:jc w:val="both"/>
      </w:pPr>
      <w:r>
        <w:rPr>
          <w:b/>
          <w:sz w:val="27"/>
        </w:rPr>
        <w:t>三、设备要求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四、交货期、交货方式及交货地点</w:t>
      </w:r>
    </w:p>
    <w:p>
      <w:pPr>
        <w:jc w:val="both"/>
      </w:pPr>
      <w:r>
        <w:rPr>
          <w:sz w:val="27"/>
        </w:rPr>
        <w:t xml:space="preserve">       1.交货期：</w:t>
      </w:r>
    </w:p>
    <w:p>
      <w:pPr>
        <w:jc w:val="both"/>
      </w:pPr>
      <w:r>
        <w:rPr>
          <w:sz w:val="27"/>
        </w:rPr>
        <w:t xml:space="preserve">       2.交货方式：</w:t>
      </w:r>
    </w:p>
    <w:p>
      <w:pPr>
        <w:jc w:val="both"/>
      </w:pPr>
      <w:r>
        <w:rPr>
          <w:sz w:val="27"/>
        </w:rPr>
        <w:t xml:space="preserve">       3.交货地点：</w:t>
      </w:r>
    </w:p>
    <w:p>
      <w:pPr>
        <w:jc w:val="both"/>
      </w:pPr>
      <w:r>
        <w:rPr>
          <w:b/>
          <w:sz w:val="27"/>
        </w:rPr>
        <w:t>五、付款方式</w:t>
      </w:r>
    </w:p>
    <w:p>
      <w:pPr>
        <w:jc w:val="both"/>
      </w:pPr>
      <w:r>
        <w:rPr>
          <w:sz w:val="27"/>
        </w:rPr>
        <w:t>由甲方按下列程序在</w:t>
      </w:r>
      <w:r>
        <w:rPr>
          <w:sz w:val="21"/>
          <w:u w:val="single"/>
        </w:rPr>
        <w:t xml:space="preserve">       </w:t>
      </w:r>
      <w:r>
        <w:rPr>
          <w:sz w:val="27"/>
        </w:rPr>
        <w:t>内付款：</w:t>
      </w:r>
      <w:r>
        <w:br w:type="textWrapping"/>
      </w:r>
      <w:r>
        <w:rPr>
          <w:sz w:val="27"/>
        </w:rPr>
        <w:t>1期：支付比例30%,合同签订后在15个工作日内，支付合同总价的30％作预付款。</w:t>
      </w:r>
    </w:p>
    <w:p>
      <w:pPr>
        <w:jc w:val="both"/>
      </w:pPr>
      <w:r>
        <w:rPr>
          <w:sz w:val="27"/>
        </w:rPr>
        <w:t>2期：支付比例60%,完成供货、安装、调试、施工并验收合格后两个月内支付至合同总价的60％。</w:t>
      </w:r>
    </w:p>
    <w:p>
      <w:pPr>
        <w:jc w:val="both"/>
      </w:pPr>
      <w:r>
        <w:rPr>
          <w:sz w:val="27"/>
        </w:rPr>
        <w:t>3期：支付比例10%,设备运行三个月后付清余款。</w:t>
      </w:r>
    </w:p>
    <w:p>
      <w:pPr>
        <w:jc w:val="both"/>
      </w:pPr>
      <w:r>
        <w:rPr>
          <w:sz w:val="27"/>
        </w:rPr>
        <w:t>因甲方使用的是财政资金，甲方在上述约定的付款时间为向政府采购支付部门提出办理财政支付申请手续的时间（不含政府财政支付部门审核的时间），在规定时间内提出支付申请手续后即视为甲方已经按期支付。</w:t>
      </w:r>
      <w:r>
        <w:br w:type="textWrapping"/>
      </w:r>
    </w:p>
    <w:p>
      <w:pPr>
        <w:jc w:val="both"/>
      </w:pPr>
      <w:r>
        <w:rPr>
          <w:b/>
          <w:sz w:val="27"/>
        </w:rPr>
        <w:t>六、质保期及售后服务要求</w:t>
      </w:r>
    </w:p>
    <w:p>
      <w:pPr>
        <w:jc w:val="both"/>
      </w:pPr>
      <w:r>
        <w:rPr>
          <w:sz w:val="27"/>
        </w:rPr>
        <w:t>1.本合同的质量保证期（简称“质保期”）为</w:t>
      </w:r>
      <w:r>
        <w:rPr>
          <w:sz w:val="21"/>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2.质保期内，如设备或零部件因质量原因出现故障而造成短期停用时，则质保期和免费维修期相应顺延。如停用时间累计超过60天则质保期重新计算。</w:t>
      </w:r>
    </w:p>
    <w:p>
      <w:pPr>
        <w:jc w:val="both"/>
      </w:pPr>
      <w:r>
        <w:rPr>
          <w:sz w:val="27"/>
        </w:rPr>
        <w:t>3.对甲方的服务通知，乙方在接报后1小时内响应，</w:t>
      </w:r>
      <w:r>
        <w:rPr>
          <w:sz w:val="21"/>
          <w:u w:val="single"/>
        </w:rPr>
        <w:t xml:space="preserve">   </w:t>
      </w:r>
      <w:r>
        <w:rPr>
          <w:sz w:val="27"/>
        </w:rPr>
        <w:t>小时内到达现场，</w:t>
      </w:r>
      <w:r>
        <w:rPr>
          <w:sz w:val="21"/>
          <w:u w:val="single"/>
        </w:rPr>
        <w:t xml:space="preserve">  </w:t>
      </w:r>
      <w:r>
        <w:rPr>
          <w:sz w:val="27"/>
        </w:rPr>
        <w:t>小时内处理完毕。若在</w:t>
      </w:r>
      <w:r>
        <w:rPr>
          <w:sz w:val="21"/>
          <w:u w:val="single"/>
        </w:rPr>
        <w:t xml:space="preserve">   </w:t>
      </w:r>
      <w:r>
        <w:rPr>
          <w:sz w:val="27"/>
        </w:rPr>
        <w:t>小时内仍未能有效解决，乙方须免费提供同档次的设备予甲方临时使用。</w:t>
      </w:r>
    </w:p>
    <w:p>
      <w:pPr>
        <w:jc w:val="both"/>
      </w:pPr>
      <w:r>
        <w:rPr>
          <w:b/>
          <w:sz w:val="27"/>
        </w:rPr>
        <w:t>七、安装与调试</w:t>
      </w:r>
    </w:p>
    <w:p>
      <w:pPr>
        <w:jc w:val="both"/>
      </w:pPr>
      <w:r>
        <w:rPr>
          <w:sz w:val="27"/>
        </w:rPr>
        <w:t>1.乙方必须依照招标文件的要求和报价文件的承诺，将设备、系统安装并调试至正常运行的最佳状态。</w:t>
      </w:r>
    </w:p>
    <w:p>
      <w:pPr>
        <w:jc w:val="both"/>
      </w:pPr>
      <w:r>
        <w:rPr>
          <w:b/>
          <w:sz w:val="27"/>
        </w:rPr>
        <w:t>八、验收：</w:t>
      </w:r>
    </w:p>
    <w:p>
      <w:pPr>
        <w:jc w:val="both"/>
      </w:pPr>
      <w:r>
        <w:rPr>
          <w:sz w:val="27"/>
        </w:rPr>
        <w:t>1.乙方应给出项目详细的验收方案，包括验收项目、验收标准，验收实施办法等；</w:t>
      </w:r>
      <w:r>
        <w:br w:type="textWrapping"/>
      </w:r>
      <w:r>
        <w:rPr>
          <w:sz w:val="27"/>
        </w:rPr>
        <w:t>2.国内生产的部件必须有国家有关部门的认证合格证，强制认证产品必须有3C认证；</w:t>
      </w:r>
      <w:r>
        <w:br w:type="textWrapping"/>
      </w:r>
      <w:r>
        <w:rPr>
          <w:sz w:val="27"/>
        </w:rPr>
        <w:t>3.国外生产的部件必须有合法的进货渠道证明及原产地证明；</w:t>
      </w:r>
      <w:r>
        <w:br w:type="textWrapping"/>
      </w:r>
      <w:r>
        <w:rPr>
          <w:sz w:val="27"/>
        </w:rPr>
        <w:t>4.对属于国家规定强制检定或校准的进口仪器，乙方应提供进口检定或校准合格证书，否则不予验收；</w:t>
      </w:r>
      <w:r>
        <w:br w:type="textWrapping"/>
      </w:r>
      <w:r>
        <w:rPr>
          <w:sz w:val="27"/>
        </w:rPr>
        <w:t>5.验收由甲方、乙方及相关人员依国家有关标准、合同及有关附件要求进行；</w:t>
      </w:r>
      <w:r>
        <w:br w:type="textWrapping"/>
      </w:r>
      <w:r>
        <w:rPr>
          <w:sz w:val="27"/>
        </w:rPr>
        <w:t>6.如有必要项目验收由第三方对乙方所供主要设备进行技术检测，并出具技术检测报告，所需费用由乙方支付；</w:t>
      </w:r>
      <w:r>
        <w:br w:type="textWrapping"/>
      </w:r>
      <w:r>
        <w:rPr>
          <w:sz w:val="27"/>
        </w:rPr>
        <w:t>7.验收完毕由甲方及乙方在验收报告上签名。</w:t>
      </w:r>
    </w:p>
    <w:p>
      <w:pPr>
        <w:jc w:val="both"/>
      </w:pPr>
      <w:r>
        <w:rPr>
          <w:b/>
          <w:sz w:val="27"/>
        </w:rPr>
        <w:t>九、违约责任与赔偿损失</w:t>
      </w:r>
    </w:p>
    <w:p>
      <w:pPr>
        <w:jc w:val="both"/>
      </w:pPr>
      <w:r>
        <w:rPr>
          <w:sz w:val="27"/>
        </w:rPr>
        <w:t>1.乙方交付的货物、工程/提供的服务不符合本合同规定的，甲方有权拒收，并且乙方须向甲方支付本合同总价5%的违约金。</w:t>
      </w:r>
    </w:p>
    <w:p>
      <w:pPr>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1"/>
        </w:rPr>
        <w:t xml:space="preserve">       </w:t>
      </w:r>
      <w:r>
        <w:rPr>
          <w:sz w:val="21"/>
          <w:u w:val="single"/>
        </w:rPr>
        <w:t xml:space="preserve">                                                </w:t>
      </w:r>
    </w:p>
    <w:p>
      <w:pPr>
        <w:jc w:val="both"/>
      </w:pPr>
      <w:r>
        <w:rPr>
          <w:sz w:val="27"/>
        </w:rPr>
        <w:t>5.其它违约责任按《中华人民共和国民法典(合同编)》处理。</w:t>
      </w:r>
    </w:p>
    <w:p>
      <w:pPr>
        <w:jc w:val="both"/>
      </w:pPr>
      <w:r>
        <w:rPr>
          <w:b/>
          <w:sz w:val="27"/>
        </w:rPr>
        <w:t>十、争议的解决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十二、税费</w:t>
      </w:r>
    </w:p>
    <w:p>
      <w:pPr>
        <w:jc w:val="both"/>
      </w:pPr>
      <w:r>
        <w:rPr>
          <w:sz w:val="27"/>
        </w:rPr>
        <w:t>1.在中国境内、外发生的与本合同执行有关的一切税费均由乙方负担。</w:t>
      </w:r>
    </w:p>
    <w:p>
      <w:pPr>
        <w:jc w:val="both"/>
      </w:pPr>
      <w:r>
        <w:rPr>
          <w:b/>
          <w:sz w:val="27"/>
        </w:rPr>
        <w:t>十三、</w:t>
      </w:r>
      <w:r>
        <w:rPr>
          <w:sz w:val="21"/>
        </w:rPr>
        <w:t xml:space="preserve"> </w:t>
      </w:r>
      <w:r>
        <w:rPr>
          <w:b/>
          <w:sz w:val="27"/>
        </w:rPr>
        <w:t>其它</w:t>
      </w:r>
    </w:p>
    <w:p>
      <w:pPr>
        <w:jc w:val="both"/>
      </w:pPr>
      <w:r>
        <w:rPr>
          <w:sz w:val="27"/>
        </w:rPr>
        <w:t>1.本合同所有附件、招标文件、投标文件、中标通知书均为合同的有效组成部分，与本合同具有同等法律效力。</w:t>
      </w:r>
    </w:p>
    <w:p>
      <w:pPr>
        <w:jc w:val="both"/>
      </w:pPr>
      <w:r>
        <w:rPr>
          <w:sz w:val="27"/>
        </w:rPr>
        <w:t>2.在执行本合同的过程中，所有经双方签署确认的文件（包括会议纪要、补充协议、往来信函）即成为本合同的有效组成部分。</w:t>
      </w:r>
    </w:p>
    <w:p>
      <w:pPr>
        <w:jc w:val="both"/>
      </w:pPr>
      <w:r>
        <w:rPr>
          <w:sz w:val="27"/>
        </w:rPr>
        <w:t>3.如一方地址、电话、传真号码有变更，应在变更当日内书面通知对方，否则，应承担相应责任。</w:t>
      </w:r>
    </w:p>
    <w:p>
      <w:pPr>
        <w:jc w:val="both"/>
      </w:pPr>
      <w:r>
        <w:rPr>
          <w:sz w:val="27"/>
        </w:rPr>
        <w:t>4.除甲方事先书面同意外，乙方不得部分或全部转让其应履行的合同项下的义务。</w:t>
      </w:r>
    </w:p>
    <w:p>
      <w:pPr>
        <w:jc w:val="both"/>
      </w:pPr>
      <w:r>
        <w:rPr>
          <w:b/>
          <w:sz w:val="27"/>
        </w:rPr>
        <w:t>十四、</w:t>
      </w:r>
      <w:r>
        <w:rPr>
          <w:sz w:val="21"/>
        </w:rPr>
        <w:t xml:space="preserve">     </w:t>
      </w:r>
      <w:r>
        <w:rPr>
          <w:b/>
          <w:sz w:val="27"/>
        </w:rPr>
        <w:t>合同生效</w:t>
      </w:r>
    </w:p>
    <w:p>
      <w:pPr>
        <w:jc w:val="both"/>
      </w:pPr>
      <w:r>
        <w:rPr>
          <w:sz w:val="27"/>
        </w:rPr>
        <w:t>1.本合同在甲乙双方法人代表或其授权代表签字盖章后生效。</w:t>
      </w:r>
    </w:p>
    <w:p>
      <w:pPr>
        <w:jc w:val="both"/>
      </w:pPr>
      <w:r>
        <w:rPr>
          <w:sz w:val="27"/>
        </w:rPr>
        <w:t>2.合同一式</w:t>
      </w:r>
      <w:r>
        <w:rPr>
          <w:sz w:val="21"/>
          <w:u w:val="single"/>
        </w:rPr>
        <w:t xml:space="preserve">   </w:t>
      </w:r>
      <w:r>
        <w:rPr>
          <w:sz w:val="27"/>
        </w:rPr>
        <w:t>份。甲乙双方各执</w:t>
      </w:r>
      <w:r>
        <w:rPr>
          <w:sz w:val="21"/>
          <w:u w:val="single"/>
        </w:rPr>
        <w:t xml:space="preserve">  </w:t>
      </w:r>
      <w:r>
        <w:rPr>
          <w:sz w:val="27"/>
        </w:rPr>
        <w:t>份，代理机构执壹份。</w:t>
      </w:r>
    </w:p>
    <w:p>
      <w:pPr>
        <w:jc w:val="both"/>
      </w:pPr>
      <w:r>
        <w:rPr>
          <w:sz w:val="21"/>
        </w:rPr>
        <w:t xml:space="preserve"> </w:t>
      </w:r>
    </w:p>
    <w:p>
      <w:pPr>
        <w:jc w:val="both"/>
      </w:pPr>
      <w:r>
        <w:rPr>
          <w:b/>
          <w:sz w:val="27"/>
        </w:rPr>
        <w:t>甲方（盖章）：                           乙方（盖章）：</w:t>
      </w:r>
    </w:p>
    <w:p>
      <w:pPr>
        <w:jc w:val="both"/>
      </w:pPr>
      <w:r>
        <w:rPr>
          <w:b/>
          <w:sz w:val="27"/>
        </w:rPr>
        <w:t>代表：代表：</w:t>
      </w:r>
    </w:p>
    <w:p>
      <w:pPr>
        <w:jc w:val="both"/>
      </w:pPr>
      <w:r>
        <w:rPr>
          <w:sz w:val="27"/>
        </w:rPr>
        <w:t>签定地点：</w:t>
      </w:r>
    </w:p>
    <w:p>
      <w:pPr>
        <w:jc w:val="both"/>
      </w:pPr>
      <w:r>
        <w:rPr>
          <w:sz w:val="27"/>
        </w:rPr>
        <w:t>签定日期：　　　年　　月　　日  签定日期：　　　年　　月　　日</w:t>
      </w:r>
    </w:p>
    <w:p>
      <w:pPr>
        <w:jc w:val="both"/>
      </w:pPr>
      <w:r>
        <w:rPr>
          <w:sz w:val="27"/>
        </w:rPr>
        <w:t>开户名称：</w:t>
      </w:r>
    </w:p>
    <w:p>
      <w:pPr>
        <w:jc w:val="both"/>
      </w:pPr>
      <w:r>
        <w:rPr>
          <w:sz w:val="27"/>
        </w:rPr>
        <w:t>银行帐号：</w:t>
      </w:r>
    </w:p>
    <w:p>
      <w:pPr>
        <w:jc w:val="both"/>
      </w:pPr>
      <w:r>
        <w:rPr>
          <w:sz w:val="27"/>
        </w:rPr>
        <w:t>开户行：</w:t>
      </w:r>
    </w:p>
    <w:p>
      <w:pPr>
        <w:jc w:val="both"/>
      </w:pPr>
    </w:p>
    <w:p/>
    <w:p>
      <w:pPr>
        <w:ind w:firstLine="480"/>
      </w:pPr>
    </w:p>
    <w:p>
      <w:r>
        <w:t xml:space="preserve"> </w:t>
      </w:r>
    </w:p>
    <w:p/>
    <w:p>
      <w:pPr>
        <w:jc w:val="center"/>
      </w:pPr>
      <w:r>
        <w:rPr>
          <w:b/>
          <w:sz w:val="36"/>
        </w:rPr>
        <w:t>第六章 投标文件格式与要求</w:t>
      </w:r>
    </w:p>
    <w:p>
      <w:pPr>
        <w:ind w:firstLine="480"/>
      </w:pPr>
      <w:r>
        <w:t>投标人应提交证明其有资格参加投标和中标后有能力履行合同的相关文件，并作为其投标文件的一部分，所有文件必须真实可靠、不得伪造，否则将按相关规定予以处罚。</w:t>
      </w:r>
    </w:p>
    <w:p>
      <w:pPr>
        <w:ind w:firstLine="480"/>
      </w:pPr>
      <w:r>
        <w:t>1.法人或者其他组织的营业执照等证明文件，自然人的身份证明：</w:t>
      </w:r>
    </w:p>
    <w:p>
      <w:pPr>
        <w:ind w:firstLine="480"/>
      </w:pPr>
      <w: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t>2.财务状况报告，依法缴纳税收和社会保障资金的相关材料（详见资格性审查表要求）</w:t>
      </w:r>
    </w:p>
    <w:p>
      <w:pPr>
        <w:ind w:firstLine="480"/>
      </w:pPr>
      <w:r>
        <w:t>3.具有履行合同所必须的设备和专业技术能力的声明。</w:t>
      </w:r>
    </w:p>
    <w:p>
      <w:pPr>
        <w:ind w:firstLine="480"/>
      </w:pPr>
      <w:r>
        <w:t>4.投标人参加政府采购前三年内在经营活动中没有重大违法记录书面声明函。</w:t>
      </w:r>
    </w:p>
    <w:p>
      <w:pPr>
        <w:ind w:firstLine="480"/>
      </w:pPr>
      <w:r>
        <w:t>5.信用记录查询</w:t>
      </w:r>
    </w:p>
    <w:p>
      <w:pPr>
        <w:ind w:firstLine="480"/>
      </w:pPr>
      <w:r>
        <w:t>（1）查询渠道：通过“信用中国”网站(www.creditchina.gov.cn)和“中国政府采购网”（www.ccgp.gov.cn）进行查询；</w:t>
      </w:r>
    </w:p>
    <w:p>
      <w:pPr>
        <w:ind w:firstLine="480"/>
      </w:pPr>
      <w:r>
        <w:t>（2）查询截止时点：提交投标文件截止日当天；</w:t>
      </w:r>
    </w:p>
    <w:p>
      <w:pPr>
        <w:ind w:firstLine="480"/>
      </w:pPr>
      <w:r>
        <w:t>（3）查询记录：对列入失信被执行人、重大税收违法案件当事人名单、政府采购严重违法失信行为记录名单、信用报告进行查询；</w:t>
      </w:r>
    </w:p>
    <w:p>
      <w:pPr>
        <w:ind w:firstLine="480"/>
      </w:pPr>
      <w: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t>6. 按照招标文件要求，投标人应当提交的资格、资信证明文件。</w:t>
      </w:r>
    </w:p>
    <w:p>
      <w:pPr>
        <w:ind w:firstLine="480"/>
      </w:pPr>
    </w:p>
    <w:p>
      <w:r>
        <w:t xml:space="preserve"> </w:t>
      </w:r>
      <w:r>
        <w:br w:type="textWrapping"/>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pPr>
        <w:jc w:val="center"/>
      </w:pPr>
      <w:r>
        <w:rPr>
          <w:b/>
          <w:sz w:val="24"/>
        </w:rPr>
        <w:t>采购计划编号：442000-2023-02175</w:t>
      </w:r>
    </w:p>
    <w:p>
      <w:pPr>
        <w:jc w:val="center"/>
      </w:pPr>
      <w:r>
        <w:rPr>
          <w:b/>
          <w:sz w:val="24"/>
        </w:rPr>
        <w:t>采购项目编号：442000-2023-02175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t xml:space="preserve"> </w:t>
      </w:r>
    </w:p>
    <w:p/>
    <w:p>
      <w:pPr>
        <w:jc w:val="center"/>
      </w:pPr>
      <w:r>
        <w:rPr>
          <w:b/>
          <w:sz w:val="24"/>
        </w:rPr>
        <w:t>投标文件目录</w:t>
      </w:r>
    </w:p>
    <w:p>
      <w:pPr>
        <w:ind w:firstLine="480"/>
      </w:pPr>
      <w:r>
        <w:t>一、投标函</w:t>
      </w:r>
    </w:p>
    <w:p>
      <w:pPr>
        <w:ind w:firstLine="480"/>
      </w:pPr>
      <w:r>
        <w:t>二、开标一览表</w:t>
      </w:r>
    </w:p>
    <w:p>
      <w:pPr>
        <w:ind w:firstLine="480"/>
      </w:pPr>
      <w:r>
        <w:t>三、分项报价表</w:t>
      </w:r>
    </w:p>
    <w:p>
      <w:pPr>
        <w:ind w:firstLine="480"/>
      </w:pPr>
      <w:r>
        <w:t>四、政策适用性说明</w:t>
      </w:r>
    </w:p>
    <w:p>
      <w:pPr>
        <w:ind w:firstLine="480"/>
      </w:pPr>
      <w:r>
        <w:t>五、法定代表人证明书</w:t>
      </w:r>
    </w:p>
    <w:p>
      <w:pPr>
        <w:ind w:firstLine="480"/>
      </w:pPr>
      <w:r>
        <w:t>六、法定代表人授权书</w:t>
      </w:r>
    </w:p>
    <w:p>
      <w:pPr>
        <w:ind w:firstLine="480"/>
      </w:pPr>
      <w:r>
        <w:t>七、投标保证金</w:t>
      </w:r>
    </w:p>
    <w:p>
      <w:pPr>
        <w:ind w:firstLine="480"/>
      </w:pPr>
      <w:r>
        <w:t>八、提供具有独立承担民事责任的能力的证明材料</w:t>
      </w:r>
    </w:p>
    <w:p>
      <w:pPr>
        <w:ind w:firstLine="480"/>
      </w:pPr>
      <w:r>
        <w:t>九、资格性审查要求的其他资质证明文件</w:t>
      </w:r>
    </w:p>
    <w:p>
      <w:pPr>
        <w:ind w:firstLine="480"/>
      </w:pPr>
      <w:r>
        <w:t>十、承诺函</w:t>
      </w:r>
    </w:p>
    <w:p>
      <w:pPr>
        <w:ind w:firstLine="480"/>
      </w:pPr>
      <w:r>
        <w:t>十一、中小企业声明函</w:t>
      </w:r>
    </w:p>
    <w:p>
      <w:pPr>
        <w:ind w:firstLine="480"/>
      </w:pPr>
      <w:r>
        <w:t>十二、监狱企业</w:t>
      </w:r>
    </w:p>
    <w:p>
      <w:pPr>
        <w:ind w:firstLine="480"/>
      </w:pPr>
      <w:r>
        <w:t>十三、残疾人福利性单位声明函</w:t>
      </w:r>
    </w:p>
    <w:p>
      <w:pPr>
        <w:ind w:firstLine="480"/>
      </w:pPr>
      <w:r>
        <w:t>十四、联合体共同投标协议书</w:t>
      </w:r>
    </w:p>
    <w:p>
      <w:pPr>
        <w:ind w:firstLine="480"/>
      </w:pPr>
      <w:r>
        <w:t>十五、投标人业绩情况表</w:t>
      </w:r>
    </w:p>
    <w:p>
      <w:pPr>
        <w:ind w:firstLine="480"/>
      </w:pPr>
      <w:r>
        <w:t>十六、技术和服务要求响应表</w:t>
      </w:r>
    </w:p>
    <w:p>
      <w:pPr>
        <w:ind w:firstLine="480"/>
      </w:pPr>
      <w:r>
        <w:t>十七、商务条件响应表</w:t>
      </w:r>
    </w:p>
    <w:p>
      <w:pPr>
        <w:ind w:firstLine="480"/>
      </w:pPr>
      <w:r>
        <w:t>十八、履约进度计划表</w:t>
      </w:r>
    </w:p>
    <w:p>
      <w:pPr>
        <w:ind w:firstLine="480"/>
      </w:pPr>
      <w:r>
        <w:t>十九、各类证明材料</w:t>
      </w:r>
    </w:p>
    <w:p>
      <w:pPr>
        <w:ind w:firstLine="480"/>
      </w:pPr>
      <w:r>
        <w:t>二十、采购代理服务费支付承诺书</w:t>
      </w:r>
    </w:p>
    <w:p>
      <w:pPr>
        <w:ind w:firstLine="480"/>
      </w:pPr>
      <w:r>
        <w:t>二十一、需要采购人提供的附加条件</w:t>
      </w:r>
    </w:p>
    <w:p>
      <w:pPr>
        <w:ind w:firstLine="480"/>
      </w:pPr>
      <w:r>
        <w:t>二十二、询问函、质疑函、投诉书格式</w:t>
      </w:r>
    </w:p>
    <w:p>
      <w:pPr>
        <w:ind w:firstLine="480"/>
      </w:pPr>
      <w:r>
        <w:t>二十三、项目实施方案、质量保证及售后服务承诺等</w:t>
      </w:r>
    </w:p>
    <w:p>
      <w:pPr>
        <w:ind w:firstLine="480"/>
      </w:pPr>
      <w:r>
        <w:t>二十四、附件</w:t>
      </w:r>
    </w:p>
    <w:p>
      <w:pPr>
        <w:ind w:firstLine="480"/>
      </w:pPr>
    </w:p>
    <w:p>
      <w:r>
        <w:t xml:space="preserve"> </w:t>
      </w:r>
    </w:p>
    <w:p/>
    <w:p>
      <w:r>
        <w:rPr>
          <w:b/>
          <w:sz w:val="28"/>
        </w:rPr>
        <w:t>格式一：</w:t>
      </w:r>
    </w:p>
    <w:p>
      <w:r>
        <w:rPr>
          <w:b/>
          <w:sz w:val="24"/>
        </w:rPr>
        <w:t>投标函</w:t>
      </w:r>
    </w:p>
    <w:p>
      <w:pPr>
        <w:ind w:firstLine="480"/>
      </w:pPr>
      <w:r>
        <w:t>致：</w:t>
      </w:r>
      <w:r>
        <w:rPr>
          <w:u w:val="single"/>
        </w:rPr>
        <w:t>智林招标（广东）有限公司</w:t>
      </w:r>
    </w:p>
    <w:p>
      <w:pPr>
        <w:ind w:firstLine="480"/>
      </w:pPr>
      <w:r>
        <w:t>你方组织的</w:t>
      </w:r>
      <w:r>
        <w:rPr>
          <w:u w:val="single"/>
        </w:rPr>
        <w:t>“中山市食品药品检验所检验检测设备更新和能力提高项目”</w:t>
      </w:r>
      <w:r>
        <w:t>项目的招标[采购项目编号为：</w:t>
      </w:r>
      <w:r>
        <w:rPr>
          <w:u w:val="single"/>
        </w:rPr>
        <w:t>442000-2023-02175</w:t>
      </w:r>
      <w:r>
        <w:t>]，我方愿参与投标。</w:t>
      </w:r>
    </w:p>
    <w:p>
      <w:pPr>
        <w:ind w:firstLine="480"/>
      </w:pPr>
      <w:r>
        <w:t>我方确认收到贵方提供的</w:t>
      </w:r>
      <w:r>
        <w:rPr>
          <w:u w:val="single"/>
        </w:rPr>
        <w:t>“中山市食品药品检验所检验检测设备更新和能力提高项目”</w:t>
      </w:r>
      <w:r>
        <w:t>项目的招标文件的全部内容。</w:t>
      </w:r>
    </w:p>
    <w:p>
      <w:pPr>
        <w:ind w:firstLine="480"/>
      </w:pPr>
      <w: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t>作为投标人正式授权</w:t>
      </w:r>
      <w:r>
        <w:rPr>
          <w:u w:val="single"/>
        </w:rPr>
        <w:t>(授权代表全名,职务)</w:t>
      </w:r>
      <w:r>
        <w:t>代表我方全权处理有关本投标的一切事宜。</w:t>
      </w:r>
    </w:p>
    <w:p>
      <w:pPr>
        <w:ind w:firstLine="480"/>
      </w:pPr>
      <w:r>
        <w:t>我方已完全明白招标文件的所有条款要求，并申明如下：</w:t>
      </w:r>
    </w:p>
    <w:p>
      <w:pPr>
        <w:ind w:firstLine="480"/>
      </w:pPr>
      <w:r>
        <w:t>（一）按招标文件提供的全部货物与相关服务的投标总价详见《开标一览表》。</w:t>
      </w:r>
    </w:p>
    <w:p>
      <w:pPr>
        <w:ind w:firstLine="480"/>
      </w:pPr>
      <w:r>
        <w:t>（二）本投标文件的有效期为从提交投标（响应）文件的截止之日起90日历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t>（三）我方明白并同意，在规定的开标日之后，投标有效期之内撤回投标或中标后不按规定与采购人签订合同或不提交履约保证金, 则贵方将不予退还投标保证金。</w:t>
      </w:r>
    </w:p>
    <w:p>
      <w:pPr>
        <w:ind w:firstLine="480"/>
      </w:pPr>
      <w:r>
        <w:t>（四）我方愿意向贵方提供任何与本项报价有关的数据、情况和技术资料。若贵方需要，我方愿意提供我方作出的一切承诺的证明材料。</w:t>
      </w:r>
    </w:p>
    <w:p>
      <w:pPr>
        <w:ind w:firstLine="480"/>
      </w:pPr>
      <w:r>
        <w:t>（五）我方理解贵方不一定接受最低投标价或任何贵方可能收到的投标。</w:t>
      </w:r>
    </w:p>
    <w:p>
      <w:pPr>
        <w:ind w:firstLine="480"/>
      </w:pPr>
      <w:r>
        <w:t>（六）我方如果中标，将保证履行招标文件及其澄清、修改文件（如果有）中的全部责任和义务，按质、按量、按期完成《采购需求》及《合同书》中的全部任务。</w:t>
      </w:r>
    </w:p>
    <w:p>
      <w:pPr>
        <w:ind w:firstLine="480"/>
      </w:pPr>
      <w:r>
        <w:t>（七）我方作为法律、财务和运作上独立于采购人、采购代理机构的投标人，在此保证所提交的所有文件和全部说明是真实的和正确的。</w:t>
      </w:r>
    </w:p>
    <w:p>
      <w:pPr>
        <w:ind w:firstLine="480"/>
      </w:pPr>
      <w:r>
        <w:t>（八）我方投标报价已包含应向知识产权所有权人支付的所有相关税费，并保证采购人在中国使用我方提供的货物时，如有第三方提出侵犯其知识产权主张的，责任由我方承担。</w:t>
      </w:r>
    </w:p>
    <w:p>
      <w:pPr>
        <w:ind w:firstLine="480"/>
      </w:pPr>
      <w:r>
        <w:t>（九）我方接受采购人委托向贵方支付代理服务费，项目总报价已包含代理服务费，如果被确定为中标供应商，承诺向贵方足额支付。（若采购人支付代理服务费，则此条不适用）</w:t>
      </w:r>
    </w:p>
    <w:p>
      <w:pPr>
        <w:ind w:firstLine="480"/>
      </w:pPr>
      <w:r>
        <w:t>（十）我方与其他投标人不存在单位负责人为同一人或者存在直接控股、管理关系。</w:t>
      </w:r>
    </w:p>
    <w:p>
      <w:pPr>
        <w:ind w:firstLine="480"/>
      </w:pPr>
      <w:r>
        <w:t>（十一）我方承诺未为本项目提供整体设计、规范编制或者项目管理、监理、检测等服务。</w:t>
      </w:r>
    </w:p>
    <w:p>
      <w:pPr>
        <w:ind w:firstLine="480"/>
      </w:pPr>
      <w:r>
        <w:t>（十二）我方未被列入法院失信被执行人名单中。</w:t>
      </w:r>
    </w:p>
    <w:p>
      <w:pPr>
        <w:ind w:firstLine="480"/>
      </w:pPr>
      <w:r>
        <w:t>（十三）我方具备《中华人民共和国政府采购法》第二十二条规定的条件，承诺如下：</w:t>
      </w:r>
    </w:p>
    <w:p>
      <w:pPr>
        <w:ind w:firstLine="480"/>
      </w:pPr>
      <w: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t>（2）我方符合法律、行政法规规定的其他条件。</w:t>
      </w:r>
    </w:p>
    <w:p>
      <w:pPr>
        <w:ind w:firstLine="480"/>
      </w:pPr>
      <w:r>
        <w:t>以上内容如有虚假或与事实不符的，评标委员会可将我方做无效投标处理，我方愿意承担相应的法律责任。</w:t>
      </w:r>
    </w:p>
    <w:p>
      <w:pPr>
        <w:ind w:firstLine="480"/>
      </w:pPr>
      <w:r>
        <w:t>（十四）我方对在本函及投标文件中所作的所有承诺承担法律责任。</w:t>
      </w:r>
    </w:p>
    <w:p>
      <w:pPr>
        <w:ind w:firstLine="480"/>
      </w:pPr>
      <w:r>
        <w:t>（十五）所有与本招标有关的函件请发往下列地址：</w:t>
      </w:r>
    </w:p>
    <w:p>
      <w:pPr>
        <w:ind w:firstLine="480"/>
      </w:pPr>
      <w:r>
        <w:t>地 址：__________________邮政编码：__________________</w:t>
      </w:r>
    </w:p>
    <w:p>
      <w:pPr>
        <w:ind w:firstLine="480"/>
      </w:pPr>
      <w:r>
        <w:t>电 话：__________________</w:t>
      </w:r>
    </w:p>
    <w:p>
      <w:pPr>
        <w:ind w:firstLine="480"/>
      </w:pPr>
      <w:r>
        <w:t>传 真：__________________电子邮箱：__________________</w:t>
      </w:r>
    </w:p>
    <w:p>
      <w:pPr>
        <w:ind w:firstLine="480"/>
      </w:pPr>
      <w:r>
        <w:t>代表姓名：__________________职 务：__________________</w:t>
      </w:r>
    </w:p>
    <w:p>
      <w:pPr>
        <w:ind w:firstLine="480"/>
      </w:pPr>
    </w:p>
    <w:p>
      <w:pPr>
        <w:ind w:firstLine="480"/>
      </w:pPr>
    </w:p>
    <w:p>
      <w:pPr>
        <w:ind w:firstLine="480"/>
      </w:pPr>
    </w:p>
    <w:p>
      <w:pPr>
        <w:ind w:firstLine="480"/>
      </w:pPr>
    </w:p>
    <w:p>
      <w:r>
        <w:t>投标人法定代表人（或法定代表人授权代表）签字或盖章：__________________</w:t>
      </w:r>
    </w:p>
    <w:p>
      <w:r>
        <w:t>投标人名称（盖章）：__________________</w:t>
      </w:r>
    </w:p>
    <w:p>
      <w:r>
        <w:t>日期： 年 月 日</w:t>
      </w:r>
    </w:p>
    <w:p>
      <w:pPr>
        <w:ind w:firstLine="480"/>
      </w:pPr>
    </w:p>
    <w:p>
      <w:r>
        <w:t xml:space="preserve"> </w:t>
      </w:r>
    </w:p>
    <w:p/>
    <w:p>
      <w:r>
        <w:rPr>
          <w:b/>
          <w:sz w:val="28"/>
        </w:rPr>
        <w:t>格式二：</w:t>
      </w:r>
    </w:p>
    <w:p>
      <w:pPr>
        <w:jc w:val="center"/>
      </w:pPr>
      <w:r>
        <w:rPr>
          <w:b/>
          <w:sz w:val="24"/>
        </w:rPr>
        <w:t>开标一览表</w:t>
      </w:r>
    </w:p>
    <w:p>
      <w:pPr>
        <w:ind w:firstLine="480"/>
      </w:pPr>
      <w: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type="textWrapping"/>
      </w:r>
    </w:p>
    <w:p>
      <w:pPr>
        <w:ind w:firstLine="480"/>
      </w:pPr>
      <w:r>
        <w:t>采购项目编号：</w:t>
      </w:r>
    </w:p>
    <w:p>
      <w:pPr>
        <w:ind w:firstLine="480"/>
      </w:pPr>
      <w:r>
        <w:t>项目名称：</w:t>
      </w:r>
    </w:p>
    <w:p>
      <w:pPr>
        <w:ind w:firstLine="480"/>
      </w:pPr>
      <w:r>
        <w:t>投标人名称：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r>
              <w:t>序号</w:t>
            </w:r>
          </w:p>
        </w:tc>
        <w:tc>
          <w:tcPr>
            <w:tcW w:w="1661" w:type="dxa"/>
          </w:tcPr>
          <w:p>
            <w:r>
              <w:t>采购项目名称/采购包名称</w:t>
            </w:r>
          </w:p>
        </w:tc>
        <w:tc>
          <w:tcPr>
            <w:tcW w:w="1661" w:type="dxa"/>
          </w:tcPr>
          <w:p>
            <w:r>
              <w:t>投标报价（元/%）</w:t>
            </w:r>
          </w:p>
        </w:tc>
        <w:tc>
          <w:tcPr>
            <w:tcW w:w="1661" w:type="dxa"/>
          </w:tcPr>
          <w:p>
            <w:r>
              <w:t>交货或服务期</w:t>
            </w:r>
          </w:p>
        </w:tc>
        <w:tc>
          <w:tcPr>
            <w:tcW w:w="1661" w:type="dxa"/>
          </w:tcPr>
          <w:p>
            <w:r>
              <w:t>交货或服务地点</w:t>
            </w:r>
          </w:p>
        </w:tc>
      </w:tr>
      <w:tr>
        <w:tblPrEx>
          <w:tblCellMar>
            <w:top w:w="0" w:type="dxa"/>
            <w:left w:w="108" w:type="dxa"/>
            <w:bottom w:w="0" w:type="dxa"/>
            <w:right w:w="108" w:type="dxa"/>
          </w:tblCellMar>
        </w:tblPrEx>
        <w:tc>
          <w:tcPr>
            <w:tcW w:w="1661" w:type="dxa"/>
          </w:tcPr>
          <w:p>
            <w:r>
              <w:t>1</w:t>
            </w:r>
          </w:p>
        </w:tc>
        <w:tc>
          <w:tcPr>
            <w:tcW w:w="1661" w:type="dxa"/>
          </w:tcPr>
          <w:p/>
        </w:tc>
        <w:tc>
          <w:tcPr>
            <w:tcW w:w="1661" w:type="dxa"/>
          </w:tcPr>
          <w:p/>
        </w:tc>
        <w:tc>
          <w:tcPr>
            <w:tcW w:w="1661" w:type="dxa"/>
          </w:tcPr>
          <w:p/>
        </w:tc>
        <w:tc>
          <w:tcPr>
            <w:tcW w:w="1661" w:type="dxa"/>
          </w:tcPr>
          <w:p/>
        </w:tc>
      </w:tr>
    </w:tbl>
    <w:p>
      <w:r>
        <w:t>投标人签章：__________________</w:t>
      </w:r>
    </w:p>
    <w:p>
      <w:r>
        <w:t>日期： 年 月 日</w:t>
      </w:r>
    </w:p>
    <w:p>
      <w:pPr>
        <w:ind w:firstLine="480"/>
      </w:pPr>
    </w:p>
    <w:p>
      <w:r>
        <w:t xml:space="preserve"> </w:t>
      </w:r>
    </w:p>
    <w:p/>
    <w:p>
      <w:r>
        <w:rPr>
          <w:b/>
          <w:sz w:val="28"/>
        </w:rPr>
        <w:t>格式三：</w:t>
      </w:r>
    </w:p>
    <w:p>
      <w:pPr>
        <w:jc w:val="center"/>
      </w:pPr>
      <w:r>
        <w:rPr>
          <w:b/>
          <w:sz w:val="24"/>
        </w:rPr>
        <w:t>分项报价表</w:t>
      </w:r>
    </w:p>
    <w:p>
      <w:pPr>
        <w:ind w:firstLine="480"/>
      </w:pPr>
      <w: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type="textWrapping"/>
      </w:r>
    </w:p>
    <w:p>
      <w:pPr>
        <w:ind w:firstLine="480"/>
      </w:pPr>
      <w:r>
        <w:t>采购项目编号：</w:t>
      </w:r>
    </w:p>
    <w:p>
      <w:pPr>
        <w:ind w:firstLine="480"/>
      </w:pPr>
      <w:r>
        <w:t>项目名称：</w:t>
      </w:r>
    </w:p>
    <w:p>
      <w:pPr>
        <w:ind w:firstLine="480"/>
      </w:pPr>
      <w:r>
        <w:t>投标人名称：</w:t>
      </w:r>
    </w:p>
    <w:p>
      <w:pPr>
        <w:ind w:firstLine="480"/>
      </w:pPr>
      <w:r>
        <w:t>采购包：</w:t>
      </w:r>
    </w:p>
    <w:p>
      <w:r>
        <w:t>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货物名称</w:t>
            </w:r>
          </w:p>
        </w:tc>
        <w:tc>
          <w:tcPr>
            <w:tcW w:w="831" w:type="dxa"/>
          </w:tcPr>
          <w:p>
            <w:r>
              <w:t>规格型号</w:t>
            </w:r>
          </w:p>
        </w:tc>
        <w:tc>
          <w:tcPr>
            <w:tcW w:w="831" w:type="dxa"/>
          </w:tcPr>
          <w:p>
            <w:r>
              <w:t>品牌</w:t>
            </w:r>
          </w:p>
        </w:tc>
        <w:tc>
          <w:tcPr>
            <w:tcW w:w="831" w:type="dxa"/>
          </w:tcPr>
          <w:p>
            <w:r>
              <w:t>产地</w:t>
            </w:r>
          </w:p>
        </w:tc>
        <w:tc>
          <w:tcPr>
            <w:tcW w:w="831" w:type="dxa"/>
          </w:tcPr>
          <w:p>
            <w:r>
              <w:t>制造商名称</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r>
        <w:br w:type="textWrapping"/>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服务名称</w:t>
            </w:r>
          </w:p>
        </w:tc>
        <w:tc>
          <w:tcPr>
            <w:tcW w:w="831" w:type="dxa"/>
          </w:tcPr>
          <w:p>
            <w:r>
              <w:t>服务范围</w:t>
            </w:r>
          </w:p>
        </w:tc>
        <w:tc>
          <w:tcPr>
            <w:tcW w:w="831" w:type="dxa"/>
          </w:tcPr>
          <w:p>
            <w:r>
              <w:t>服务要求</w:t>
            </w:r>
          </w:p>
        </w:tc>
        <w:tc>
          <w:tcPr>
            <w:tcW w:w="831" w:type="dxa"/>
          </w:tcPr>
          <w:p>
            <w:r>
              <w:t>服务期限</w:t>
            </w:r>
          </w:p>
        </w:tc>
        <w:tc>
          <w:tcPr>
            <w:tcW w:w="831" w:type="dxa"/>
          </w:tcPr>
          <w:p>
            <w:r>
              <w:t>服务标准</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r>
        <w:t>投标人签章：__________________</w:t>
      </w:r>
    </w:p>
    <w:p>
      <w:r>
        <w:t>日期： 年 月 日</w:t>
      </w:r>
    </w:p>
    <w:p>
      <w:pPr>
        <w:ind w:firstLine="480"/>
      </w:pPr>
    </w:p>
    <w:p>
      <w:r>
        <w:t xml:space="preserve"> </w:t>
      </w:r>
    </w:p>
    <w:p/>
    <w:p>
      <w:r>
        <w:rPr>
          <w:b/>
          <w:sz w:val="28"/>
        </w:rPr>
        <w:t>格式四：</w:t>
      </w:r>
    </w:p>
    <w:p>
      <w:pPr>
        <w:jc w:val="center"/>
      </w:pPr>
      <w:r>
        <w:rPr>
          <w:b/>
          <w:sz w:val="24"/>
        </w:rPr>
        <w:t>政策适用性说明</w:t>
      </w:r>
    </w:p>
    <w:p>
      <w:pPr>
        <w:ind w:firstLine="480"/>
      </w:pPr>
      <w:r>
        <w:t>按照政府采购有关政策的要求，在本次的技术方案中，采用符合政策的小型或微型企业产品、节能产品、环境标志产品，主要产品与核心技术介绍说明如下：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序号</w:t>
            </w:r>
          </w:p>
        </w:tc>
        <w:tc>
          <w:tcPr>
            <w:tcW w:w="1038" w:type="dxa"/>
          </w:tcPr>
          <w:p>
            <w:r>
              <w:t>主要产品/技术名称（规格型号、注册商标）</w:t>
            </w:r>
          </w:p>
        </w:tc>
        <w:tc>
          <w:tcPr>
            <w:tcW w:w="1038" w:type="dxa"/>
          </w:tcPr>
          <w:p>
            <w:r>
              <w:t>制造商(开发商)</w:t>
            </w:r>
          </w:p>
        </w:tc>
        <w:tc>
          <w:tcPr>
            <w:tcW w:w="1038" w:type="dxa"/>
          </w:tcPr>
          <w:p>
            <w:r>
              <w:t>制造商企业类型</w:t>
            </w:r>
          </w:p>
        </w:tc>
        <w:tc>
          <w:tcPr>
            <w:tcW w:w="1038" w:type="dxa"/>
          </w:tcPr>
          <w:p>
            <w:r>
              <w:t>节能产品</w:t>
            </w:r>
          </w:p>
        </w:tc>
        <w:tc>
          <w:tcPr>
            <w:tcW w:w="1038" w:type="dxa"/>
          </w:tcPr>
          <w:p>
            <w:r>
              <w:t>环境标志产品</w:t>
            </w:r>
          </w:p>
        </w:tc>
        <w:tc>
          <w:tcPr>
            <w:tcW w:w="1038" w:type="dxa"/>
          </w:tcPr>
          <w:p>
            <w:r>
              <w:t>认证证书编号</w:t>
            </w:r>
          </w:p>
        </w:tc>
        <w:tc>
          <w:tcPr>
            <w:tcW w:w="1038" w:type="dxa"/>
          </w:tcPr>
          <w:p>
            <w: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1</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2</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3</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4</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5</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bl>
    <w:p>
      <w:pPr>
        <w:ind w:firstLine="480"/>
      </w:pPr>
      <w:r>
        <w:t>注：1.制造商为小型或微型企业时才需要填“制造商企业类型”栏,填写内容为“小型”或“微型”；</w:t>
      </w:r>
    </w:p>
    <w:p>
      <w:pPr>
        <w:ind w:firstLine="480"/>
      </w:pPr>
      <w:r>
        <w:t>2.“节能产品、环境标志产品”须填写认证证书编号，并在对应“节能产品”、“环境标志产品”栏中勾选，同时提供有效期内的证书复印件（加盖投标人公章）</w:t>
      </w:r>
    </w:p>
    <w:p>
      <w:r>
        <w:t xml:space="preserve"> 投标人名称（盖章）：__________________</w:t>
      </w:r>
    </w:p>
    <w:p>
      <w:r>
        <w:t>日期： 年 月 日</w:t>
      </w:r>
    </w:p>
    <w:p>
      <w:pPr>
        <w:ind w:firstLine="480"/>
      </w:pPr>
    </w:p>
    <w:p>
      <w:r>
        <w:t xml:space="preserve"> </w:t>
      </w:r>
    </w:p>
    <w:p/>
    <w:p>
      <w:r>
        <w:rPr>
          <w:b/>
          <w:sz w:val="28"/>
        </w:rPr>
        <w:t>格式五：</w:t>
      </w:r>
    </w:p>
    <w:p>
      <w:pPr>
        <w:ind w:firstLine="480"/>
      </w:pPr>
      <w:r>
        <w:t>（投标人可使用下述格式，也可使用广东省工商行政管理局统一印制的法定代表人证明书格式）</w:t>
      </w:r>
    </w:p>
    <w:p>
      <w:pPr>
        <w:jc w:val="center"/>
      </w:pPr>
      <w:r>
        <w:rPr>
          <w:b/>
          <w:sz w:val="24"/>
        </w:rPr>
        <w:t>法定代表人证明书</w:t>
      </w:r>
    </w:p>
    <w:p>
      <w:pPr>
        <w:ind w:firstLine="480"/>
      </w:pPr>
      <w:r>
        <w:t>_____________现任我单位_____________职务，为法定代表人，特此证明。</w:t>
      </w:r>
    </w:p>
    <w:p>
      <w:pPr>
        <w:ind w:firstLine="480"/>
      </w:pPr>
      <w:r>
        <w:t>有效期限：__________________</w:t>
      </w:r>
    </w:p>
    <w:p>
      <w:pPr>
        <w:ind w:firstLine="480"/>
      </w:pPr>
      <w:r>
        <w:t>附：代表人性别：_____年龄：_________ 身份证号码：__________________</w:t>
      </w:r>
    </w:p>
    <w:p>
      <w:pPr>
        <w:ind w:firstLine="480"/>
      </w:pPr>
      <w:r>
        <w:t>注册号码：____________________企业类型：____________________________</w:t>
      </w:r>
    </w:p>
    <w:p>
      <w:pPr>
        <w:ind w:firstLine="480"/>
      </w:pPr>
      <w:r>
        <w:t>经营范围：__________________________</w:t>
      </w:r>
    </w:p>
    <w:p>
      <w:pPr>
        <w:ind w:firstLine="480"/>
      </w:pPr>
    </w:p>
    <w:p>
      <w:pPr>
        <w:ind w:firstLine="480"/>
      </w:pPr>
    </w:p>
    <w:p>
      <w:r>
        <w:t xml:space="preserve"> 投标人名称（盖章）：__________________</w:t>
      </w:r>
    </w:p>
    <w:p>
      <w:r>
        <w:t xml:space="preserve"> 地址：__________________</w:t>
      </w:r>
    </w:p>
    <w:p>
      <w:r>
        <w:t xml:space="preserve"> 法定代表人（签字或盖章）：__________________</w:t>
      </w:r>
    </w:p>
    <w:p>
      <w:r>
        <w:t xml:space="preserve"> 职务：__________________</w:t>
      </w:r>
    </w:p>
    <w:p>
      <w:r>
        <w:t>日期： 年 月 日</w:t>
      </w:r>
    </w:p>
    <w:p>
      <w:pPr>
        <w:ind w:firstLine="480"/>
      </w:pPr>
    </w:p>
    <w:p>
      <w:r>
        <w:t xml:space="preserve"> </w:t>
      </w:r>
    </w:p>
    <w:p/>
    <w:p>
      <w:r>
        <w:rPr>
          <w:b/>
          <w:sz w:val="28"/>
        </w:rPr>
        <w:t>格式六：</w:t>
      </w:r>
    </w:p>
    <w:p>
      <w:pPr>
        <w:jc w:val="center"/>
      </w:pPr>
      <w:r>
        <w:rPr>
          <w:b/>
          <w:sz w:val="24"/>
        </w:rPr>
        <w:t>法定代表人授权书格式</w:t>
      </w:r>
    </w:p>
    <w:p>
      <w:pPr>
        <w:ind w:firstLine="480"/>
      </w:pPr>
      <w:r>
        <w:t>（对于银行、保险、电信、邮政、铁路等行业以及获得总公司投标授权的分公司，可以提供投标分支机构负责人授权书）</w:t>
      </w:r>
    </w:p>
    <w:p>
      <w:pPr>
        <w:jc w:val="center"/>
      </w:pPr>
      <w:r>
        <w:rPr>
          <w:b/>
          <w:sz w:val="24"/>
        </w:rPr>
        <w:t>法定代表人授权书</w:t>
      </w:r>
    </w:p>
    <w:p>
      <w:pPr>
        <w:ind w:firstLine="480"/>
      </w:pPr>
      <w:r>
        <w:t>致：智林招标（广东）有限公司</w:t>
      </w:r>
    </w:p>
    <w:p>
      <w:pPr>
        <w:ind w:firstLine="480"/>
      </w:pPr>
      <w:r>
        <w:t>本授权书声明：________是注册于</w:t>
      </w:r>
      <w:r>
        <w:rPr>
          <w:u w:val="single"/>
        </w:rPr>
        <w:t>（国家或地区）</w:t>
      </w:r>
      <w:r>
        <w:t>的</w:t>
      </w:r>
      <w:r>
        <w:rPr>
          <w:u w:val="single"/>
        </w:rPr>
        <w:t>（投标人名称）</w:t>
      </w:r>
      <w:r>
        <w:t>的法定代表人，现任________职务，有效证件号码：________________。现授权</w:t>
      </w:r>
      <w:r>
        <w:rPr>
          <w:u w:val="single"/>
        </w:rPr>
        <w:t>（姓名、职务）</w:t>
      </w:r>
      <w:r>
        <w:t>作为我公司的全权代理人，就“中山市食品药品检验所检验检测设备更新和能力提高项目”项目采购[采购项目编号为442000-2023-02175]的投标和合同执行，以我方的名义处理一切与之有关的事宜。</w:t>
      </w:r>
    </w:p>
    <w:p>
      <w:pPr>
        <w:ind w:firstLine="480"/>
      </w:pPr>
      <w:r>
        <w:t>本授权书于________年________月________日签字生效，特此声明。</w:t>
      </w:r>
    </w:p>
    <w:p>
      <w:r>
        <w:t xml:space="preserve"> 投标人（盖章）：__________________</w:t>
      </w:r>
    </w:p>
    <w:p>
      <w:r>
        <w:t xml:space="preserve"> 地址：__________________</w:t>
      </w:r>
    </w:p>
    <w:p>
      <w:r>
        <w:t xml:space="preserve"> 法定代表人（签字或盖章）：__________________</w:t>
      </w:r>
    </w:p>
    <w:p>
      <w:r>
        <w:t xml:space="preserve"> 职务：__________________</w:t>
      </w:r>
    </w:p>
    <w:p>
      <w:r>
        <w:t xml:space="preserve"> 被授权人（签字或盖章）：__________________</w:t>
      </w:r>
    </w:p>
    <w:p>
      <w:r>
        <w:t xml:space="preserve"> 职务：__________________</w:t>
      </w:r>
    </w:p>
    <w:p>
      <w:r>
        <w:t>日期： 年 月 日</w:t>
      </w:r>
    </w:p>
    <w:p>
      <w:pPr>
        <w:ind w:firstLine="480"/>
      </w:pPr>
    </w:p>
    <w:p>
      <w:r>
        <w:t xml:space="preserve"> </w:t>
      </w:r>
    </w:p>
    <w:p/>
    <w:p>
      <w:r>
        <w:rPr>
          <w:b/>
          <w:sz w:val="28"/>
        </w:rPr>
        <w:t>格式七：</w:t>
      </w:r>
    </w:p>
    <w:p>
      <w:pPr>
        <w:jc w:val="center"/>
      </w:pPr>
      <w:r>
        <w:rPr>
          <w:b/>
          <w:sz w:val="24"/>
        </w:rPr>
        <w:t>投标保证金</w:t>
      </w:r>
    </w:p>
    <w:p>
      <w:pPr>
        <w:ind w:firstLine="480"/>
      </w:pPr>
      <w:r>
        <w:t>采购文件要求递交投标保证金的，投标人应在此提供保证金的凭证的复印件。</w:t>
      </w:r>
    </w:p>
    <w:p>
      <w:pPr>
        <w:ind w:firstLine="480"/>
      </w:pPr>
    </w:p>
    <w:p>
      <w:r>
        <w:t xml:space="preserve"> </w:t>
      </w:r>
    </w:p>
    <w:p/>
    <w:p>
      <w:r>
        <w:rPr>
          <w:b/>
          <w:sz w:val="28"/>
        </w:rPr>
        <w:t>格式八：</w:t>
      </w:r>
    </w:p>
    <w:p>
      <w:pPr>
        <w:jc w:val="center"/>
      </w:pPr>
      <w:r>
        <w:rPr>
          <w:b/>
          <w:sz w:val="24"/>
        </w:rPr>
        <w:t>提供具有独立承担民事责任的能力的证明材料</w:t>
      </w:r>
    </w:p>
    <w:p>
      <w:pPr>
        <w:ind w:firstLine="480"/>
      </w:pPr>
    </w:p>
    <w:p>
      <w:r>
        <w:t xml:space="preserve"> </w:t>
      </w:r>
    </w:p>
    <w:p/>
    <w:p>
      <w:r>
        <w:rPr>
          <w:b/>
          <w:sz w:val="28"/>
        </w:rPr>
        <w:t>格式九：</w:t>
      </w:r>
    </w:p>
    <w:p>
      <w:pPr>
        <w:jc w:val="center"/>
      </w:pPr>
      <w:r>
        <w:rPr>
          <w:b/>
          <w:sz w:val="24"/>
        </w:rPr>
        <w:t>资格性审查要求的其他资质证明文件</w:t>
      </w:r>
    </w:p>
    <w:p>
      <w:pPr>
        <w:ind w:firstLine="480"/>
      </w:pPr>
      <w:r>
        <w:t>具有履行合同所必需的设备和专业技术能力</w:t>
      </w:r>
    </w:p>
    <w:p>
      <w:r>
        <w:t xml:space="preserve"> </w:t>
      </w:r>
    </w:p>
    <w:p/>
    <w:p>
      <w:r>
        <w:rPr>
          <w:b/>
          <w:sz w:val="28"/>
        </w:rPr>
        <w:t>格式十：</w:t>
      </w:r>
    </w:p>
    <w:p>
      <w:pPr>
        <w:ind w:firstLine="480"/>
      </w:pPr>
      <w:r>
        <w:t>（对于采购需求写明“提供承诺”的条款，供应商可参照以下格式提供承诺）</w:t>
      </w:r>
    </w:p>
    <w:p>
      <w:pPr>
        <w:jc w:val="center"/>
      </w:pPr>
      <w:r>
        <w:rPr>
          <w:b/>
          <w:sz w:val="24"/>
        </w:rPr>
        <w:t>承诺函</w:t>
      </w:r>
    </w:p>
    <w:p>
      <w:pPr>
        <w:ind w:firstLine="480"/>
      </w:pPr>
      <w:r>
        <w:t>致：中山市食品药品检验所</w:t>
      </w:r>
      <w:r>
        <w:br w:type="textWrapping"/>
      </w:r>
    </w:p>
    <w:p>
      <w:pPr>
        <w:ind w:firstLine="480"/>
      </w:pPr>
      <w:r>
        <w:t>对于__________________项目（项目编号：__________________），我方郑重承诺如下：</w:t>
      </w:r>
    </w:p>
    <w:p>
      <w:pPr>
        <w:ind w:firstLine="480"/>
      </w:pPr>
      <w:r>
        <w:t>如中标/成交，我方承诺严格落实采购文件以下条款：(建议逐条复制采购文件相关条款原文)</w:t>
      </w:r>
    </w:p>
    <w:p>
      <w:pPr>
        <w:ind w:firstLine="480"/>
      </w:pPr>
      <w:r>
        <w:t>（一）星号条款</w:t>
      </w:r>
    </w:p>
    <w:p>
      <w:pPr>
        <w:ind w:firstLine="480"/>
      </w:pPr>
      <w:r>
        <w:t>1.</w:t>
      </w:r>
    </w:p>
    <w:p>
      <w:pPr>
        <w:ind w:firstLine="480"/>
      </w:pPr>
      <w:r>
        <w:t>2.</w:t>
      </w:r>
    </w:p>
    <w:p>
      <w:pPr>
        <w:ind w:firstLine="480"/>
      </w:pPr>
      <w:r>
        <w:t>3.</w:t>
      </w:r>
    </w:p>
    <w:p>
      <w:pPr>
        <w:ind w:firstLine="480"/>
      </w:pPr>
      <w:r>
        <w:t>.........</w:t>
      </w:r>
    </w:p>
    <w:p>
      <w:pPr>
        <w:ind w:firstLine="480"/>
      </w:pPr>
      <w:r>
        <w:t>（二）三角号条款</w:t>
      </w:r>
    </w:p>
    <w:p>
      <w:pPr>
        <w:ind w:firstLine="480"/>
      </w:pPr>
      <w:r>
        <w:t>1.</w:t>
      </w:r>
    </w:p>
    <w:p>
      <w:pPr>
        <w:ind w:firstLine="480"/>
      </w:pPr>
      <w:r>
        <w:t>2.</w:t>
      </w:r>
    </w:p>
    <w:p>
      <w:pPr>
        <w:ind w:firstLine="480"/>
      </w:pPr>
      <w:r>
        <w:t>3.</w:t>
      </w:r>
    </w:p>
    <w:p>
      <w:pPr>
        <w:ind w:firstLine="480"/>
      </w:pPr>
      <w:r>
        <w:t>.........</w:t>
      </w:r>
    </w:p>
    <w:p>
      <w:pPr>
        <w:ind w:firstLine="480"/>
      </w:pPr>
      <w:r>
        <w:t>（三）非星号、非三角号条款</w:t>
      </w:r>
    </w:p>
    <w:p>
      <w:pPr>
        <w:ind w:firstLine="480"/>
      </w:pPr>
      <w:r>
        <w:t>1.</w:t>
      </w:r>
    </w:p>
    <w:p>
      <w:pPr>
        <w:ind w:firstLine="480"/>
      </w:pPr>
      <w:r>
        <w:t>2.</w:t>
      </w:r>
    </w:p>
    <w:p>
      <w:pPr>
        <w:ind w:firstLine="480"/>
      </w:pPr>
      <w:r>
        <w:t>3.</w:t>
      </w:r>
    </w:p>
    <w:p>
      <w:pPr>
        <w:ind w:firstLine="480"/>
      </w:pPr>
      <w:r>
        <w:t>.........</w:t>
      </w:r>
      <w:r>
        <w:br w:type="textWrapping"/>
      </w:r>
    </w:p>
    <w:p>
      <w:pPr>
        <w:ind w:firstLine="480"/>
      </w:pPr>
      <w:r>
        <w:t>特此承诺。</w:t>
      </w:r>
    </w:p>
    <w:p>
      <w:r>
        <w:t xml:space="preserve"> 供应商名称（盖章）：__________________</w:t>
      </w:r>
    </w:p>
    <w:p>
      <w:r>
        <w:t>日期： 年 月 日</w:t>
      </w:r>
    </w:p>
    <w:p>
      <w:pPr>
        <w:ind w:firstLine="480"/>
      </w:pPr>
    </w:p>
    <w:p>
      <w:r>
        <w:t xml:space="preserve"> </w:t>
      </w:r>
    </w:p>
    <w:p/>
    <w:p>
      <w:r>
        <w:rPr>
          <w:b/>
          <w:sz w:val="28"/>
        </w:rPr>
        <w:t>格式十一：</w:t>
      </w:r>
    </w:p>
    <w:p>
      <w:pPr>
        <w:ind w:firstLine="480"/>
      </w:pPr>
      <w:r>
        <w:t>（以下格式文件由供应商根据需要选用）</w:t>
      </w:r>
    </w:p>
    <w:p>
      <w:pPr>
        <w:ind w:firstLine="480"/>
      </w:pPr>
      <w: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t>本公司（联合体）郑重声明，根据《政府采购促进中小企业发展管理办法》（财库﹝2020﹞46</w:t>
      </w:r>
      <w:r>
        <w:tab/>
      </w:r>
      <w:r>
        <w:tab/>
      </w:r>
      <w:r>
        <w:tab/>
      </w:r>
      <w:r>
        <w:t xml:space="preserve">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pPr>
        <w:ind w:firstLine="480"/>
      </w:pPr>
      <w:r>
        <w:t>1.</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2.</w:t>
      </w:r>
      <w:r>
        <w:rPr>
          <w:u w:val="single"/>
        </w:rPr>
        <w:t>（标的名称）</w:t>
      </w:r>
      <w:r>
        <w:t>，属于</w:t>
      </w:r>
      <w:r>
        <w:rPr>
          <w:u w:val="single"/>
        </w:rPr>
        <w:t>（采购文件中明确的所属行业）</w:t>
      </w:r>
      <w:r>
        <w:t>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r>
        <w:t xml:space="preserve"> 企业名称（盖章）：__________________</w:t>
      </w:r>
    </w:p>
    <w:p>
      <w:r>
        <w:t>日期： 年 月 日</w:t>
      </w:r>
    </w:p>
    <w:p>
      <w:pPr>
        <w:ind w:firstLine="480"/>
      </w:pPr>
    </w:p>
    <w:p>
      <w:pPr>
        <w:ind w:firstLine="480"/>
      </w:pPr>
    </w:p>
    <w:p>
      <w:pPr>
        <w:ind w:firstLine="480"/>
      </w:pPr>
      <w:r>
        <w:t>1：从业人员、营业收入、资产总额填报上一年度数据，无上一年度数据的新成立企业可不填报</w:t>
      </w:r>
    </w:p>
    <w:p>
      <w:pPr>
        <w:ind w:firstLine="480"/>
      </w:pPr>
      <w: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t xml:space="preserve"> </w:t>
      </w:r>
    </w:p>
    <w:p/>
    <w:p>
      <w:pPr>
        <w:ind w:firstLine="480"/>
      </w:pPr>
      <w: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t>本公司（联合体）郑重声明，根据《政府采购促进中小企业发展管理办法》（财库﹝2020﹞46</w:t>
      </w:r>
      <w:r>
        <w:tab/>
      </w:r>
      <w:r>
        <w:tab/>
      </w:r>
      <w:r>
        <w:tab/>
      </w:r>
      <w:r>
        <w:t xml:space="preserve">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t>1.</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2.</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r>
        <w:t xml:space="preserve"> 企业名称（盖章）：__________________</w:t>
      </w:r>
    </w:p>
    <w:p>
      <w:r>
        <w:t>日期： 年 月 日</w:t>
      </w:r>
    </w:p>
    <w:p>
      <w:pPr>
        <w:ind w:firstLine="480"/>
      </w:pPr>
      <w:r>
        <w:t>1：从业人员、营业收入、资产总额填报上一年度数据，无上一年度数据的新成立企业可不填报。</w:t>
      </w:r>
    </w:p>
    <w:p>
      <w:pPr>
        <w:ind w:firstLine="480"/>
      </w:pPr>
      <w:r>
        <w:t>2：投标人应当自行核实是否属于小微企业，并认真填写声明函，若有虚假将追究其责任。</w:t>
      </w:r>
    </w:p>
    <w:p>
      <w:pPr>
        <w:ind w:firstLine="480"/>
      </w:pPr>
    </w:p>
    <w:p>
      <w:r>
        <w:t xml:space="preserve"> </w:t>
      </w:r>
    </w:p>
    <w:p/>
    <w:p>
      <w:r>
        <w:rPr>
          <w:b/>
          <w:sz w:val="28"/>
        </w:rPr>
        <w:t>格式十二：</w:t>
      </w:r>
    </w:p>
    <w:p>
      <w:pPr>
        <w:ind w:firstLine="480"/>
      </w:pPr>
      <w:r>
        <w:t>（以下格式文件由供应商根据需要选用）</w:t>
      </w:r>
    </w:p>
    <w:p>
      <w:pPr>
        <w:jc w:val="center"/>
      </w:pPr>
      <w:r>
        <w:rPr>
          <w:b/>
          <w:sz w:val="24"/>
        </w:rPr>
        <w:t>监狱企业</w:t>
      </w:r>
    </w:p>
    <w:p>
      <w:pPr>
        <w:ind w:firstLine="480"/>
      </w:pPr>
      <w:r>
        <w:t>提供由监狱管理局、戒毒管理局（含新疆生产建设兵团）出具的属于监狱企业的证明文件。</w:t>
      </w:r>
    </w:p>
    <w:p>
      <w:pPr>
        <w:ind w:firstLine="480"/>
      </w:pPr>
    </w:p>
    <w:p>
      <w:r>
        <w:t xml:space="preserve"> </w:t>
      </w:r>
    </w:p>
    <w:p/>
    <w:p>
      <w:r>
        <w:rPr>
          <w:b/>
          <w:sz w:val="28"/>
        </w:rPr>
        <w:t>格式十三：</w:t>
      </w:r>
    </w:p>
    <w:p>
      <w:pPr>
        <w:ind w:firstLine="480"/>
      </w:pPr>
      <w:r>
        <w:t>（以下格式文件由供应商根据需要选用）</w:t>
      </w:r>
    </w:p>
    <w:p>
      <w:pPr>
        <w:jc w:val="center"/>
      </w:pPr>
      <w:r>
        <w:rPr>
          <w:b/>
          <w:sz w:val="24"/>
        </w:rPr>
        <w:t>残疾人福利性单位声明函</w:t>
      </w:r>
    </w:p>
    <w:p>
      <w:pPr>
        <w:ind w:firstLine="480"/>
      </w:pPr>
      <w:r>
        <w:t>本单位郑重声明，根据《财政部 民政部 中国残疾人联合会关于促进残疾人就业政府采购政策的通知》（财库〔2017〕</w:t>
      </w:r>
      <w:r>
        <w:tab/>
      </w:r>
      <w:r>
        <w:tab/>
      </w:r>
      <w:r>
        <w:tab/>
      </w:r>
      <w:r>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t>本单位对上述声明的真实性负责。如有虚假，将依法承担相应责任。</w:t>
      </w:r>
    </w:p>
    <w:p>
      <w:r>
        <w:t xml:space="preserve"> 单位名称（盖章）：__________________</w:t>
      </w:r>
    </w:p>
    <w:p>
      <w:r>
        <w:t>日期： 年 月 日</w:t>
      </w:r>
    </w:p>
    <w:p>
      <w:pPr>
        <w:ind w:firstLine="480"/>
      </w:pPr>
      <w:r>
        <w:t>注：本函未填写或未勾选视作未做声明。</w:t>
      </w:r>
    </w:p>
    <w:p>
      <w:pPr>
        <w:ind w:firstLine="480"/>
      </w:pPr>
    </w:p>
    <w:p>
      <w:r>
        <w:t xml:space="preserve"> </w:t>
      </w:r>
    </w:p>
    <w:p/>
    <w:p>
      <w:r>
        <w:rPr>
          <w:b/>
          <w:sz w:val="28"/>
        </w:rPr>
        <w:t>格式十四：</w:t>
      </w:r>
    </w:p>
    <w:p>
      <w:pPr>
        <w:ind w:firstLine="480"/>
      </w:pPr>
      <w:r>
        <w:t>（以下格式文件由供应商根据需要选用）</w:t>
      </w:r>
    </w:p>
    <w:p>
      <w:pPr>
        <w:jc w:val="center"/>
      </w:pPr>
      <w:r>
        <w:rPr>
          <w:b/>
          <w:sz w:val="24"/>
        </w:rPr>
        <w:t>联合体共同投标协议书</w:t>
      </w:r>
    </w:p>
    <w:p>
      <w:pPr>
        <w:ind w:firstLine="480"/>
      </w:pPr>
      <w: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t>自愿组成联合体，以一个投标人的身份共同参加（采购项目名称）（采购项目编号）的响应活动。经各方充分协商一致，就项目的响应和合同实施阶段的有关事务协商一致订立协议如下：</w:t>
      </w:r>
    </w:p>
    <w:p>
      <w:pPr>
        <w:ind w:firstLine="480"/>
      </w:pPr>
      <w:r>
        <w:t>一、联合体各方关系</w:t>
      </w:r>
    </w:p>
    <w:p>
      <w:pPr>
        <w:ind w:firstLine="480"/>
      </w:pPr>
      <w:r>
        <w:rPr>
          <w:u w:val="single"/>
        </w:rPr>
        <w:t>（甲公司全称）、（乙公司全称）、（……公司全称）</w:t>
      </w:r>
      <w:r>
        <w:t>共同组成一个联合体，以一个投标人的身份共同参加本项目的响应。（甲公司全称）、（乙公司全称）、（……公司全称）作为联合体成员，若中标，联合体各方共同与（采购人）签订政府采购合同。</w:t>
      </w:r>
    </w:p>
    <w:p>
      <w:pPr>
        <w:ind w:firstLine="480"/>
      </w:pPr>
      <w:r>
        <w:t>二、联合体内部有关事项约定如下：</w:t>
      </w:r>
    </w:p>
    <w:p>
      <w:pPr>
        <w:ind w:firstLine="480"/>
      </w:pPr>
      <w:r>
        <w:t>1.（甲公司全称）作为联合体的牵头单位，代表联合体双方负责投标和合同实施阶段的主办、协调工作。</w:t>
      </w:r>
    </w:p>
    <w:p>
      <w:pPr>
        <w:ind w:firstLine="480"/>
      </w:pPr>
      <w: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t>3.如果本联合体中标，</w:t>
      </w:r>
      <w:r>
        <w:rPr>
          <w:u w:val="single"/>
        </w:rPr>
        <w:t>（甲公司全称）</w:t>
      </w:r>
      <w:r>
        <w:t>负责本项目___________部分，</w:t>
      </w:r>
      <w:r>
        <w:rPr>
          <w:u w:val="single"/>
        </w:rPr>
        <w:t>（乙公司全称）</w:t>
      </w:r>
      <w:r>
        <w:t>负责本项目___________部分。</w:t>
      </w:r>
    </w:p>
    <w:p>
      <w:pPr>
        <w:ind w:firstLine="480"/>
      </w:pPr>
      <w:r>
        <w:t>4.如中标，联合体各方共同与（采购人）签订合同书，并就中标项目向采购人负责有连带的和各自的法律责任；</w:t>
      </w:r>
    </w:p>
    <w:p>
      <w:pPr>
        <w:ind w:firstLine="480"/>
      </w:pPr>
      <w:r>
        <w:t>5.联合体成员（公司全称）为（请填写：小型、微型）企业，将承担合同总金额_____%的工作内容（联合体成员中有小型、微型企业时适用）。</w:t>
      </w:r>
    </w:p>
    <w:p>
      <w:pPr>
        <w:ind w:firstLine="480"/>
      </w:pPr>
      <w: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t>四、联合体如因违约过失责任而导致采购人经济损失或被索赔时，本联合体任何一方均同意无条件优先清偿采购人的一切债务和经济赔偿。</w:t>
      </w:r>
    </w:p>
    <w:p>
      <w:pPr>
        <w:ind w:firstLine="480"/>
      </w:pPr>
      <w:r>
        <w:t>五、本协议在自签署之日起生效，有效期内有效，如获中标资格，合同有效期延续至合同履行完毕之日。</w:t>
      </w:r>
    </w:p>
    <w:p>
      <w:pPr>
        <w:ind w:firstLine="480"/>
      </w:pPr>
      <w:r>
        <w:t>六、本协议书正本一式_____份，随投标文件装订_____份，送采购人_____份，联合体成员各一份；副本一式_____份，联合体成员各执_____份。</w:t>
      </w:r>
    </w:p>
    <w:p>
      <w:r>
        <w:t>甲公司全称：____（盖章）________，乙公司全称：____（盖章）________，……公司全称：____（盖章）________，</w:t>
      </w:r>
    </w:p>
    <w:p>
      <w:r>
        <w:t>____年____月 ____日，____年____月____日，____年____月____日</w:t>
      </w:r>
    </w:p>
    <w:p>
      <w:pPr>
        <w:ind w:firstLine="480"/>
      </w:pPr>
      <w:r>
        <w:t>注：1．联合响应时需签本协议，联合体各方成员应在本协议上共同盖章确认。</w:t>
      </w:r>
    </w:p>
    <w:p>
      <w:pPr>
        <w:ind w:firstLine="480"/>
      </w:pPr>
      <w:r>
        <w:t>2．本协议内容不得擅自修改。此协议将作为签订合同的附件之一。</w:t>
      </w:r>
    </w:p>
    <w:p>
      <w:pPr>
        <w:ind w:firstLine="480"/>
      </w:pPr>
    </w:p>
    <w:p>
      <w:r>
        <w:t xml:space="preserve"> </w:t>
      </w:r>
    </w:p>
    <w:p/>
    <w:p>
      <w:r>
        <w:rPr>
          <w:b/>
          <w:sz w:val="28"/>
        </w:rPr>
        <w:t>格式十五：</w:t>
      </w:r>
    </w:p>
    <w:p>
      <w:pPr>
        <w:ind w:firstLine="480"/>
      </w:pPr>
      <w:r>
        <w:t>（以下格式文件由供应商根据需要选用）</w:t>
      </w:r>
    </w:p>
    <w:p>
      <w:pPr>
        <w:jc w:val="center"/>
      </w:pPr>
      <w:r>
        <w:rPr>
          <w:b/>
          <w:sz w:val="24"/>
        </w:rPr>
        <w:t>投标人业绩情况表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序号</w:t>
            </w:r>
          </w:p>
        </w:tc>
        <w:tc>
          <w:tcPr>
            <w:tcW w:w="1384" w:type="dxa"/>
          </w:tcPr>
          <w:p>
            <w:r>
              <w:t>客户名称</w:t>
            </w:r>
          </w:p>
        </w:tc>
        <w:tc>
          <w:tcPr>
            <w:tcW w:w="1384" w:type="dxa"/>
          </w:tcPr>
          <w:p>
            <w:r>
              <w:t>项目名称及合同金额（万元）</w:t>
            </w:r>
          </w:p>
        </w:tc>
        <w:tc>
          <w:tcPr>
            <w:tcW w:w="1384" w:type="dxa"/>
          </w:tcPr>
          <w:p>
            <w:r>
              <w:t>签订合同时间</w:t>
            </w:r>
          </w:p>
        </w:tc>
        <w:tc>
          <w:tcPr>
            <w:tcW w:w="1384" w:type="dxa"/>
          </w:tcPr>
          <w:p>
            <w:r>
              <w:t>竣工验收报告时间</w:t>
            </w:r>
          </w:p>
        </w:tc>
        <w:tc>
          <w:tcPr>
            <w:tcW w:w="1384" w:type="dxa"/>
          </w:tcPr>
          <w:p>
            <w: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1</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2</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3</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4</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w:t>
            </w:r>
          </w:p>
        </w:tc>
        <w:tc>
          <w:tcPr>
            <w:tcW w:w="1384" w:type="dxa"/>
          </w:tcPr>
          <w:p/>
        </w:tc>
        <w:tc>
          <w:tcPr>
            <w:tcW w:w="1384" w:type="dxa"/>
          </w:tcPr>
          <w:p/>
        </w:tc>
        <w:tc>
          <w:tcPr>
            <w:tcW w:w="1384" w:type="dxa"/>
          </w:tcPr>
          <w:p/>
        </w:tc>
        <w:tc>
          <w:tcPr>
            <w:tcW w:w="1384" w:type="dxa"/>
          </w:tcPr>
          <w:p/>
        </w:tc>
        <w:tc>
          <w:tcPr>
            <w:tcW w:w="1384" w:type="dxa"/>
          </w:tcPr>
          <w:p/>
        </w:tc>
      </w:tr>
    </w:tbl>
    <w:p>
      <w:pPr>
        <w:ind w:firstLine="480"/>
      </w:pPr>
      <w:r>
        <w:t>根据上述业绩情况，按招标文件要求附销售或服务合同复印件及评审标准要求的证明材料。</w:t>
      </w:r>
    </w:p>
    <w:p>
      <w:pPr>
        <w:ind w:firstLine="480"/>
      </w:pPr>
    </w:p>
    <w:p>
      <w:r>
        <w:t xml:space="preserve"> </w:t>
      </w:r>
    </w:p>
    <w:p/>
    <w:p>
      <w:r>
        <w:rPr>
          <w:b/>
          <w:sz w:val="28"/>
        </w:rPr>
        <w:t>格式十六：</w:t>
      </w:r>
    </w:p>
    <w:p>
      <w:pPr>
        <w:jc w:val="center"/>
      </w:pPr>
      <w:r>
        <w:rPr>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序号</w:t>
            </w:r>
          </w:p>
        </w:tc>
        <w:tc>
          <w:tcPr>
            <w:tcW w:w="923" w:type="dxa"/>
          </w:tcPr>
          <w:p>
            <w:r>
              <w:t>标的名称</w:t>
            </w:r>
          </w:p>
        </w:tc>
        <w:tc>
          <w:tcPr>
            <w:tcW w:w="923" w:type="dxa"/>
          </w:tcPr>
          <w:p>
            <w:r>
              <w:t>参数性质</w:t>
            </w:r>
          </w:p>
        </w:tc>
        <w:tc>
          <w:tcPr>
            <w:tcW w:w="923" w:type="dxa"/>
          </w:tcPr>
          <w:p>
            <w:r>
              <w:t>采购文件规定的技术和服务要求</w:t>
            </w:r>
          </w:p>
        </w:tc>
        <w:tc>
          <w:tcPr>
            <w:tcW w:w="923" w:type="dxa"/>
          </w:tcPr>
          <w:p>
            <w:r>
              <w:t>投标文件响应的具体内容</w:t>
            </w:r>
          </w:p>
        </w:tc>
        <w:tc>
          <w:tcPr>
            <w:tcW w:w="923" w:type="dxa"/>
          </w:tcPr>
          <w:p>
            <w:r>
              <w:t>型号</w:t>
            </w:r>
          </w:p>
        </w:tc>
        <w:tc>
          <w:tcPr>
            <w:tcW w:w="923" w:type="dxa"/>
          </w:tcPr>
          <w:p>
            <w:r>
              <w:t>是否偏离</w:t>
            </w:r>
          </w:p>
        </w:tc>
        <w:tc>
          <w:tcPr>
            <w:tcW w:w="923" w:type="dxa"/>
          </w:tcPr>
          <w:p>
            <w:r>
              <w:t>证明文件所在位置</w:t>
            </w:r>
          </w:p>
        </w:tc>
        <w:tc>
          <w:tcPr>
            <w:tcW w:w="923"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1</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2</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3</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4</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5</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6</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bl>
    <w:p>
      <w:pPr>
        <w:ind w:firstLine="480"/>
      </w:pPr>
      <w:r>
        <w:t>说明：</w:t>
      </w:r>
    </w:p>
    <w:p>
      <w:pPr>
        <w:ind w:firstLine="480"/>
      </w:pPr>
      <w:r>
        <w:t>1.“采购文件规定的技术和服务要求”项下填写的内容应与招标文件中采购需求的</w:t>
      </w:r>
      <w:r>
        <w:tab/>
      </w:r>
      <w:r>
        <w:tab/>
      </w:r>
      <w:r>
        <w:tab/>
      </w:r>
      <w:r>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t>2.</w:t>
      </w:r>
      <w:r>
        <w:tab/>
      </w:r>
      <w:r>
        <w:tab/>
      </w:r>
      <w:r>
        <w:tab/>
      </w:r>
      <w:r>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t>3. “是否偏离”项下应按下列规定填写：优于的，填写“正偏离”；符合的，填写“无偏离”；低于的，填写“负偏离”。</w:t>
      </w:r>
    </w:p>
    <w:p>
      <w:pPr>
        <w:ind w:firstLine="480"/>
      </w:pPr>
      <w:r>
        <w:t>4.“备注”处可填写偏离情况的说明。</w:t>
      </w:r>
    </w:p>
    <w:p>
      <w:pPr>
        <w:ind w:firstLine="480"/>
      </w:pPr>
    </w:p>
    <w:p>
      <w:r>
        <w:t xml:space="preserve"> </w:t>
      </w:r>
    </w:p>
    <w:p/>
    <w:p>
      <w:r>
        <w:rPr>
          <w:b/>
          <w:sz w:val="28"/>
        </w:rPr>
        <w:t>格式十七：</w:t>
      </w:r>
    </w:p>
    <w:p>
      <w:pPr>
        <w:jc w:val="center"/>
      </w:pPr>
      <w:r>
        <w:rPr>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序号</w:t>
            </w:r>
          </w:p>
        </w:tc>
        <w:tc>
          <w:tcPr>
            <w:tcW w:w="1187" w:type="dxa"/>
          </w:tcPr>
          <w:p>
            <w:r>
              <w:t>参数性质</w:t>
            </w:r>
          </w:p>
        </w:tc>
        <w:tc>
          <w:tcPr>
            <w:tcW w:w="1187" w:type="dxa"/>
          </w:tcPr>
          <w:p>
            <w:r>
              <w:t>采购文件规定的商务条件</w:t>
            </w:r>
          </w:p>
        </w:tc>
        <w:tc>
          <w:tcPr>
            <w:tcW w:w="1187" w:type="dxa"/>
          </w:tcPr>
          <w:p>
            <w:r>
              <w:t>投标文件响应的具体内容</w:t>
            </w:r>
          </w:p>
        </w:tc>
        <w:tc>
          <w:tcPr>
            <w:tcW w:w="1187" w:type="dxa"/>
          </w:tcPr>
          <w:p>
            <w:r>
              <w:t>是否偏离</w:t>
            </w:r>
          </w:p>
        </w:tc>
        <w:tc>
          <w:tcPr>
            <w:tcW w:w="1187" w:type="dxa"/>
          </w:tcPr>
          <w:p>
            <w:r>
              <w:t>证明文件所在位置</w:t>
            </w:r>
          </w:p>
        </w:tc>
        <w:tc>
          <w:tcPr>
            <w:tcW w:w="1187"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2</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3</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4</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5</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6</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7</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8</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9</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bl>
    <w:p>
      <w:pPr>
        <w:ind w:firstLine="480"/>
      </w:pPr>
      <w:r>
        <w:t>说明：</w:t>
      </w:r>
    </w:p>
    <w:p>
      <w:pPr>
        <w:ind w:firstLine="480"/>
      </w:pPr>
      <w:r>
        <w:t>1. “采购文件规定的商务条件”项下填写的内容应与招标文件中采购需求的 “商务要求”的内容保持一致。</w:t>
      </w:r>
    </w:p>
    <w:p>
      <w:pPr>
        <w:ind w:firstLine="480"/>
      </w:pPr>
      <w:r>
        <w:t>2.</w:t>
      </w:r>
      <w:r>
        <w:tab/>
      </w:r>
      <w:r>
        <w:tab/>
      </w:r>
      <w:r>
        <w:tab/>
      </w:r>
      <w:r>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t>3.</w:t>
      </w:r>
      <w:r>
        <w:tab/>
      </w:r>
      <w:r>
        <w:tab/>
      </w:r>
      <w:r>
        <w:tab/>
      </w:r>
      <w:r>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t>4. “是否偏离”项下应按下列规定填写：优于的，填写“正偏离”；符合的，填写“无偏离”；低于的，填写“负偏离”。</w:t>
      </w:r>
    </w:p>
    <w:p>
      <w:pPr>
        <w:ind w:firstLine="480"/>
      </w:pPr>
      <w:r>
        <w:t>5.“备注”处可填写偏离情况的说明。</w:t>
      </w:r>
    </w:p>
    <w:p>
      <w:pPr>
        <w:ind w:firstLine="480"/>
      </w:pPr>
    </w:p>
    <w:p>
      <w:r>
        <w:t xml:space="preserve"> </w:t>
      </w:r>
    </w:p>
    <w:p/>
    <w:p>
      <w:r>
        <w:rPr>
          <w:b/>
          <w:sz w:val="28"/>
        </w:rPr>
        <w:t>格式十八：</w:t>
      </w:r>
    </w:p>
    <w:p>
      <w:pPr>
        <w:ind w:firstLine="480"/>
      </w:pPr>
      <w:r>
        <w:t>（以下格式文件由供应商根据需要选用）</w:t>
      </w:r>
    </w:p>
    <w:p>
      <w:pPr>
        <w:jc w:val="center"/>
      </w:pPr>
      <w:r>
        <w:rPr>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序号</w:t>
            </w:r>
          </w:p>
        </w:tc>
        <w:tc>
          <w:tcPr>
            <w:tcW w:w="2076" w:type="dxa"/>
          </w:tcPr>
          <w:p>
            <w:r>
              <w:t>拟定时间安排</w:t>
            </w:r>
          </w:p>
        </w:tc>
        <w:tc>
          <w:tcPr>
            <w:tcW w:w="2076" w:type="dxa"/>
          </w:tcPr>
          <w:p>
            <w:r>
              <w:t>计划完成的工作内容</w:t>
            </w:r>
          </w:p>
        </w:tc>
        <w:tc>
          <w:tcPr>
            <w:tcW w:w="2076" w:type="dxa"/>
          </w:tcPr>
          <w:p>
            <w: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1</w:t>
            </w:r>
          </w:p>
        </w:tc>
        <w:tc>
          <w:tcPr>
            <w:tcW w:w="2076" w:type="dxa"/>
          </w:tcPr>
          <w:p>
            <w:r>
              <w:t>拟定___年___月___日</w:t>
            </w:r>
          </w:p>
        </w:tc>
        <w:tc>
          <w:tcPr>
            <w:tcW w:w="2076" w:type="dxa"/>
          </w:tcPr>
          <w:p>
            <w:r>
              <w:t>签订合同并生效</w:t>
            </w: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2</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3</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4</w:t>
            </w:r>
          </w:p>
        </w:tc>
        <w:tc>
          <w:tcPr>
            <w:tcW w:w="2076" w:type="dxa"/>
          </w:tcPr>
          <w:p>
            <w:r>
              <w:t>___月___日—___月___日</w:t>
            </w:r>
          </w:p>
        </w:tc>
        <w:tc>
          <w:tcPr>
            <w:tcW w:w="2076" w:type="dxa"/>
          </w:tcPr>
          <w:p>
            <w:r>
              <w:t>质保期</w:t>
            </w:r>
          </w:p>
        </w:tc>
        <w:tc>
          <w:tcPr>
            <w:tcW w:w="2076" w:type="dxa"/>
          </w:tcPr>
          <w:p/>
        </w:tc>
      </w:tr>
    </w:tbl>
    <w:p>
      <w:pPr>
        <w:ind w:firstLine="480"/>
      </w:pPr>
    </w:p>
    <w:p>
      <w:r>
        <w:t xml:space="preserve"> </w:t>
      </w:r>
    </w:p>
    <w:p/>
    <w:p>
      <w:r>
        <w:rPr>
          <w:b/>
          <w:sz w:val="28"/>
        </w:rPr>
        <w:t>格式十九：</w:t>
      </w:r>
    </w:p>
    <w:p>
      <w:pPr>
        <w:ind w:firstLine="480"/>
      </w:pPr>
      <w:r>
        <w:t>（以下格式文件由供应商根据需要选用）</w:t>
      </w:r>
    </w:p>
    <w:p>
      <w:pPr>
        <w:jc w:val="center"/>
      </w:pPr>
      <w:r>
        <w:rPr>
          <w:b/>
          <w:sz w:val="24"/>
        </w:rPr>
        <w:t>各类证明材料</w:t>
      </w:r>
    </w:p>
    <w:p>
      <w:pPr>
        <w:ind w:firstLine="480"/>
      </w:pPr>
      <w:r>
        <w:t>1.招标文件要求提供的其他资料。</w:t>
      </w:r>
    </w:p>
    <w:p>
      <w:pPr>
        <w:ind w:firstLine="480"/>
      </w:pPr>
      <w:r>
        <w:t>2.投标人认为需提供的其他资料。</w:t>
      </w:r>
    </w:p>
    <w:p>
      <w:pPr>
        <w:ind w:firstLine="480"/>
      </w:pPr>
    </w:p>
    <w:p>
      <w:r>
        <w:t xml:space="preserve"> </w:t>
      </w:r>
    </w:p>
    <w:p/>
    <w:p>
      <w:r>
        <w:rPr>
          <w:b/>
          <w:sz w:val="28"/>
        </w:rPr>
        <w:t>格式二十：</w:t>
      </w:r>
    </w:p>
    <w:p>
      <w:pPr>
        <w:jc w:val="center"/>
      </w:pPr>
      <w:r>
        <w:rPr>
          <w:b/>
          <w:sz w:val="24"/>
        </w:rPr>
        <w:t>采购代理服务费支付承诺书</w:t>
      </w:r>
    </w:p>
    <w:p>
      <w:pPr>
        <w:ind w:firstLine="480"/>
      </w:pPr>
      <w:r>
        <w:t>致：智林招标（广东）有限公司</w:t>
      </w:r>
    </w:p>
    <w:p>
      <w:pPr>
        <w:ind w:firstLine="480"/>
      </w:pPr>
      <w:r>
        <w:t>如果我方在贵采购代理机构组织的中山市食品药品检验所检验检测设备更新和能力提高项目招标中获中标（采购项目编号：442000-2023-02175），我方保证在收取《中标通知书》时，按招标文件对代理服务费支付方式的约定，承担本项目代理服务费。</w:t>
      </w:r>
    </w:p>
    <w:p>
      <w:pPr>
        <w:ind w:firstLine="480"/>
      </w:pPr>
      <w: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智林招标（广东）有限公司的要求办理支付手续。</w:t>
      </w:r>
    </w:p>
    <w:p>
      <w:pPr>
        <w:ind w:firstLine="480"/>
      </w:pPr>
      <w:r>
        <w:t>特此承诺！</w:t>
      </w:r>
    </w:p>
    <w:p>
      <w:pPr>
        <w:ind w:firstLine="480"/>
      </w:pPr>
    </w:p>
    <w:p>
      <w:r>
        <w:t>投标人法定名称（公章）；_____________________</w:t>
      </w:r>
    </w:p>
    <w:p>
      <w:r>
        <w:t>投标人法定地址：_____________________</w:t>
      </w:r>
    </w:p>
    <w:p>
      <w:r>
        <w:t>投标人授权代表（签字或盖章）：_____________________</w:t>
      </w:r>
    </w:p>
    <w:p>
      <w:r>
        <w:t>电 话：_____________________</w:t>
      </w:r>
    </w:p>
    <w:p>
      <w:r>
        <w:t>传 真：_____________________</w:t>
      </w:r>
    </w:p>
    <w:p>
      <w:r>
        <w:t>承诺日期：_____________________</w:t>
      </w:r>
    </w:p>
    <w:p>
      <w:pPr>
        <w:ind w:firstLine="480"/>
      </w:pPr>
    </w:p>
    <w:p>
      <w:r>
        <w:t xml:space="preserve"> </w:t>
      </w:r>
    </w:p>
    <w:p/>
    <w:p>
      <w:r>
        <w:rPr>
          <w:b/>
          <w:sz w:val="28"/>
        </w:rPr>
        <w:t>格式二十一：</w:t>
      </w:r>
    </w:p>
    <w:p>
      <w:pPr>
        <w:ind w:firstLine="480"/>
      </w:pPr>
      <w:r>
        <w:t>（以下格式文件由供应商根据需要选用）</w:t>
      </w:r>
    </w:p>
    <w:p>
      <w:pPr>
        <w:jc w:val="center"/>
      </w:pPr>
      <w:r>
        <w:rPr>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序号</w:t>
            </w:r>
          </w:p>
        </w:tc>
        <w:tc>
          <w:tcPr>
            <w:tcW w:w="4153" w:type="dxa"/>
          </w:tcPr>
          <w:p>
            <w:r>
              <w:t>投标人需要采购人提供的附加条件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1</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2</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3</w:t>
            </w:r>
          </w:p>
        </w:tc>
        <w:tc>
          <w:tcPr>
            <w:tcW w:w="4153" w:type="dxa"/>
          </w:tcPr>
          <w:p/>
        </w:tc>
      </w:tr>
    </w:tbl>
    <w:p>
      <w:pPr>
        <w:ind w:firstLine="480"/>
      </w:pPr>
      <w: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t xml:space="preserve"> </w:t>
      </w:r>
    </w:p>
    <w:p/>
    <w:p>
      <w:r>
        <w:rPr>
          <w:b/>
          <w:sz w:val="28"/>
        </w:rPr>
        <w:t>格式二十二：</w:t>
      </w:r>
    </w:p>
    <w:p>
      <w:pPr>
        <w:ind w:firstLine="480"/>
      </w:pPr>
      <w:r>
        <w:t>（以下格式文件由供应商根据需要选用）</w:t>
      </w:r>
    </w:p>
    <w:p>
      <w:pPr>
        <w:jc w:val="center"/>
      </w:pPr>
      <w:r>
        <w:rPr>
          <w:b/>
          <w:sz w:val="24"/>
        </w:rPr>
        <w:t>询问函、质疑函、投诉书格式</w:t>
      </w:r>
    </w:p>
    <w:p>
      <w:pPr>
        <w:ind w:firstLine="480"/>
      </w:pPr>
      <w:r>
        <w:t>说明：本部分格式为投标人提交询问函、质疑函、投诉函时使用，不属于投标文件格式的组成部分。</w:t>
      </w:r>
    </w:p>
    <w:p>
      <w:pPr>
        <w:jc w:val="center"/>
      </w:pPr>
      <w:r>
        <w:rPr>
          <w:b/>
          <w:sz w:val="24"/>
        </w:rPr>
        <w:t>询问函</w:t>
      </w:r>
    </w:p>
    <w:p>
      <w:pPr>
        <w:ind w:firstLine="480"/>
      </w:pPr>
      <w:r>
        <w:t>智林招标（广东）有限公司</w:t>
      </w:r>
    </w:p>
    <w:p>
      <w:pPr>
        <w:ind w:firstLine="480"/>
      </w:pPr>
      <w:r>
        <w:t>我单位已登记并准备参与“中山市食品药品检验所检验检测设备更新和能力提高项目”项目（采购项目编号：442000-2023-02175）的投标活动，现有以下几个内容（或条款）存在疑问（或无法理解），特提出询问。</w:t>
      </w:r>
    </w:p>
    <w:p>
      <w:pPr>
        <w:ind w:firstLine="480"/>
      </w:pPr>
      <w:r>
        <w:t>一、_____________________（事项一）</w:t>
      </w:r>
    </w:p>
    <w:p>
      <w:pPr>
        <w:ind w:firstLine="480"/>
      </w:pPr>
      <w:r>
        <w:t>（1）____________________（问题或条款内容）</w:t>
      </w:r>
    </w:p>
    <w:p>
      <w:pPr>
        <w:ind w:firstLine="480"/>
      </w:pPr>
      <w:r>
        <w:t>（2）____________________（说明疑问或无法理解原因）</w:t>
      </w:r>
    </w:p>
    <w:p>
      <w:pPr>
        <w:ind w:firstLine="480"/>
      </w:pPr>
      <w:r>
        <w:t>（3）____________________（建议）</w:t>
      </w:r>
    </w:p>
    <w:p>
      <w:pPr>
        <w:ind w:firstLine="480"/>
      </w:pPr>
      <w:r>
        <w:t>二、_____________________（事项二）</w:t>
      </w:r>
    </w:p>
    <w:p>
      <w:pPr>
        <w:ind w:firstLine="480"/>
      </w:pPr>
      <w:r>
        <w:t>...</w:t>
      </w:r>
    </w:p>
    <w:p>
      <w:pPr>
        <w:ind w:firstLine="480"/>
      </w:pPr>
      <w:r>
        <w:t>随附相关证明材料如下：（目录）</w:t>
      </w:r>
    </w:p>
    <w:p>
      <w:r>
        <w:t>询问人（公章）：_____________________</w:t>
      </w:r>
    </w:p>
    <w:p>
      <w:r>
        <w:t>法定代表人或授权代表（签字或盖章）：_____________________</w:t>
      </w:r>
    </w:p>
    <w:p>
      <w:r>
        <w:t>地址/邮编：_____________________</w:t>
      </w:r>
    </w:p>
    <w:p>
      <w:r>
        <w:t>电话/传真：_____________________</w:t>
      </w:r>
    </w:p>
    <w:p>
      <w:r>
        <w:t>日期： 年 月 日</w:t>
      </w:r>
    </w:p>
    <w:p>
      <w:pPr>
        <w:ind w:firstLine="480"/>
      </w:pPr>
    </w:p>
    <w:p>
      <w:r>
        <w:t xml:space="preserve"> </w:t>
      </w:r>
    </w:p>
    <w:p/>
    <w:p>
      <w:pPr>
        <w:jc w:val="center"/>
      </w:pPr>
      <w:r>
        <w:rPr>
          <w:b/>
          <w:sz w:val="24"/>
        </w:rPr>
        <w:t>质疑函</w:t>
      </w:r>
    </w:p>
    <w:p>
      <w:pPr>
        <w:ind w:firstLine="480"/>
      </w:pPr>
      <w:r>
        <w:t>一、质疑供应商基本信息</w:t>
      </w:r>
    </w:p>
    <w:p>
      <w:pPr>
        <w:ind w:firstLine="480"/>
      </w:pPr>
      <w:r>
        <w:t>质疑供应商：</w:t>
      </w:r>
    </w:p>
    <w:p>
      <w:pPr>
        <w:ind w:firstLine="480"/>
      </w:pPr>
      <w:r>
        <w:t>地址：_____________________邮编：_____________________</w:t>
      </w:r>
    </w:p>
    <w:p>
      <w:pPr>
        <w:ind w:firstLine="480"/>
      </w:pPr>
      <w:r>
        <w:t>联系：_____________________联系电话：_____________________</w:t>
      </w:r>
    </w:p>
    <w:p>
      <w:pPr>
        <w:ind w:firstLine="480"/>
      </w:pPr>
      <w:r>
        <w:t>授权代表：_____________________</w:t>
      </w:r>
    </w:p>
    <w:p>
      <w:pPr>
        <w:ind w:firstLine="480"/>
      </w:pPr>
      <w:r>
        <w:t>联系电话：_____________________</w:t>
      </w:r>
    </w:p>
    <w:p>
      <w:pPr>
        <w:ind w:firstLine="480"/>
      </w:pPr>
      <w:r>
        <w:t>地址：_____________________邮编：_____________________</w:t>
      </w:r>
    </w:p>
    <w:p>
      <w:pPr>
        <w:ind w:firstLine="480"/>
      </w:pPr>
      <w:r>
        <w:t>二、质疑项目基本情况</w:t>
      </w:r>
    </w:p>
    <w:p>
      <w:pPr>
        <w:ind w:firstLine="480"/>
      </w:pPr>
      <w:r>
        <w:t>质疑项目的名称：_____________________</w:t>
      </w:r>
    </w:p>
    <w:p>
      <w:pPr>
        <w:ind w:firstLine="480"/>
      </w:pPr>
      <w:r>
        <w:t>质疑项目的编号：_____________________ 包号：_____________________</w:t>
      </w:r>
    </w:p>
    <w:p>
      <w:pPr>
        <w:ind w:firstLine="480"/>
      </w:pPr>
      <w:r>
        <w:t>采购人名称：_____________________</w:t>
      </w:r>
    </w:p>
    <w:p>
      <w:pPr>
        <w:ind w:firstLine="480"/>
      </w:pPr>
      <w:r>
        <w:t>采购文件获取日期：_____________________</w:t>
      </w:r>
    </w:p>
    <w:p>
      <w:pPr>
        <w:ind w:firstLine="480"/>
      </w:pPr>
      <w:r>
        <w:t>三、质疑事项具体内容</w:t>
      </w:r>
    </w:p>
    <w:p>
      <w:pPr>
        <w:ind w:firstLine="480"/>
      </w:pPr>
      <w:r>
        <w:t>质疑事项1：_____________________</w:t>
      </w:r>
    </w:p>
    <w:p>
      <w:pPr>
        <w:ind w:firstLine="480"/>
      </w:pPr>
      <w:r>
        <w:t>事实依据：_____________________</w:t>
      </w:r>
    </w:p>
    <w:p>
      <w:pPr>
        <w:ind w:firstLine="480"/>
      </w:pPr>
      <w:r>
        <w:t>法律依据：_____________________</w:t>
      </w:r>
    </w:p>
    <w:p>
      <w:pPr>
        <w:ind w:firstLine="480"/>
      </w:pPr>
      <w:r>
        <w:t>质疑事项2：_____________________</w:t>
      </w:r>
    </w:p>
    <w:p>
      <w:pPr>
        <w:ind w:firstLine="480"/>
      </w:pPr>
      <w:r>
        <w:t>……</w:t>
      </w:r>
    </w:p>
    <w:p>
      <w:pPr>
        <w:ind w:firstLine="480"/>
      </w:pPr>
      <w:r>
        <w:t>四、与质疑事项相关的质疑请求</w:t>
      </w:r>
    </w:p>
    <w:p>
      <w:pPr>
        <w:ind w:firstLine="480"/>
      </w:pPr>
      <w:r>
        <w:t>请求：__________________________________________</w:t>
      </w:r>
    </w:p>
    <w:p>
      <w:r>
        <w:t xml:space="preserve"> 签字(签章)：_____________________ 公章：_____________________</w:t>
      </w:r>
    </w:p>
    <w:p>
      <w:r>
        <w:t>日期： 年 月 日</w:t>
      </w:r>
    </w:p>
    <w:p>
      <w:pPr>
        <w:ind w:firstLine="480"/>
      </w:pPr>
      <w:r>
        <w:t>质疑函制作说明：</w:t>
      </w:r>
    </w:p>
    <w:p>
      <w:pPr>
        <w:ind w:firstLine="480"/>
      </w:pPr>
      <w:r>
        <w:t>1.供应商提出质疑时，应提交质疑函和必要的证明材料。</w:t>
      </w:r>
    </w:p>
    <w:p>
      <w:pPr>
        <w:ind w:firstLine="480"/>
      </w:pPr>
      <w: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t>3.质疑供应商若对项目的某一分包进行质疑，质疑函中应列明具体采购包号。</w:t>
      </w:r>
    </w:p>
    <w:p>
      <w:pPr>
        <w:ind w:firstLine="480"/>
      </w:pPr>
      <w:r>
        <w:t>4.质疑函的质疑事项应具体、明确，并有必要的事实依据和法律依据。</w:t>
      </w:r>
    </w:p>
    <w:p>
      <w:pPr>
        <w:ind w:firstLine="480"/>
      </w:pPr>
      <w:r>
        <w:t>5.质疑函的质疑请求应与质疑事项相关。</w:t>
      </w:r>
    </w:p>
    <w:p>
      <w:pPr>
        <w:ind w:firstLine="480"/>
      </w:pPr>
      <w:r>
        <w:t>6.质疑供应商为自然人的，质疑函应由本人签字；质疑供应商为法人或者其他组织的，质疑函应由法定代表人、主要负责人，或者其授权代表签字或者盖章，并加盖公章。</w:t>
      </w:r>
    </w:p>
    <w:p>
      <w:pPr>
        <w:ind w:firstLine="480"/>
      </w:pPr>
    </w:p>
    <w:p>
      <w:r>
        <w:t xml:space="preserve"> </w:t>
      </w:r>
    </w:p>
    <w:p/>
    <w:p>
      <w:pPr>
        <w:jc w:val="center"/>
      </w:pPr>
      <w:r>
        <w:rPr>
          <w:b/>
          <w:sz w:val="24"/>
        </w:rPr>
        <w:t>投诉书</w:t>
      </w:r>
    </w:p>
    <w:p>
      <w:pPr>
        <w:ind w:firstLine="480"/>
      </w:pPr>
      <w:r>
        <w:t>一、投诉相关主体基本情况</w:t>
      </w:r>
    </w:p>
    <w:p>
      <w:pPr>
        <w:ind w:firstLine="480"/>
      </w:pPr>
      <w:r>
        <w:t>投诉人：____________________</w:t>
      </w:r>
    </w:p>
    <w:p>
      <w:pPr>
        <w:ind w:firstLine="480"/>
      </w:pPr>
      <w:r>
        <w:t>地 址：____________________邮编：____________________</w:t>
      </w:r>
    </w:p>
    <w:p>
      <w:pPr>
        <w:ind w:firstLine="480"/>
      </w:pPr>
      <w:r>
        <w:t>法定代表人/主要负责人：____________________</w:t>
      </w:r>
    </w:p>
    <w:p>
      <w:pPr>
        <w:ind w:firstLine="480"/>
      </w:pPr>
      <w:r>
        <w:t>联系电话：____________________</w:t>
      </w:r>
    </w:p>
    <w:p>
      <w:pPr>
        <w:ind w:firstLine="480"/>
      </w:pPr>
      <w:r>
        <w:t>授权代表：____________________联系电话：____________________</w:t>
      </w:r>
    </w:p>
    <w:p>
      <w:pPr>
        <w:ind w:firstLine="480"/>
      </w:pPr>
      <w:r>
        <w:t>地 址：____________________邮编：____________________</w:t>
      </w:r>
    </w:p>
    <w:p>
      <w:pPr>
        <w:ind w:firstLine="480"/>
      </w:pPr>
      <w:r>
        <w:t>被投诉人1：____________________</w:t>
      </w:r>
    </w:p>
    <w:p>
      <w:pPr>
        <w:ind w:firstLine="480"/>
      </w:pPr>
      <w:r>
        <w:t>地址：____________________邮编：____________________</w:t>
      </w:r>
    </w:p>
    <w:p>
      <w:pPr>
        <w:ind w:firstLine="480"/>
      </w:pPr>
      <w:r>
        <w:t>联系人：____________________联系电话：____________________</w:t>
      </w:r>
    </w:p>
    <w:p>
      <w:pPr>
        <w:ind w:firstLine="480"/>
      </w:pPr>
      <w:r>
        <w:t>被投诉人2：____________________</w:t>
      </w:r>
    </w:p>
    <w:p>
      <w:pPr>
        <w:ind w:firstLine="480"/>
      </w:pPr>
      <w:r>
        <w:t>……</w:t>
      </w:r>
    </w:p>
    <w:p>
      <w:pPr>
        <w:ind w:firstLine="480"/>
      </w:pPr>
      <w:r>
        <w:t>相关供应商：_____________________</w:t>
      </w:r>
    </w:p>
    <w:p>
      <w:pPr>
        <w:ind w:firstLine="480"/>
      </w:pPr>
      <w:r>
        <w:t>地址：____________________邮编：____________________</w:t>
      </w:r>
    </w:p>
    <w:p>
      <w:pPr>
        <w:ind w:firstLine="480"/>
      </w:pPr>
      <w:r>
        <w:t>联系人：____________________联系电话：____________________</w:t>
      </w:r>
    </w:p>
    <w:p>
      <w:pPr>
        <w:ind w:firstLine="480"/>
      </w:pPr>
      <w:r>
        <w:t>二、投诉项目基本情况</w:t>
      </w:r>
    </w:p>
    <w:p>
      <w:pPr>
        <w:ind w:firstLine="480"/>
      </w:pPr>
      <w:r>
        <w:t>采购项目名称：____________________</w:t>
      </w:r>
    </w:p>
    <w:p>
      <w:pPr>
        <w:ind w:firstLine="480"/>
      </w:pPr>
      <w:r>
        <w:t>采购项目编号： ____________________包号：____________________</w:t>
      </w:r>
    </w:p>
    <w:p>
      <w:pPr>
        <w:ind w:firstLine="480"/>
      </w:pPr>
      <w:r>
        <w:t>采购人名称：____________________</w:t>
      </w:r>
    </w:p>
    <w:p>
      <w:pPr>
        <w:ind w:firstLine="480"/>
      </w:pPr>
      <w:r>
        <w:t>代理机构名称：____________________</w:t>
      </w:r>
    </w:p>
    <w:p>
      <w:pPr>
        <w:ind w:firstLine="480"/>
      </w:pPr>
      <w:r>
        <w:t>采购文件公告:</w:t>
      </w:r>
      <w:r>
        <w:rPr>
          <w:u w:val="single"/>
        </w:rPr>
        <w:t>是/否</w:t>
      </w:r>
      <w:r>
        <w:t>公告期限：_____________________</w:t>
      </w:r>
    </w:p>
    <w:p>
      <w:pPr>
        <w:ind w:firstLine="480"/>
      </w:pPr>
      <w:r>
        <w:t>采购结果公告:</w:t>
      </w:r>
      <w:r>
        <w:rPr>
          <w:u w:val="single"/>
        </w:rPr>
        <w:t>是/否</w:t>
      </w:r>
      <w:r>
        <w:t>公告期限：_____________________</w:t>
      </w:r>
    </w:p>
    <w:p>
      <w:pPr>
        <w:ind w:firstLine="480"/>
      </w:pPr>
      <w:r>
        <w:t>三、质疑基本情况</w:t>
      </w:r>
    </w:p>
    <w:p>
      <w:pPr>
        <w:ind w:firstLine="480"/>
      </w:pPr>
      <w:r>
        <w:t>投诉人于 ____年____月____日,向提出质疑，质疑事项为：_____________________</w:t>
      </w:r>
    </w:p>
    <w:p>
      <w:pPr>
        <w:ind w:firstLine="480"/>
      </w:pPr>
      <w:r>
        <w:rPr>
          <w:u w:val="single"/>
        </w:rPr>
        <w:t>采购人/代理机构</w:t>
      </w:r>
      <w:r>
        <w:t>于____年____月____日,就质疑事项作出了答复/没有在法定期限内作出答复。</w:t>
      </w:r>
    </w:p>
    <w:p>
      <w:pPr>
        <w:ind w:firstLine="480"/>
      </w:pPr>
      <w:r>
        <w:t>四、投诉事项具体内容</w:t>
      </w:r>
    </w:p>
    <w:p>
      <w:pPr>
        <w:ind w:firstLine="480"/>
      </w:pPr>
      <w:r>
        <w:t>投诉事项 1：_____________________</w:t>
      </w:r>
    </w:p>
    <w:p>
      <w:pPr>
        <w:ind w:firstLine="480"/>
      </w:pPr>
      <w:r>
        <w:t>事实依据：_____________________</w:t>
      </w:r>
    </w:p>
    <w:p>
      <w:pPr>
        <w:ind w:firstLine="480"/>
      </w:pPr>
      <w:r>
        <w:t>法律依据：_____________________</w:t>
      </w:r>
    </w:p>
    <w:p>
      <w:pPr>
        <w:ind w:firstLine="480"/>
      </w:pPr>
      <w:r>
        <w:t>投诉事项2：_____________________</w:t>
      </w:r>
    </w:p>
    <w:p>
      <w:pPr>
        <w:ind w:firstLine="480"/>
      </w:pPr>
      <w:r>
        <w:t>……</w:t>
      </w:r>
    </w:p>
    <w:p>
      <w:pPr>
        <w:ind w:firstLine="480"/>
      </w:pPr>
      <w:r>
        <w:t>五、与投诉事项相关的投诉请求</w:t>
      </w:r>
    </w:p>
    <w:p>
      <w:pPr>
        <w:ind w:firstLine="480"/>
      </w:pPr>
      <w:r>
        <w:t>请求：________________________</w:t>
      </w:r>
    </w:p>
    <w:p>
      <w:pPr>
        <w:ind w:firstLine="480"/>
      </w:pPr>
    </w:p>
    <w:p>
      <w:r>
        <w:t xml:space="preserve"> 签字(签章)： ________公章________</w:t>
      </w:r>
    </w:p>
    <w:p>
      <w:r>
        <w:t>日期：____年____月____日</w:t>
      </w:r>
    </w:p>
    <w:p>
      <w:pPr>
        <w:ind w:firstLine="480"/>
      </w:pPr>
    </w:p>
    <w:p>
      <w:pPr>
        <w:ind w:firstLine="480"/>
      </w:pPr>
      <w:r>
        <w:t>投诉书制作说明：</w:t>
      </w:r>
    </w:p>
    <w:p>
      <w:pPr>
        <w:ind w:firstLine="480"/>
      </w:pPr>
      <w:r>
        <w:t>1.投诉人提起投诉时，应当提交投诉书和必要的证明材料，并按照被投诉人和与投诉事项有关的供应商数量提供投诉书副本。</w:t>
      </w:r>
    </w:p>
    <w:p>
      <w:pPr>
        <w:ind w:firstLine="480"/>
      </w:pPr>
      <w: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t>3.投诉人若对项目的某一分包进行投诉，投诉书应列明具体分包号。</w:t>
      </w:r>
    </w:p>
    <w:p>
      <w:pPr>
        <w:ind w:firstLine="480"/>
      </w:pPr>
      <w:r>
        <w:t>4.投诉书应简要列明质疑事项，质疑函、质疑答复等作为附件材料提供。</w:t>
      </w:r>
    </w:p>
    <w:p>
      <w:pPr>
        <w:ind w:firstLine="480"/>
      </w:pPr>
      <w:r>
        <w:t>5.投诉书的投诉事项应具体、明确，并有必要的事实依据和法律依据。</w:t>
      </w:r>
    </w:p>
    <w:p>
      <w:pPr>
        <w:ind w:firstLine="480"/>
      </w:pPr>
      <w:r>
        <w:t>6.投诉书的投诉请求应与投诉事项相关。</w:t>
      </w:r>
    </w:p>
    <w:p>
      <w:pPr>
        <w:ind w:firstLine="480"/>
      </w:pPr>
      <w:r>
        <w:t>7.投诉人为自然人的，投诉书应当由本人签字；投诉人为法人或者其他组织的，投诉书应当由法定代表人、主要负责人，或者其授权代表签字或者盖章，并加盖公章。</w:t>
      </w:r>
    </w:p>
    <w:p>
      <w:pPr>
        <w:ind w:firstLine="480"/>
      </w:pPr>
    </w:p>
    <w:p>
      <w:r>
        <w:t xml:space="preserve"> </w:t>
      </w:r>
    </w:p>
    <w:p/>
    <w:p>
      <w:r>
        <w:rPr>
          <w:b/>
          <w:sz w:val="28"/>
        </w:rPr>
        <w:t>格式二十三：</w:t>
      </w:r>
    </w:p>
    <w:p>
      <w:pPr>
        <w:ind w:firstLine="480"/>
      </w:pPr>
      <w:r>
        <w:t>（以下格式文件由供应商根据需要选用）</w:t>
      </w:r>
    </w:p>
    <w:p>
      <w:pPr>
        <w:ind w:firstLine="480"/>
      </w:pPr>
      <w:r>
        <w:t>项目实施方案、质量保证及售后服务承诺等内容和格式自拟。</w:t>
      </w:r>
    </w:p>
    <w:p>
      <w:pPr>
        <w:ind w:firstLine="480"/>
      </w:pPr>
    </w:p>
    <w:p>
      <w:r>
        <w:t xml:space="preserve"> </w:t>
      </w:r>
    </w:p>
    <w:p/>
    <w:p>
      <w:r>
        <w:rPr>
          <w:b/>
          <w:sz w:val="28"/>
        </w:rPr>
        <w:t>格式二十四：</w:t>
      </w:r>
    </w:p>
    <w:p>
      <w:pPr>
        <w:ind w:firstLine="480"/>
      </w:pPr>
      <w:r>
        <w:t>附件（以下格式文件由供应商根据需要选用）</w:t>
      </w:r>
    </w:p>
    <w:p>
      <w:pPr>
        <w:jc w:val="center"/>
      </w:pPr>
      <w:r>
        <w:rPr>
          <w:b/>
          <w:sz w:val="24"/>
        </w:rPr>
        <w:t>政府采购投标（响应）担保函</w:t>
      </w:r>
    </w:p>
    <w:p>
      <w:r>
        <w:t>编号：【 】号</w:t>
      </w:r>
    </w:p>
    <w:p>
      <w:pPr>
        <w:ind w:firstLine="480"/>
      </w:pPr>
      <w:r>
        <w:t>（采购人）：</w:t>
      </w:r>
    </w:p>
    <w:p>
      <w:pPr>
        <w:ind w:firstLine="480"/>
      </w:pPr>
      <w: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t>一、保险责任的情形及保证金额</w:t>
      </w:r>
    </w:p>
    <w:p>
      <w:pPr>
        <w:ind w:firstLine="480"/>
      </w:pPr>
      <w:r>
        <w:t>（一）在投标（响应）人出现下列情形之一时，我方承担保险责任：</w:t>
      </w:r>
    </w:p>
    <w:p>
      <w:pPr>
        <w:ind w:firstLine="480"/>
      </w:pPr>
      <w:r>
        <w:t>1.中标（成交）后投标（响应）人无正当理由不与采购人签订《政府采购合同》；</w:t>
      </w:r>
    </w:p>
    <w:p>
      <w:pPr>
        <w:ind w:firstLine="480"/>
      </w:pPr>
      <w:r>
        <w:t>2.采购文件规定的投标（响应）人应当缴纳保证金的其他情形。</w:t>
      </w:r>
    </w:p>
    <w:p>
      <w:pPr>
        <w:ind w:firstLine="480"/>
      </w:pPr>
      <w:r>
        <w:t>（二）我方承担保险责任的最高金额为人民币__________元（大写）即本项目的投标（响应）保证金金额。</w:t>
      </w:r>
    </w:p>
    <w:p>
      <w:pPr>
        <w:ind w:firstLine="480"/>
      </w:pPr>
      <w:r>
        <w:t>二、保证的方式及保证期间</w:t>
      </w:r>
    </w:p>
    <w:p>
      <w:pPr>
        <w:ind w:firstLine="480"/>
      </w:pPr>
      <w:r>
        <w:t>我方保证的方式为：连带责任保证。</w:t>
      </w:r>
    </w:p>
    <w:p>
      <w:pPr>
        <w:ind w:firstLine="480"/>
      </w:pPr>
      <w:r>
        <w:t>我方的保证期间为：本保险凭证自__年__月__日起生效，有效期至开标日后的90天内。</w:t>
      </w:r>
    </w:p>
    <w:p>
      <w:pPr>
        <w:ind w:firstLine="480"/>
      </w:pPr>
      <w:r>
        <w:t>三、承担保证责任的程序</w:t>
      </w:r>
    </w:p>
    <w:p>
      <w:pPr>
        <w:ind w:firstLine="480"/>
      </w:pPr>
      <w: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t>2.我方在收到索赔通知及相关证明材料后，在15个工作日内进行审查，符合应承担保证责任情形的，我方按照你方的要求代投标（响应）人向你方支付相应的索赔款项。</w:t>
      </w:r>
    </w:p>
    <w:p>
      <w:pPr>
        <w:ind w:firstLine="480"/>
      </w:pPr>
      <w:r>
        <w:t>四、保证责任的终止</w:t>
      </w:r>
    </w:p>
    <w:p>
      <w:pPr>
        <w:ind w:firstLine="480"/>
      </w:pPr>
      <w:r>
        <w:t>1.保证期间届满，你方未向我方书面主张保证责任的，自保证期间届满次日起，我方保证责任自动终止。</w:t>
      </w:r>
    </w:p>
    <w:p>
      <w:pPr>
        <w:ind w:firstLine="480"/>
      </w:pPr>
      <w:r>
        <w:t>2.我方按照本保函向你方履行了保证责任后，自我方向你方支付款项（支付款项从我方账户划出）之日起，保证责任终止。</w:t>
      </w:r>
    </w:p>
    <w:p>
      <w:pPr>
        <w:ind w:firstLine="480"/>
      </w:pPr>
      <w:r>
        <w:t>3.按照法律法规的规定或出现我方保证责任终止的其它情形的，我方在本保函项下的保证责任终止。</w:t>
      </w:r>
    </w:p>
    <w:p>
      <w:pPr>
        <w:ind w:firstLine="480"/>
      </w:pPr>
      <w:r>
        <w:t>五、免责条款</w:t>
      </w:r>
    </w:p>
    <w:p>
      <w:pPr>
        <w:ind w:firstLine="480"/>
      </w:pPr>
      <w:r>
        <w:t>1.依照法律规定或你方与投标（响应）人的另行约定，全部或者部分免除投标（响应）人投标（响应）保证金义务时，我方亦免除相应的保证责任。</w:t>
      </w:r>
    </w:p>
    <w:p>
      <w:pPr>
        <w:ind w:firstLine="480"/>
      </w:pPr>
      <w:r>
        <w:t>2.因你方原因致使投标（响应）人发生本保函第一条第（一）款约定情形的，我方不承担保证责任。</w:t>
      </w:r>
    </w:p>
    <w:p>
      <w:pPr>
        <w:ind w:firstLine="480"/>
      </w:pPr>
      <w:r>
        <w:t>3.因不可抗力造成投标（响应）人发生本保函第一条约定情形的，我方不承担保证责任。</w:t>
      </w:r>
    </w:p>
    <w:p>
      <w:pPr>
        <w:ind w:firstLine="480"/>
      </w:pPr>
      <w:r>
        <w:t>4.你方或其他有权机关对采购文件进行任何澄清或修改，加重我方保证责任的，我方对加重部分不承担保证责任，但该澄清或修改经我方事先书面同意的除外。</w:t>
      </w:r>
    </w:p>
    <w:p>
      <w:pPr>
        <w:ind w:firstLine="480"/>
      </w:pPr>
      <w:r>
        <w:t>六、争议的解决</w:t>
      </w:r>
    </w:p>
    <w:p>
      <w:pPr>
        <w:ind w:firstLine="480"/>
      </w:pPr>
      <w:r>
        <w:t>因本保函发生的纠纷，由你我双方协商解决，协商不成的，通过诉讼程序解决，诉讼管辖地法院为 法院。</w:t>
      </w:r>
    </w:p>
    <w:p>
      <w:pPr>
        <w:ind w:firstLine="480"/>
      </w:pPr>
      <w:r>
        <w:t>七、保函的生效</w:t>
      </w:r>
    </w:p>
    <w:p>
      <w:pPr>
        <w:ind w:firstLine="480"/>
      </w:pPr>
      <w:r>
        <w:t>本保函自我方加盖公章之日起生效。</w:t>
      </w:r>
    </w:p>
    <w:p>
      <w:pPr>
        <w:ind w:firstLine="480"/>
      </w:pPr>
    </w:p>
    <w:p>
      <w:r>
        <w:t>保证人：_______（公章）_______</w:t>
      </w:r>
    </w:p>
    <w:p>
      <w:r>
        <w:t>联系人：____________________</w:t>
      </w:r>
    </w:p>
    <w:p>
      <w:r>
        <w:t>联系电话：____________________</w:t>
      </w:r>
    </w:p>
    <w:p>
      <w:r>
        <w:t>___年___月___日</w:t>
      </w:r>
    </w:p>
    <w:p>
      <w:pPr>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435E6536"/>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handsomeboy</cp:lastModifiedBy>
  <dcterms:modified xsi:type="dcterms:W3CDTF">2023-05-23T08:06:09Z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