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442000-2023-04012</w:t>
      </w:r>
    </w:p>
    <w:p>
      <w:pPr>
        <w:jc w:val="center"/>
      </w:pPr>
      <w:r>
        <w:rPr>
          <w:b/>
          <w:sz w:val="24"/>
        </w:rPr>
        <w:t>采购项目编号：</w:t>
      </w:r>
      <w:r>
        <w:rPr>
          <w:b/>
          <w:sz w:val="24"/>
        </w:rPr>
        <w:t>442000-2023-04012</w:t>
      </w:r>
    </w:p>
    <w:p>
      <w:pPr>
        <w:jc w:val="center"/>
      </w:pPr>
      <w:r>
        <w:rPr>
          <w:b/>
          <w:sz w:val="24"/>
        </w:rPr>
        <w:t>项目名称：</w:t>
      </w:r>
      <w:r>
        <w:rPr>
          <w:b/>
          <w:sz w:val="24"/>
        </w:rPr>
        <w:t>中山市人民医院移动式C形臂X射线机和介入诊疗手术台采购项目</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中山市人民医院</w:t>
      </w:r>
      <w:r>
        <w:rPr/>
        <w:t>的委托，采用</w:t>
      </w:r>
      <w:r>
        <w:rPr/>
        <w:t>公开招标</w:t>
      </w:r>
      <w:r>
        <w:rPr/>
        <w:t>方式组织采购</w:t>
      </w:r>
      <w:r>
        <w:rPr/>
        <w:t>中山市人民医院移动式C形臂X射线机和介入诊疗手术台采购项目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中山市人民医院移动式C形臂X射线机和介入诊疗手术台采购项目</w:t>
      </w:r>
    </w:p>
    <w:p>
      <w:pPr>
        <w:ind w:firstLine="480"/>
      </w:pPr>
      <w:r>
        <w:rPr/>
        <w:t>采购计划编号：</w:t>
      </w:r>
      <w:r>
        <w:rPr/>
        <w:t>442000-2023-04012</w:t>
      </w:r>
    </w:p>
    <w:p>
      <w:pPr>
        <w:ind w:firstLine="480"/>
      </w:pPr>
      <w:r>
        <w:rPr/>
        <w:t>采购项目编号：</w:t>
      </w:r>
      <w:r>
        <w:rPr/>
        <w:t>442000-2023-04012</w:t>
      </w:r>
    </w:p>
    <w:p>
      <w:pPr>
        <w:ind w:firstLine="480"/>
      </w:pPr>
      <w:r>
        <w:rPr/>
        <w:t>采购方式：</w:t>
      </w:r>
      <w:r>
        <w:rPr/>
        <w:t>公开招标</w:t>
      </w:r>
    </w:p>
    <w:p>
      <w:pPr>
        <w:ind w:firstLine="480"/>
      </w:pPr>
      <w:r>
        <w:rPr/>
        <w:t>预算金额：</w:t>
      </w:r>
      <w:r>
        <w:rPr/>
        <w:t>2,630,000.00</w:t>
      </w:r>
      <w:r>
        <w:rPr/>
        <w:t>元</w:t>
      </w:r>
    </w:p>
    <w:p>
      <w:r>
        <w:rPr>
          <w:b/>
          <w:sz w:val="24"/>
        </w:rPr>
        <w:t>2.项目内容及需求情况（采购项目技术规格、参数及要求）</w:t>
      </w:r>
    </w:p>
    <w:p>
      <w:pPr>
        <w:ind w:firstLine="480"/>
      </w:pPr>
    </w:p>
    <w:p/>
    <w:p>
      <w:r>
        <w:rPr/>
        <w:t>采购包1(移动式C形臂X射线机和介入诊疗手术台):</w:t>
      </w:r>
    </w:p>
    <w:p>
      <w:r>
        <w:rPr/>
        <w:t>采购包预算金额：2,630,000.00元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 X 线诊断设备</w:t>
            </w:r>
          </w:p>
        </w:tc>
        <w:tc>
          <w:tcPr>
            <w:tcW w:type="dxa" w:w="2136"/>
          </w:tcPr>
          <w:p>
            <w:r>
              <w:rPr/>
              <w:t>移动式C形臂X射线机</w:t>
            </w:r>
          </w:p>
        </w:tc>
        <w:tc>
          <w:tcPr>
            <w:tcW w:type="dxa" w:w="1187"/>
          </w:tcPr>
          <w:p>
            <w:r>
              <w:rPr/>
              <w:t>1.00(套)</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手术室设备及附件</w:t>
            </w:r>
          </w:p>
        </w:tc>
        <w:tc>
          <w:tcPr>
            <w:tcW w:type="dxa" w:w="2136"/>
          </w:tcPr>
          <w:p>
            <w:r>
              <w:rPr/>
              <w:t>介入诊疗手术台</w:t>
            </w:r>
          </w:p>
        </w:tc>
        <w:tc>
          <w:tcPr>
            <w:tcW w:type="dxa" w:w="1187"/>
          </w:tcPr>
          <w:p>
            <w:r>
              <w:rPr/>
              <w:t>1.00(套)</w:t>
            </w:r>
          </w:p>
        </w:tc>
        <w:tc>
          <w:tcPr>
            <w:tcW w:type="dxa" w:w="1187"/>
          </w:tcPr>
          <w:p>
            <w:r>
              <w:rPr/>
              <w:t>详见第二章</w:t>
            </w:r>
          </w:p>
        </w:tc>
        <w:tc>
          <w:tcPr>
            <w:tcW w:type="dxa" w:w="1187"/>
          </w:tcPr>
          <w:p>
            <w:r>
              <w:rPr/>
              <w:t>否</w:t>
            </w:r>
          </w:p>
        </w:tc>
      </w:tr>
    </w:tbl>
    <w:p/>
    <w:p>
      <w:r>
        <w:rPr/>
        <w:t>本采购包不接受联合体投标</w:t>
      </w:r>
    </w:p>
    <w:p/>
    <w:p>
      <w:r>
        <w:rPr/>
        <w:t>合同履行期限：签订合同后90天内完成安装调试。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3）具有良好的商业信誉和健全的财务会计制度：提供2021年度或2022年度财务状况报告或投标截止日前12个月内任意1个月的财务报表复印件，财务报表须包含资产负债表、利润表或银行出具的资信证明材料复印件。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采购包1（移动式C形臂X射线机和介入诊疗手术台）：</w:t>
      </w:r>
      <w:r>
        <w:rPr/>
        <w:t>1）本项目专门面向中小企业采购； 2）根据附件2《中小企业划型标准规定》以单位上一年度经济数据自行判定是否属于工业的中小微企业，符合中小微类型的方可参与本项目的投标；  3）本项目所采购的货物全部由符合政策要求的中小企业制造，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4）符合条件的供应商其所属行业必须与本项目采购文件中明确的所属行业（行业名称：工业）一致； 5）符合条件的供应商应在投标文件中出具《中小企业声明函》并如实填写，此项将作为资格审查的必要项，如未按要求提供将视为无效投标。</w:t>
      </w:r>
    </w:p>
    <w:p/>
    <w:p>
      <w:r>
        <w:rPr>
          <w:b/>
          <w:sz w:val="24"/>
        </w:rPr>
        <w:t>3.本项目特定的资格要求：</w:t>
      </w:r>
    </w:p>
    <w:p>
      <w:pPr>
        <w:ind w:firstLine="480"/>
      </w:pPr>
    </w:p>
    <w:p/>
    <w:p>
      <w:r>
        <w:rPr/>
        <w:t>采购包1（移动式C形臂X射线机和介入诊疗手术台）：</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孙文东路2号</w:t>
      </w:r>
    </w:p>
    <w:p>
      <w:pPr>
        <w:ind w:firstLine="480"/>
      </w:pPr>
      <w:r>
        <w:rPr/>
        <w:t>联系方式：</w:t>
      </w:r>
      <w:r>
        <w:rPr/>
        <w:t>88824241</w:t>
      </w:r>
    </w:p>
    <w:p>
      <w:r>
        <w:rPr>
          <w:b/>
          <w:sz w:val="24"/>
        </w:rPr>
        <w:t>2.采购代理机构信息</w:t>
      </w:r>
    </w:p>
    <w:p>
      <w:pPr>
        <w:ind w:firstLine="480"/>
      </w:pPr>
      <w:r>
        <w:rPr/>
        <w:t>名称：</w:t>
      </w:r>
      <w:r>
        <w:rPr/>
        <w:t>智林招标（广东）有限公司</w:t>
      </w:r>
    </w:p>
    <w:p>
      <w:pPr>
        <w:ind w:firstLine="480"/>
      </w:pPr>
      <w:r>
        <w:rPr/>
        <w:t>地址：</w:t>
      </w:r>
      <w:r>
        <w:rPr/>
        <w:t>广东省中山市东区中山五路82号紫岭国际二期2座513房之一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2"/>
        </w:rPr>
        <w:t>1.项目名称：</w:t>
      </w:r>
      <w:r>
        <w:rPr>
          <w:sz w:val="22"/>
        </w:rPr>
        <w:t>中山市人民医院移动式</w:t>
      </w:r>
      <w:r>
        <w:rPr>
          <w:sz w:val="22"/>
        </w:rPr>
        <w:t>C形臂X射线机和介入诊疗手术台采购项目</w:t>
      </w:r>
    </w:p>
    <w:p>
      <w:pPr>
        <w:jc w:val="both"/>
      </w:pPr>
      <w:r>
        <w:rPr>
          <w:sz w:val="22"/>
        </w:rPr>
        <w:t>2.采购计划编号：</w:t>
      </w:r>
      <w:r>
        <w:rPr>
          <w:sz w:val="22"/>
        </w:rPr>
        <w:t>442000-2023-04012</w:t>
      </w:r>
    </w:p>
    <w:p>
      <w:pPr>
        <w:jc w:val="both"/>
      </w:pPr>
      <w:r>
        <w:rPr>
          <w:sz w:val="22"/>
        </w:rPr>
        <w:t>3.采购项目编号：</w:t>
      </w:r>
      <w:r>
        <w:rPr>
          <w:sz w:val="22"/>
        </w:rPr>
        <w:t>442000-2023-04012</w:t>
      </w:r>
    </w:p>
    <w:p>
      <w:pPr>
        <w:jc w:val="both"/>
      </w:pPr>
      <w:r>
        <w:rPr>
          <w:sz w:val="22"/>
        </w:rPr>
        <w:t>4.采购方式： 公开招标</w:t>
      </w:r>
    </w:p>
    <w:p>
      <w:pPr>
        <w:jc w:val="both"/>
      </w:pPr>
      <w:r>
        <w:rPr>
          <w:sz w:val="22"/>
        </w:rPr>
        <w:t>5.本项目总预算金额：</w:t>
      </w:r>
      <w:r>
        <w:rPr>
          <w:sz w:val="22"/>
        </w:rPr>
        <w:t>2</w:t>
      </w:r>
      <w:r>
        <w:rPr>
          <w:sz w:val="22"/>
        </w:rPr>
        <w:t>63</w:t>
      </w:r>
      <w:r>
        <w:rPr>
          <w:sz w:val="22"/>
        </w:rPr>
        <w:t>0000.00</w:t>
      </w:r>
      <w:r>
        <w:rPr>
          <w:sz w:val="22"/>
        </w:rPr>
        <w:t>元</w:t>
      </w:r>
    </w:p>
    <w:p>
      <w:pPr>
        <w:jc w:val="both"/>
      </w:pPr>
      <w:r>
        <w:rPr>
          <w:sz w:val="22"/>
        </w:rPr>
        <w:t>6</w:t>
      </w:r>
      <w:r>
        <w:rPr>
          <w:sz w:val="22"/>
        </w:rPr>
        <w:t>.项目</w:t>
      </w:r>
      <w:r>
        <w:rPr>
          <w:sz w:val="22"/>
        </w:rPr>
        <w:t>采购</w:t>
      </w:r>
      <w:r>
        <w:rPr>
          <w:sz w:val="22"/>
        </w:rPr>
        <w:t>内容：</w:t>
      </w:r>
    </w:p>
    <w:tbl>
      <w:tblPr>
        <w:tblW w:w="0" w:type="auto"/>
        <w:tblInd w:type="dxa" w:w="135"/>
        <w:tblBorders>
          <w:top w:val="single"/>
          <w:left w:val="single"/>
          <w:bottom w:val="single"/>
          <w:right w:val="single"/>
          <w:insideH w:val="single"/>
          <w:insideV w:val="single"/>
        </w:tblBorders>
      </w:tblPr>
      <w:tblGrid>
        <w:gridCol w:w="635"/>
        <w:gridCol w:w="1555"/>
        <w:gridCol w:w="662"/>
        <w:gridCol w:w="1745"/>
        <w:gridCol w:w="1785"/>
        <w:gridCol w:w="1920"/>
      </w:tblGrid>
      <w:tr>
        <w:tc>
          <w:tcPr>
            <w:tcW w:type="dxa" w:w="635"/>
            <w:tcBorders>
              <w:top w:val="single" w:color="000000" w:sz="4"/>
              <w:left w:val="single" w:color="000000" w:sz="4"/>
              <w:bottom w:val="single" w:color="000000" w:sz="4"/>
              <w:right w:val="single" w:color="000000" w:sz="4"/>
            </w:tcBorders>
            <w:vAlign w:val="top"/>
          </w:tcPr>
          <w:p>
            <w:pPr>
              <w:jc w:val="center"/>
            </w:pPr>
            <w:r>
              <w:rPr>
                <w:sz w:val="22"/>
              </w:rPr>
              <w:t>序号</w:t>
            </w:r>
          </w:p>
        </w:tc>
        <w:tc>
          <w:tcPr>
            <w:tcW w:type="dxa" w:w="1555"/>
            <w:tcBorders>
              <w:top w:val="single" w:color="000000" w:sz="4"/>
              <w:left w:val="none" w:color="000000" w:sz="4"/>
              <w:bottom w:val="single" w:color="000000" w:sz="4"/>
              <w:right w:val="single" w:color="000000" w:sz="4"/>
            </w:tcBorders>
            <w:vAlign w:val="top"/>
          </w:tcPr>
          <w:p>
            <w:pPr>
              <w:jc w:val="center"/>
            </w:pPr>
            <w:r>
              <w:rPr>
                <w:sz w:val="22"/>
              </w:rPr>
              <w:t>名称</w:t>
            </w:r>
          </w:p>
        </w:tc>
        <w:tc>
          <w:tcPr>
            <w:tcW w:type="dxa" w:w="662"/>
            <w:tcBorders>
              <w:top w:val="single" w:color="000000" w:sz="4"/>
              <w:left w:val="none" w:color="000000" w:sz="4"/>
              <w:bottom w:val="single" w:color="000000" w:sz="4"/>
              <w:right w:val="single" w:color="000000" w:sz="4"/>
            </w:tcBorders>
            <w:vAlign w:val="top"/>
          </w:tcPr>
          <w:p>
            <w:pPr>
              <w:jc w:val="center"/>
            </w:pPr>
            <w:r>
              <w:rPr>
                <w:sz w:val="22"/>
              </w:rPr>
              <w:t>数量</w:t>
            </w:r>
          </w:p>
        </w:tc>
        <w:tc>
          <w:tcPr>
            <w:tcW w:type="dxa" w:w="1745"/>
            <w:tcBorders>
              <w:top w:val="single" w:color="000000" w:sz="4"/>
              <w:left w:val="none" w:color="000000" w:sz="4"/>
              <w:bottom w:val="single" w:color="000000" w:sz="4"/>
              <w:right w:val="single" w:color="000000" w:sz="4"/>
            </w:tcBorders>
            <w:vAlign w:val="top"/>
          </w:tcPr>
          <w:p>
            <w:pPr>
              <w:jc w:val="center"/>
            </w:pPr>
            <w:r>
              <w:rPr>
                <w:sz w:val="22"/>
              </w:rPr>
              <w:t>预算金额（元）</w:t>
            </w:r>
          </w:p>
        </w:tc>
        <w:tc>
          <w:tcPr>
            <w:tcW w:type="dxa" w:w="1785"/>
            <w:tcBorders>
              <w:top w:val="single" w:color="000000" w:sz="4"/>
              <w:left w:val="none" w:color="000000" w:sz="4"/>
              <w:bottom w:val="single" w:color="000000" w:sz="4"/>
              <w:right w:val="single" w:color="000000" w:sz="4"/>
            </w:tcBorders>
            <w:vAlign w:val="top"/>
          </w:tcPr>
          <w:p>
            <w:pPr>
              <w:jc w:val="center"/>
            </w:pPr>
            <w:r>
              <w:rPr>
                <w:sz w:val="22"/>
              </w:rPr>
              <w:t>投标上限（元）</w:t>
            </w:r>
          </w:p>
        </w:tc>
        <w:tc>
          <w:tcPr>
            <w:tcW w:type="dxa" w:w="1920"/>
            <w:tcBorders>
              <w:top w:val="single" w:color="000000" w:sz="4"/>
              <w:left w:val="none" w:color="000000" w:sz="4"/>
              <w:bottom w:val="single" w:color="000000" w:sz="4"/>
              <w:right w:val="single" w:color="000000" w:sz="4"/>
            </w:tcBorders>
            <w:vAlign w:val="top"/>
          </w:tcPr>
          <w:p>
            <w:pPr>
              <w:jc w:val="center"/>
            </w:pPr>
            <w:r>
              <w:rPr>
                <w:sz w:val="22"/>
              </w:rPr>
              <w:t>合同履行期限</w:t>
            </w:r>
          </w:p>
        </w:tc>
      </w:tr>
      <w:tr>
        <w:tc>
          <w:tcPr>
            <w:tcW w:type="dxa" w:w="635"/>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555"/>
            <w:tcBorders>
              <w:top w:val="none" w:color="000000" w:sz="4"/>
              <w:left w:val="none" w:color="000000" w:sz="4"/>
              <w:bottom w:val="single" w:color="000000" w:sz="4"/>
              <w:right w:val="single" w:color="000000" w:sz="4"/>
            </w:tcBorders>
            <w:vAlign w:val="top"/>
          </w:tcPr>
          <w:p>
            <w:pPr>
              <w:jc w:val="both"/>
            </w:pPr>
            <w:r>
              <w:rPr>
                <w:sz w:val="22"/>
              </w:rPr>
              <w:t>移动式C形臂X射线机</w:t>
            </w:r>
          </w:p>
        </w:tc>
        <w:tc>
          <w:tcPr>
            <w:tcW w:type="dxa" w:w="662"/>
            <w:tcBorders>
              <w:top w:val="none" w:color="000000" w:sz="4"/>
              <w:left w:val="none" w:color="000000" w:sz="4"/>
              <w:bottom w:val="single" w:color="000000" w:sz="4"/>
              <w:right w:val="single" w:color="000000" w:sz="4"/>
            </w:tcBorders>
            <w:vAlign w:val="top"/>
          </w:tcPr>
          <w:p>
            <w:pPr>
              <w:jc w:val="center"/>
            </w:pPr>
            <w:r>
              <w:rPr>
                <w:color w:val="000000"/>
                <w:sz w:val="22"/>
              </w:rPr>
              <w:t>1</w:t>
            </w:r>
            <w:r>
              <w:rPr>
                <w:color w:val="000000"/>
                <w:sz w:val="22"/>
              </w:rPr>
              <w:t>台</w:t>
            </w:r>
          </w:p>
        </w:tc>
        <w:tc>
          <w:tcPr>
            <w:tcW w:type="dxa" w:w="1745"/>
            <w:tcBorders>
              <w:top w:val="none" w:color="000000" w:sz="4"/>
              <w:left w:val="none" w:color="000000" w:sz="4"/>
              <w:bottom w:val="single" w:color="000000" w:sz="4"/>
              <w:right w:val="single" w:color="000000" w:sz="4"/>
            </w:tcBorders>
            <w:vAlign w:val="top"/>
          </w:tcPr>
          <w:p>
            <w:pPr>
              <w:jc w:val="center"/>
            </w:pPr>
            <w:r>
              <w:rPr>
                <w:sz w:val="22"/>
              </w:rPr>
              <w:t>2280000.00</w:t>
            </w:r>
          </w:p>
        </w:tc>
        <w:tc>
          <w:tcPr>
            <w:tcW w:type="dxa" w:w="1785"/>
            <w:tcBorders>
              <w:top w:val="none" w:color="000000" w:sz="4"/>
              <w:left w:val="none" w:color="000000" w:sz="4"/>
              <w:bottom w:val="single" w:color="000000" w:sz="4"/>
              <w:right w:val="single" w:color="000000" w:sz="4"/>
            </w:tcBorders>
            <w:vAlign w:val="top"/>
          </w:tcPr>
          <w:p>
            <w:pPr>
              <w:jc w:val="center"/>
            </w:pPr>
            <w:r>
              <w:rPr>
                <w:sz w:val="22"/>
              </w:rPr>
              <w:t>2280000.00</w:t>
            </w:r>
          </w:p>
        </w:tc>
        <w:tc>
          <w:tcPr>
            <w:tcW w:type="dxa" w:w="1920"/>
            <w:tcBorders>
              <w:top w:val="none" w:color="000000" w:sz="4"/>
              <w:left w:val="none" w:color="000000" w:sz="4"/>
              <w:bottom w:val="single" w:color="000000" w:sz="4"/>
              <w:right w:val="single" w:color="000000" w:sz="4"/>
            </w:tcBorders>
            <w:vAlign w:val="top"/>
          </w:tcPr>
          <w:p>
            <w:pPr>
              <w:jc w:val="left"/>
            </w:pPr>
            <w:r>
              <w:rPr>
                <w:sz w:val="22"/>
              </w:rPr>
              <w:t>签订合同后90天内完成安装调试。</w:t>
            </w:r>
          </w:p>
        </w:tc>
      </w:tr>
      <w:tr>
        <w:tc>
          <w:tcPr>
            <w:tcW w:type="dxa" w:w="635"/>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555"/>
            <w:tcBorders>
              <w:top w:val="none" w:color="000000" w:sz="4"/>
              <w:left w:val="none" w:color="000000" w:sz="4"/>
              <w:bottom w:val="single" w:color="000000" w:sz="4"/>
              <w:right w:val="single" w:color="000000" w:sz="4"/>
            </w:tcBorders>
            <w:vAlign w:val="top"/>
          </w:tcPr>
          <w:p>
            <w:pPr>
              <w:jc w:val="both"/>
            </w:pPr>
            <w:r>
              <w:rPr>
                <w:sz w:val="22"/>
              </w:rPr>
              <w:t>介入诊疗手术台</w:t>
            </w:r>
          </w:p>
        </w:tc>
        <w:tc>
          <w:tcPr>
            <w:tcW w:type="dxa" w:w="662"/>
            <w:tcBorders>
              <w:top w:val="none" w:color="000000" w:sz="4"/>
              <w:left w:val="none" w:color="000000" w:sz="4"/>
              <w:bottom w:val="single" w:color="000000" w:sz="4"/>
              <w:right w:val="single" w:color="000000" w:sz="4"/>
            </w:tcBorders>
            <w:vAlign w:val="top"/>
          </w:tcPr>
          <w:p>
            <w:pPr>
              <w:jc w:val="center"/>
            </w:pPr>
            <w:r>
              <w:rPr>
                <w:color w:val="000000"/>
                <w:sz w:val="22"/>
              </w:rPr>
              <w:t>1</w:t>
            </w:r>
            <w:r>
              <w:rPr>
                <w:color w:val="000000"/>
                <w:sz w:val="22"/>
              </w:rPr>
              <w:t>台</w:t>
            </w:r>
          </w:p>
        </w:tc>
        <w:tc>
          <w:tcPr>
            <w:tcW w:type="dxa" w:w="1745"/>
            <w:tcBorders>
              <w:top w:val="none" w:color="000000" w:sz="4"/>
              <w:left w:val="none" w:color="000000" w:sz="4"/>
              <w:bottom w:val="single" w:color="000000" w:sz="4"/>
              <w:right w:val="single" w:color="000000" w:sz="4"/>
            </w:tcBorders>
            <w:vAlign w:val="top"/>
          </w:tcPr>
          <w:p>
            <w:pPr>
              <w:jc w:val="center"/>
            </w:pPr>
            <w:r>
              <w:rPr>
                <w:sz w:val="22"/>
              </w:rPr>
              <w:t>350000.00</w:t>
            </w:r>
          </w:p>
        </w:tc>
        <w:tc>
          <w:tcPr>
            <w:tcW w:type="dxa" w:w="1785"/>
            <w:tcBorders>
              <w:top w:val="none" w:color="000000" w:sz="4"/>
              <w:left w:val="none" w:color="000000" w:sz="4"/>
              <w:bottom w:val="single" w:color="000000" w:sz="4"/>
              <w:right w:val="single" w:color="000000" w:sz="4"/>
            </w:tcBorders>
            <w:vAlign w:val="top"/>
          </w:tcPr>
          <w:p>
            <w:pPr>
              <w:jc w:val="center"/>
            </w:pPr>
            <w:r>
              <w:rPr>
                <w:sz w:val="22"/>
              </w:rPr>
              <w:t>350000.00</w:t>
            </w:r>
          </w:p>
        </w:tc>
        <w:tc>
          <w:tcPr>
            <w:tcW w:type="dxa" w:w="1920"/>
            <w:tcBorders>
              <w:top w:val="none" w:color="000000" w:sz="4"/>
              <w:left w:val="none" w:color="000000" w:sz="4"/>
              <w:bottom w:val="single" w:color="000000" w:sz="4"/>
              <w:right w:val="single" w:color="000000" w:sz="4"/>
            </w:tcBorders>
            <w:vAlign w:val="top"/>
          </w:tcPr>
          <w:p>
            <w:pPr>
              <w:jc w:val="left"/>
            </w:pPr>
            <w:r>
              <w:rPr>
                <w:sz w:val="22"/>
              </w:rPr>
              <w:t>签订合同后90天内完成安装调试。</w:t>
            </w:r>
          </w:p>
        </w:tc>
      </w:tr>
    </w:tbl>
    <w:p>
      <w:pPr>
        <w:jc w:val="both"/>
      </w:pPr>
      <w:r>
        <w:rPr>
          <w:sz w:val="22"/>
        </w:rPr>
        <w:t>7</w:t>
      </w:r>
      <w:r>
        <w:rPr>
          <w:sz w:val="22"/>
        </w:rPr>
        <w:t>.本项目属于专门面向中小微企业项目。</w:t>
      </w:r>
    </w:p>
    <w:p>
      <w:pPr>
        <w:jc w:val="both"/>
      </w:pPr>
      <w:r>
        <w:rPr>
          <w:sz w:val="22"/>
        </w:rPr>
        <w:t>8</w:t>
      </w:r>
      <w:r>
        <w:rPr>
          <w:sz w:val="22"/>
        </w:rPr>
        <w:t>.本项目</w:t>
      </w:r>
      <w:r>
        <w:rPr>
          <w:sz w:val="22"/>
        </w:rPr>
        <w:t>采购</w:t>
      </w:r>
      <w:r>
        <w:rPr>
          <w:sz w:val="22"/>
        </w:rPr>
        <w:t>本国国产产品</w:t>
      </w:r>
      <w:r>
        <w:rPr>
          <w:sz w:val="22"/>
        </w:rPr>
        <w:t>，</w:t>
      </w:r>
      <w:r>
        <w:rPr>
          <w:sz w:val="22"/>
        </w:rPr>
        <w:t>如投标人所投产品为进口产品，视为无效投标处理。</w:t>
      </w:r>
    </w:p>
    <w:p>
      <w:pPr>
        <w:jc w:val="both"/>
      </w:pPr>
      <w:r>
        <w:rPr>
          <w:sz w:val="22"/>
        </w:rPr>
        <w:t>9</w:t>
      </w:r>
      <w:r>
        <w:rPr>
          <w:sz w:val="22"/>
        </w:rPr>
        <w:t>.采购标的对应的中小企业划分标准所属行业为：工业。</w:t>
      </w:r>
    </w:p>
    <w:p>
      <w:pPr>
        <w:jc w:val="both"/>
      </w:pPr>
      <w:r>
        <w:rPr>
          <w:sz w:val="22"/>
        </w:rPr>
        <w:t>10</w:t>
      </w:r>
      <w:r>
        <w:rPr>
          <w:sz w:val="22"/>
        </w:rPr>
        <w:t>.本采购包不接受联合体投标。</w:t>
      </w:r>
    </w:p>
    <w:p>
      <w:pPr>
        <w:jc w:val="left"/>
      </w:pPr>
      <w:r>
        <w:rPr>
          <w:b/>
          <w:sz w:val="22"/>
        </w:rPr>
        <w:t>1</w:t>
      </w:r>
      <w:r>
        <w:rPr>
          <w:b/>
          <w:sz w:val="22"/>
        </w:rPr>
        <w:t>1</w:t>
      </w:r>
      <w:r>
        <w:rPr>
          <w:b/>
          <w:sz w:val="22"/>
        </w:rPr>
        <w:t>.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b/>
          <w:sz w:val="22"/>
        </w:rPr>
        <w:t>1</w:t>
      </w:r>
      <w:r>
        <w:rPr>
          <w:b/>
          <w:sz w:val="22"/>
        </w:rPr>
        <w:t>2</w:t>
      </w:r>
      <w:r>
        <w:rPr>
          <w:b/>
          <w:sz w:val="22"/>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2"/>
        </w:rPr>
        <w:t>1</w:t>
      </w:r>
      <w:r>
        <w:rPr>
          <w:b/>
          <w:sz w:val="22"/>
        </w:rPr>
        <w:t>3</w:t>
      </w:r>
      <w:r>
        <w:rPr>
          <w:b/>
          <w:sz w:val="22"/>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
      <w:pPr>
        <w:ind w:firstLine="480"/>
      </w:pPr>
    </w:p>
    <w:p/>
    <w:p>
      <w:r>
        <w:rPr/>
        <w:t>采购包1（移动式C形臂X射线机和介入诊疗手术台）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签订合同后90天内完成安装调试。</w:t>
            </w:r>
          </w:p>
        </w:tc>
      </w:tr>
      <w:tr>
        <w:tc>
          <w:tcPr>
            <w:tcW w:type="dxa" w:w="4153"/>
          </w:tcPr>
          <w:p>
            <w:r>
              <w:rPr/>
              <w:t>标的提供的地点</w:t>
            </w:r>
          </w:p>
        </w:tc>
        <w:tc>
          <w:tcPr>
            <w:tcW w:type="dxa" w:w="4153"/>
          </w:tcPr>
          <w:p/>
          <w:p>
            <w:r>
              <w:rPr/>
              <w:t>中山市人民医院指定地点。</w:t>
            </w:r>
          </w:p>
        </w:tc>
      </w:tr>
      <w:tr>
        <w:tc>
          <w:tcPr>
            <w:tcW w:type="dxa" w:w="4153"/>
          </w:tcPr>
          <w:p>
            <w:r>
              <w:rPr/>
              <w:t>付款方式</w:t>
            </w:r>
          </w:p>
        </w:tc>
        <w:tc>
          <w:tcPr>
            <w:tcW w:type="dxa" w:w="4153"/>
          </w:tcPr>
          <w:p/>
          <w:p/>
          <w:p>
            <w:r>
              <w:rPr/>
              <w:t>1期：支付比例100%,采购人验收合格收到发票后30天内支付合同货款总额的100%。</w:t>
            </w:r>
          </w:p>
        </w:tc>
      </w:tr>
      <w:tr>
        <w:tc>
          <w:tcPr>
            <w:tcW w:type="dxa" w:w="4153"/>
          </w:tcPr>
          <w:p>
            <w:r>
              <w:rPr/>
              <w:t>验收要求</w:t>
            </w:r>
          </w:p>
        </w:tc>
        <w:tc>
          <w:tcPr>
            <w:tcW w:type="dxa" w:w="4153"/>
          </w:tcPr>
          <w:p/>
          <w:p/>
          <w:p/>
          <w:p>
            <w:r>
              <w:rPr/>
              <w:t>1期：合同设备安装调试完成并移交所有资料文档后15个工作日内验收，验收应在双方共同参加下进行，验收标准按照国家有关标准。</w:t>
            </w:r>
          </w:p>
        </w:tc>
      </w:tr>
      <w:tr>
        <w:tc>
          <w:tcPr>
            <w:tcW w:type="dxa" w:w="4153"/>
          </w:tcPr>
          <w:p>
            <w:r>
              <w:rPr/>
              <w:t>履约保证金</w:t>
            </w:r>
          </w:p>
        </w:tc>
        <w:tc>
          <w:tcPr>
            <w:tcW w:type="dxa" w:w="4153"/>
          </w:tcPr>
          <w:p/>
          <w:p/>
          <w:p/>
          <w:p/>
          <w:p>
            <w:r>
              <w:rPr/>
              <w:t>收取比例：5%,说明：★采购人在支付货款前需收到中标人合同总额5%的履约保证金或银行保函；履约服务期满，经考核合格，履约保证金不计利息一次性返还。</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投标报价应包括硬件、软件对接服务费、技术培训费、安装调试费等杂费，含全额发票及合同实施过程中的应预见或不可预见费用等完成合同规定责任和义务、达到合同目的的一切费用及企业利润；  1.2.涉及专机专用耗材、试剂、易损件等需填列报价，且承诺至少在履约服务期内按此价格执行。</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★2.1.所有设备安装调试验收合格之日起，保修期不少于3年； 2.2.保修期内免费维修。设备发生故障时，中标人在接到采购人的故障通知后1小时内响应，12小时内到达现场，48小时内处理完毕。若在48小时内仍未能有效解决，中标人须免费提供相同规格、标准的备用设备予采购人临时使用；  2.3.保修期内厂家每年免费回访设备至少2次。</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3.2.中标人须在广东省设有售后服务点并提供维修的详细地址及工程师联系方式，负责设备的安装调试，（或提供承诺函承诺中标后满足，格式自拟）；  3.3.有操作、维护、维修培训计划，必须由原厂工程师及技术人员直接提供保修、维修、免费技术培训服务；  3.4.中标人需要帮助采购人培训两名以上工程师至熟练设备操作，并取得相应的培训证书，所涉及到的培训费和差旅费由中标人承担。</w:t>
            </w:r>
          </w:p>
        </w:tc>
      </w:tr>
      <w:tr>
        <w:tc>
          <w:tcPr>
            <w:tcW w:type="dxa" w:w="2076"/>
          </w:tcPr>
          <w:p>
            <w:pPr>
              <w:jc w:val="center"/>
            </w:pPr>
            <w:r>
              <w:rPr/>
              <w:t>★</w:t>
            </w:r>
          </w:p>
        </w:tc>
        <w:tc>
          <w:tcPr>
            <w:tcW w:type="dxa" w:w="2076"/>
          </w:tcPr>
          <w:p>
            <w:pPr>
              <w:jc w:val="center"/>
            </w:pPr>
            <w:r>
              <w:rPr/>
              <w:t>4</w:t>
            </w:r>
          </w:p>
        </w:tc>
        <w:tc>
          <w:tcPr>
            <w:tcW w:type="dxa" w:w="2076"/>
          </w:tcPr>
          <w:p>
            <w:pPr>
              <w:jc w:val="left"/>
            </w:pPr>
            <w:r>
              <w:rPr/>
              <w:t>其他</w:t>
            </w:r>
          </w:p>
        </w:tc>
        <w:tc>
          <w:tcPr>
            <w:tcW w:type="dxa" w:w="2076"/>
          </w:tcPr>
          <w:p>
            <w:pPr>
              <w:jc w:val="left"/>
            </w:pPr>
            <w:r>
              <w:rPr/>
              <w:t>保证提供的是全新产品；合同必须注明该产品（或主机）产地。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 X 线诊断设备</w:t>
            </w:r>
          </w:p>
        </w:tc>
        <w:tc>
          <w:tcPr>
            <w:tcW w:type="dxa" w:w="831"/>
          </w:tcPr>
          <w:p>
            <w:pPr>
              <w:jc w:val="left"/>
            </w:pPr>
            <w:r>
              <w:rPr/>
              <w:t>移动式C形臂X射线机</w:t>
            </w:r>
          </w:p>
        </w:tc>
        <w:tc>
          <w:tcPr>
            <w:tcW w:type="dxa" w:w="831"/>
          </w:tcPr>
          <w:p>
            <w:pPr>
              <w:jc w:val="left"/>
            </w:pPr>
            <w:r>
              <w:rPr/>
              <w:t>套</w:t>
            </w:r>
          </w:p>
        </w:tc>
        <w:tc>
          <w:tcPr>
            <w:tcW w:type="dxa" w:w="831"/>
          </w:tcPr>
          <w:p>
            <w:pPr>
              <w:jc w:val="right"/>
            </w:pPr>
            <w:r>
              <w:rPr/>
              <w:t>1.00</w:t>
            </w:r>
          </w:p>
        </w:tc>
        <w:tc>
          <w:tcPr>
            <w:tcW w:type="dxa" w:w="831"/>
          </w:tcPr>
          <w:p>
            <w:pPr>
              <w:jc w:val="right"/>
            </w:pPr>
            <w:r>
              <w:rPr/>
              <w:t>2,280,000.00</w:t>
            </w:r>
          </w:p>
        </w:tc>
        <w:tc>
          <w:tcPr>
            <w:tcW w:type="dxa" w:w="831"/>
          </w:tcPr>
          <w:p>
            <w:pPr>
              <w:jc w:val="right"/>
            </w:pPr>
            <w:r>
              <w:rPr/>
              <w:t>2,280,000.00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手术室设备及附件</w:t>
            </w:r>
          </w:p>
        </w:tc>
        <w:tc>
          <w:tcPr>
            <w:tcW w:type="dxa" w:w="831"/>
          </w:tcPr>
          <w:p>
            <w:pPr>
              <w:jc w:val="left"/>
            </w:pPr>
            <w:r>
              <w:rPr/>
              <w:t>介入诊疗手术台</w:t>
            </w:r>
          </w:p>
        </w:tc>
        <w:tc>
          <w:tcPr>
            <w:tcW w:type="dxa" w:w="831"/>
          </w:tcPr>
          <w:p>
            <w:pPr>
              <w:jc w:val="left"/>
            </w:pPr>
            <w:r>
              <w:rPr/>
              <w:t>套</w:t>
            </w:r>
          </w:p>
        </w:tc>
        <w:tc>
          <w:tcPr>
            <w:tcW w:type="dxa" w:w="831"/>
          </w:tcPr>
          <w:p>
            <w:pPr>
              <w:jc w:val="right"/>
            </w:pPr>
            <w:r>
              <w:rPr/>
              <w:t>1.00</w:t>
            </w:r>
          </w:p>
        </w:tc>
        <w:tc>
          <w:tcPr>
            <w:tcW w:type="dxa" w:w="831"/>
          </w:tcPr>
          <w:p>
            <w:pPr>
              <w:jc w:val="right"/>
            </w:pPr>
            <w:r>
              <w:rPr/>
              <w:t>350,000.00</w:t>
            </w:r>
          </w:p>
        </w:tc>
        <w:tc>
          <w:tcPr>
            <w:tcW w:type="dxa" w:w="831"/>
          </w:tcPr>
          <w:p>
            <w:pPr>
              <w:jc w:val="right"/>
            </w:pPr>
            <w:r>
              <w:rPr/>
              <w:t>350,000.00</w:t>
            </w:r>
          </w:p>
        </w:tc>
        <w:tc>
          <w:tcPr>
            <w:tcW w:type="dxa" w:w="831"/>
          </w:tcPr>
          <w:p>
            <w:r>
              <w:rPr/>
              <w:t>工业</w:t>
            </w:r>
          </w:p>
        </w:tc>
        <w:tc>
          <w:tcPr>
            <w:tcW w:type="dxa" w:w="831"/>
          </w:tcPr>
          <w:p>
            <w:r>
              <w:rPr/>
              <w:t>详见附表二</w:t>
            </w:r>
          </w:p>
        </w:tc>
      </w:tr>
    </w:tbl>
    <w:p/>
    <w:p>
      <w:r>
        <w:rPr>
          <w:b/>
        </w:rPr>
        <w:t>附表</w:t>
      </w:r>
      <w:r>
        <w:rPr>
          <w:b/>
        </w:rPr>
        <w:t>一</w:t>
      </w:r>
      <w:r>
        <w:rPr>
          <w:b/>
        </w:rPr>
        <w:t>：</w:t>
      </w:r>
      <w:r>
        <w:rPr>
          <w:b/>
        </w:rPr>
        <w:t>移动式C形臂X射线机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b/>
                <w:sz w:val="22"/>
              </w:rPr>
              <w:t>1.</w:t>
            </w:r>
            <w:r>
              <w:rPr>
                <w:b/>
                <w:sz w:val="22"/>
              </w:rPr>
              <w:t>总体要求</w:t>
            </w:r>
          </w:p>
          <w:p>
            <w:pPr>
              <w:jc w:val="both"/>
            </w:pPr>
            <w:r>
              <w:rPr>
                <w:sz w:val="22"/>
              </w:rPr>
              <w:t>1.1.要求</w:t>
            </w:r>
            <w:r>
              <w:rPr>
                <w:sz w:val="22"/>
              </w:rPr>
              <w:t>机型为主流产品最新机型，全能型高端平板</w:t>
            </w:r>
            <w:r>
              <w:rPr>
                <w:sz w:val="22"/>
              </w:rPr>
              <w:t>C臂</w:t>
            </w:r>
            <w:r>
              <w:rPr>
                <w:sz w:val="22"/>
              </w:rPr>
              <w:t>。</w:t>
            </w:r>
          </w:p>
          <w:p>
            <w:pPr>
              <w:jc w:val="both"/>
            </w:pPr>
            <w:r>
              <w:rPr>
                <w:b/>
                <w:sz w:val="22"/>
              </w:rPr>
              <w:t>2.</w:t>
            </w:r>
            <w:r>
              <w:rPr>
                <w:b/>
                <w:sz w:val="22"/>
              </w:rPr>
              <w:t>设备工作条件</w:t>
            </w:r>
          </w:p>
          <w:p>
            <w:pPr>
              <w:jc w:val="both"/>
            </w:pPr>
            <w:r>
              <w:rPr>
                <w:sz w:val="22"/>
              </w:rPr>
              <w:t>2.1</w:t>
            </w:r>
            <w:r>
              <w:rPr>
                <w:sz w:val="22"/>
              </w:rPr>
              <w:t>.</w:t>
            </w:r>
            <w:r>
              <w:rPr>
                <w:sz w:val="22"/>
              </w:rPr>
              <w:t>电源要求：</w:t>
            </w:r>
            <w:r>
              <w:rPr>
                <w:sz w:val="22"/>
              </w:rPr>
              <w:t>220</w:t>
            </w:r>
            <w:r>
              <w:rPr>
                <w:sz w:val="22"/>
              </w:rPr>
              <w:t>V</w:t>
            </w:r>
            <w:r>
              <w:rPr>
                <w:sz w:val="22"/>
              </w:rPr>
              <w:t>。</w:t>
            </w:r>
            <w:r>
              <w:rPr>
                <w:sz w:val="21"/>
              </w:rPr>
              <w:t xml:space="preserve">   </w:t>
            </w:r>
          </w:p>
          <w:p>
            <w:pPr>
              <w:jc w:val="both"/>
            </w:pPr>
            <w:r>
              <w:rPr>
                <w:sz w:val="22"/>
              </w:rPr>
              <w:t>2.2.</w:t>
            </w:r>
            <w:r>
              <w:rPr>
                <w:sz w:val="22"/>
              </w:rPr>
              <w:t>无需额外选配加装水冷设备</w:t>
            </w:r>
            <w:r>
              <w:rPr>
                <w:sz w:val="22"/>
              </w:rPr>
              <w:t>。</w:t>
            </w:r>
          </w:p>
          <w:p>
            <w:pPr>
              <w:jc w:val="both"/>
            </w:pPr>
            <w:r>
              <w:rPr>
                <w:b/>
                <w:sz w:val="22"/>
              </w:rPr>
              <w:t>3.</w:t>
            </w:r>
            <w:r>
              <w:rPr>
                <w:b/>
                <w:sz w:val="22"/>
              </w:rPr>
              <w:t>平板探测器</w:t>
            </w:r>
          </w:p>
          <w:p>
            <w:pPr>
              <w:jc w:val="both"/>
            </w:pPr>
            <w:r>
              <w:rPr>
                <w:sz w:val="22"/>
              </w:rPr>
              <w:t>3.1</w:t>
            </w:r>
            <w:r>
              <w:rPr>
                <w:sz w:val="22"/>
              </w:rPr>
              <w:t>.</w:t>
            </w:r>
            <w:r>
              <w:rPr>
                <w:color w:val="000000"/>
                <w:sz w:val="22"/>
              </w:rPr>
              <w:t>CMOS平板探测器</w:t>
            </w:r>
          </w:p>
          <w:p>
            <w:pPr>
              <w:jc w:val="both"/>
            </w:pPr>
            <w:r>
              <w:rPr>
                <w:sz w:val="22"/>
              </w:rPr>
              <w:t>3.1</w:t>
            </w:r>
            <w:r>
              <w:rPr>
                <w:sz w:val="22"/>
              </w:rPr>
              <w:t>.</w:t>
            </w:r>
            <w:r>
              <w:rPr>
                <w:sz w:val="22"/>
              </w:rPr>
              <w:t>1</w:t>
            </w:r>
            <w:r>
              <w:rPr>
                <w:sz w:val="22"/>
              </w:rPr>
              <w:t>.</w:t>
            </w:r>
            <w:r>
              <w:rPr>
                <w:color w:val="000000"/>
                <w:sz w:val="22"/>
              </w:rPr>
              <w:t>具备</w:t>
            </w:r>
            <w:r>
              <w:rPr>
                <w:color w:val="000000"/>
                <w:sz w:val="22"/>
              </w:rPr>
              <w:t>CMOS晶体硅材质平板探测器</w:t>
            </w:r>
            <w:r>
              <w:rPr>
                <w:color w:val="000000"/>
                <w:sz w:val="22"/>
              </w:rPr>
              <w:t>。</w:t>
            </w:r>
          </w:p>
          <w:p>
            <w:pPr>
              <w:jc w:val="both"/>
            </w:pPr>
            <w:r>
              <w:rPr>
                <w:sz w:val="22"/>
              </w:rPr>
              <w:t>3.1.2</w:t>
            </w:r>
            <w:r>
              <w:rPr>
                <w:sz w:val="22"/>
              </w:rPr>
              <w:t>.</w:t>
            </w:r>
            <w:r>
              <w:rPr>
                <w:color w:val="000000"/>
                <w:sz w:val="22"/>
              </w:rPr>
              <w:t>测器尺寸</w:t>
            </w:r>
            <w:r>
              <w:rPr>
                <w:color w:val="000000"/>
                <w:sz w:val="22"/>
              </w:rPr>
              <w:t>≥31x31cm</w:t>
            </w:r>
            <w:r>
              <w:rPr>
                <w:color w:val="000000"/>
                <w:sz w:val="22"/>
              </w:rPr>
              <w:t>。</w:t>
            </w:r>
          </w:p>
          <w:p>
            <w:pPr>
              <w:jc w:val="both"/>
            </w:pPr>
            <w:r>
              <w:rPr>
                <w:sz w:val="22"/>
              </w:rPr>
              <w:t>3.1.3</w:t>
            </w:r>
            <w:r>
              <w:rPr>
                <w:sz w:val="22"/>
              </w:rPr>
              <w:t>.</w:t>
            </w:r>
            <w:r>
              <w:rPr>
                <w:color w:val="000000"/>
                <w:sz w:val="22"/>
              </w:rPr>
              <w:t>图像采集最大像素矩阵</w:t>
            </w:r>
            <w:r>
              <w:rPr>
                <w:color w:val="000000"/>
                <w:sz w:val="22"/>
              </w:rPr>
              <w:t>≥1.5Kx1.5K</w:t>
            </w:r>
            <w:r>
              <w:rPr>
                <w:color w:val="000000"/>
                <w:sz w:val="22"/>
              </w:rPr>
              <w:t>。</w:t>
            </w:r>
          </w:p>
          <w:p>
            <w:pPr>
              <w:jc w:val="both"/>
            </w:pPr>
            <w:r>
              <w:rPr>
                <w:sz w:val="22"/>
              </w:rPr>
              <w:t>3.1.4</w:t>
            </w:r>
            <w:r>
              <w:rPr>
                <w:sz w:val="22"/>
              </w:rPr>
              <w:t>.</w:t>
            </w:r>
            <w:r>
              <w:rPr>
                <w:color w:val="000000"/>
                <w:sz w:val="22"/>
              </w:rPr>
              <w:t>图像采集灰阶</w:t>
            </w:r>
            <w:r>
              <w:rPr>
                <w:color w:val="000000"/>
                <w:sz w:val="22"/>
              </w:rPr>
              <w:t>≥16 bit</w:t>
            </w:r>
            <w:r>
              <w:rPr>
                <w:color w:val="000000"/>
                <w:sz w:val="22"/>
              </w:rPr>
              <w:t>。</w:t>
            </w:r>
          </w:p>
          <w:p>
            <w:pPr>
              <w:jc w:val="both"/>
            </w:pPr>
            <w:r>
              <w:rPr>
                <w:sz w:val="22"/>
              </w:rPr>
              <w:t>3.1.5</w:t>
            </w:r>
            <w:r>
              <w:rPr>
                <w:sz w:val="22"/>
              </w:rPr>
              <w:t>.</w:t>
            </w:r>
            <w:r>
              <w:rPr>
                <w:color w:val="000000"/>
                <w:sz w:val="22"/>
              </w:rPr>
              <w:t>具备可变三视野：</w:t>
            </w:r>
            <w:r>
              <w:rPr>
                <w:color w:val="000000"/>
                <w:sz w:val="22"/>
              </w:rPr>
              <w:t>31</w:t>
            </w:r>
            <w:r>
              <w:rPr>
                <w:color w:val="000000"/>
                <w:sz w:val="22"/>
              </w:rPr>
              <w:t>、</w:t>
            </w:r>
            <w:r>
              <w:rPr>
                <w:color w:val="000000"/>
                <w:sz w:val="22"/>
              </w:rPr>
              <w:t>21</w:t>
            </w:r>
            <w:r>
              <w:rPr>
                <w:color w:val="000000"/>
                <w:sz w:val="22"/>
              </w:rPr>
              <w:t>、</w:t>
            </w:r>
            <w:r>
              <w:rPr>
                <w:color w:val="000000"/>
                <w:sz w:val="22"/>
              </w:rPr>
              <w:t>15cm</w:t>
            </w:r>
            <w:r>
              <w:rPr>
                <w:color w:val="000000"/>
                <w:sz w:val="22"/>
              </w:rPr>
              <w:t>。</w:t>
            </w:r>
          </w:p>
          <w:p>
            <w:pPr>
              <w:jc w:val="both"/>
            </w:pPr>
            <w:r>
              <w:rPr>
                <w:sz w:val="22"/>
              </w:rPr>
              <w:t>3.1.6</w:t>
            </w:r>
            <w:r>
              <w:rPr>
                <w:sz w:val="22"/>
              </w:rPr>
              <w:t>.</w:t>
            </w:r>
            <w:r>
              <w:rPr>
                <w:color w:val="000000"/>
                <w:sz w:val="22"/>
              </w:rPr>
              <w:t>支持</w:t>
            </w:r>
            <w:r>
              <w:rPr>
                <w:sz w:val="22"/>
              </w:rPr>
              <w:t>任意模式下无像素合并</w:t>
            </w:r>
            <w:r>
              <w:rPr>
                <w:sz w:val="22"/>
              </w:rPr>
              <w:t>。</w:t>
            </w:r>
          </w:p>
          <w:p>
            <w:pPr>
              <w:jc w:val="both"/>
            </w:pPr>
            <w:r>
              <w:rPr>
                <w:sz w:val="22"/>
              </w:rPr>
              <w:t>3.2</w:t>
            </w:r>
            <w:r>
              <w:rPr>
                <w:sz w:val="22"/>
              </w:rPr>
              <w:t>.</w:t>
            </w:r>
            <w:r>
              <w:rPr>
                <w:color w:val="000000"/>
                <w:sz w:val="22"/>
              </w:rPr>
              <w:t>C形臂</w:t>
            </w:r>
          </w:p>
          <w:p>
            <w:pPr>
              <w:jc w:val="both"/>
            </w:pPr>
            <w:r>
              <w:rPr>
                <w:sz w:val="22"/>
              </w:rPr>
              <w:t>3.2</w:t>
            </w:r>
            <w:r>
              <w:rPr>
                <w:sz w:val="22"/>
              </w:rPr>
              <w:t>.</w:t>
            </w:r>
            <w:r>
              <w:rPr>
                <w:sz w:val="22"/>
              </w:rPr>
              <w:t>1</w:t>
            </w:r>
            <w:r>
              <w:rPr>
                <w:sz w:val="22"/>
              </w:rPr>
              <w:t>.</w:t>
            </w:r>
            <w:r>
              <w:rPr>
                <w:color w:val="000000"/>
                <w:sz w:val="22"/>
              </w:rPr>
              <w:t>SID</w:t>
            </w:r>
            <w:r>
              <w:rPr>
                <w:sz w:val="22"/>
              </w:rPr>
              <w:t>≥100cm</w:t>
            </w:r>
            <w:r>
              <w:rPr>
                <w:sz w:val="22"/>
              </w:rPr>
              <w:t>。</w:t>
            </w:r>
          </w:p>
          <w:p>
            <w:pPr>
              <w:jc w:val="both"/>
            </w:pPr>
            <w:r>
              <w:rPr>
                <w:sz w:val="22"/>
              </w:rPr>
              <w:t>3.2</w:t>
            </w:r>
            <w:r>
              <w:rPr>
                <w:sz w:val="22"/>
              </w:rPr>
              <w:t>.</w:t>
            </w:r>
            <w:r>
              <w:rPr>
                <w:sz w:val="22"/>
              </w:rPr>
              <w:t>2</w:t>
            </w:r>
            <w:r>
              <w:rPr>
                <w:sz w:val="22"/>
              </w:rPr>
              <w:t>.</w:t>
            </w:r>
            <w:r>
              <w:rPr>
                <w:color w:val="000000"/>
                <w:sz w:val="22"/>
              </w:rPr>
              <w:t>C臂水平轴旋转角度≥360°</w:t>
            </w:r>
            <w:r>
              <w:rPr>
                <w:color w:val="000000"/>
                <w:sz w:val="22"/>
              </w:rPr>
              <w:t>。</w:t>
            </w:r>
          </w:p>
          <w:p>
            <w:pPr>
              <w:jc w:val="both"/>
            </w:pPr>
            <w:r>
              <w:rPr>
                <w:sz w:val="22"/>
              </w:rPr>
              <w:t>3.2</w:t>
            </w:r>
            <w:r>
              <w:rPr>
                <w:sz w:val="22"/>
              </w:rPr>
              <w:t>.</w:t>
            </w:r>
            <w:r>
              <w:rPr>
                <w:sz w:val="22"/>
              </w:rPr>
              <w:t>3</w:t>
            </w:r>
            <w:r>
              <w:rPr>
                <w:sz w:val="22"/>
              </w:rPr>
              <w:t>.</w:t>
            </w:r>
            <w:r>
              <w:rPr>
                <w:sz w:val="22"/>
              </w:rPr>
              <w:t>C臂垂直移动≥46cm</w:t>
            </w:r>
            <w:r>
              <w:rPr>
                <w:sz w:val="22"/>
              </w:rPr>
              <w:t>。</w:t>
            </w:r>
          </w:p>
          <w:p>
            <w:pPr>
              <w:jc w:val="both"/>
            </w:pPr>
            <w:r>
              <w:rPr>
                <w:sz w:val="22"/>
              </w:rPr>
              <w:t>3.2</w:t>
            </w:r>
            <w:r>
              <w:rPr>
                <w:sz w:val="22"/>
              </w:rPr>
              <w:t>.</w:t>
            </w:r>
            <w:r>
              <w:rPr>
                <w:sz w:val="22"/>
              </w:rPr>
              <w:t>4</w:t>
            </w:r>
            <w:r>
              <w:rPr>
                <w:sz w:val="22"/>
              </w:rPr>
              <w:t>.</w:t>
            </w:r>
            <w:r>
              <w:rPr>
                <w:sz w:val="22"/>
              </w:rPr>
              <w:t>C臂水平移动≥20cm</w:t>
            </w:r>
            <w:r>
              <w:rPr>
                <w:sz w:val="22"/>
              </w:rPr>
              <w:t>。</w:t>
            </w:r>
          </w:p>
          <w:p>
            <w:pPr>
              <w:jc w:val="both"/>
            </w:pPr>
            <w:r>
              <w:rPr>
                <w:sz w:val="22"/>
              </w:rPr>
              <w:t>▲3.2</w:t>
            </w:r>
            <w:r>
              <w:rPr>
                <w:sz w:val="22"/>
              </w:rPr>
              <w:t>.</w:t>
            </w:r>
            <w:r>
              <w:rPr>
                <w:sz w:val="22"/>
              </w:rPr>
              <w:t>5</w:t>
            </w:r>
            <w:r>
              <w:rPr>
                <w:sz w:val="22"/>
              </w:rPr>
              <w:t>.</w:t>
            </w:r>
            <w:r>
              <w:rPr>
                <w:color w:val="000000"/>
                <w:sz w:val="22"/>
              </w:rPr>
              <w:t>最低侧位投照高度</w:t>
            </w:r>
            <w:r>
              <w:rPr>
                <w:color w:val="000000"/>
                <w:sz w:val="22"/>
              </w:rPr>
              <w:t>≤101cm</w:t>
            </w:r>
            <w:r>
              <w:rPr>
                <w:color w:val="000000"/>
                <w:sz w:val="22"/>
              </w:rPr>
              <w:t>。</w:t>
            </w:r>
          </w:p>
          <w:p>
            <w:pPr>
              <w:jc w:val="both"/>
            </w:pPr>
            <w:r>
              <w:rPr>
                <w:sz w:val="22"/>
              </w:rPr>
              <w:t>▲3.2</w:t>
            </w:r>
            <w:r>
              <w:rPr>
                <w:sz w:val="22"/>
              </w:rPr>
              <w:t>.</w:t>
            </w:r>
            <w:r>
              <w:rPr>
                <w:sz w:val="22"/>
              </w:rPr>
              <w:t>6</w:t>
            </w:r>
            <w:r>
              <w:rPr>
                <w:sz w:val="22"/>
              </w:rPr>
              <w:t>.</w:t>
            </w:r>
            <w:r>
              <w:rPr>
                <w:sz w:val="22"/>
              </w:rPr>
              <w:t>L臂上下翻转角度</w:t>
            </w:r>
            <w:r>
              <w:rPr>
                <w:color w:val="000000"/>
                <w:sz w:val="22"/>
              </w:rPr>
              <w:t>≥360°</w:t>
            </w:r>
            <w:r>
              <w:rPr>
                <w:color w:val="000000"/>
                <w:sz w:val="22"/>
              </w:rPr>
              <w:t>。</w:t>
            </w:r>
          </w:p>
          <w:p>
            <w:pPr>
              <w:jc w:val="both"/>
            </w:pPr>
            <w:r>
              <w:rPr>
                <w:sz w:val="22"/>
              </w:rPr>
              <w:t>▲3.2</w:t>
            </w:r>
            <w:r>
              <w:rPr>
                <w:sz w:val="22"/>
              </w:rPr>
              <w:t>.</w:t>
            </w:r>
            <w:r>
              <w:rPr>
                <w:sz w:val="22"/>
              </w:rPr>
              <w:t>7</w:t>
            </w:r>
            <w:r>
              <w:rPr>
                <w:sz w:val="22"/>
              </w:rPr>
              <w:t>.</w:t>
            </w:r>
            <w:r>
              <w:rPr>
                <w:sz w:val="22"/>
              </w:rPr>
              <w:t>L臂轨道内最大旋转角度</w:t>
            </w:r>
            <w:r>
              <w:rPr>
                <w:color w:val="000000"/>
                <w:sz w:val="22"/>
              </w:rPr>
              <w:t>≥185°</w:t>
            </w:r>
            <w:r>
              <w:rPr>
                <w:color w:val="000000"/>
                <w:sz w:val="22"/>
              </w:rPr>
              <w:t>。</w:t>
            </w:r>
          </w:p>
          <w:p>
            <w:pPr>
              <w:jc w:val="both"/>
            </w:pPr>
            <w:r>
              <w:rPr>
                <w:sz w:val="22"/>
              </w:rPr>
              <w:t>3.2</w:t>
            </w:r>
            <w:r>
              <w:rPr>
                <w:sz w:val="22"/>
              </w:rPr>
              <w:t>.</w:t>
            </w:r>
            <w:r>
              <w:rPr>
                <w:sz w:val="22"/>
              </w:rPr>
              <w:t>8</w:t>
            </w:r>
            <w:r>
              <w:rPr>
                <w:sz w:val="22"/>
              </w:rPr>
              <w:t>.</w:t>
            </w:r>
            <w:r>
              <w:rPr>
                <w:sz w:val="22"/>
              </w:rPr>
              <w:t>开口</w:t>
            </w:r>
            <w:r>
              <w:rPr>
                <w:color w:val="000000"/>
                <w:sz w:val="22"/>
              </w:rPr>
              <w:t>≥79cm</w:t>
            </w:r>
            <w:r>
              <w:rPr>
                <w:color w:val="000000"/>
                <w:sz w:val="22"/>
              </w:rPr>
              <w:t>。</w:t>
            </w:r>
          </w:p>
          <w:p>
            <w:pPr>
              <w:jc w:val="both"/>
            </w:pPr>
            <w:r>
              <w:rPr>
                <w:sz w:val="22"/>
              </w:rPr>
              <w:t>3.2</w:t>
            </w:r>
            <w:r>
              <w:rPr>
                <w:sz w:val="22"/>
              </w:rPr>
              <w:t>.</w:t>
            </w:r>
            <w:r>
              <w:rPr>
                <w:sz w:val="22"/>
              </w:rPr>
              <w:t>9弧深≥67</w:t>
            </w:r>
            <w:r>
              <w:rPr>
                <w:sz w:val="22"/>
              </w:rPr>
              <w:t>cm</w:t>
            </w:r>
            <w:r>
              <w:rPr>
                <w:sz w:val="22"/>
              </w:rPr>
              <w:t>。</w:t>
            </w:r>
          </w:p>
          <w:p>
            <w:pPr>
              <w:jc w:val="both"/>
            </w:pPr>
            <w:r>
              <w:rPr>
                <w:sz w:val="22"/>
              </w:rPr>
              <w:t>▲3.2</w:t>
            </w:r>
            <w:r>
              <w:rPr>
                <w:sz w:val="22"/>
              </w:rPr>
              <w:t>.</w:t>
            </w:r>
            <w:r>
              <w:rPr>
                <w:sz w:val="22"/>
              </w:rPr>
              <w:t>10</w:t>
            </w:r>
            <w:r>
              <w:rPr>
                <w:sz w:val="22"/>
              </w:rPr>
              <w:t>.</w:t>
            </w:r>
            <w:r>
              <w:rPr>
                <w:sz w:val="22"/>
              </w:rPr>
              <w:t>具备双轴联动</w:t>
            </w:r>
            <w:r>
              <w:rPr>
                <w:sz w:val="22"/>
              </w:rPr>
              <w:t>L臂设计,可多向调节旋转角度，可满足手术对图像采集角度的特殊需求</w:t>
            </w:r>
            <w:r>
              <w:rPr>
                <w:sz w:val="22"/>
              </w:rPr>
              <w:t>。</w:t>
            </w:r>
          </w:p>
          <w:p>
            <w:pPr>
              <w:jc w:val="both"/>
            </w:pPr>
            <w:r>
              <w:rPr>
                <w:b/>
                <w:sz w:val="22"/>
              </w:rPr>
              <w:t>3.3</w:t>
            </w:r>
            <w:r>
              <w:rPr>
                <w:b/>
                <w:color w:val="000000"/>
                <w:sz w:val="22"/>
              </w:rPr>
              <w:t>高压发生器</w:t>
            </w:r>
          </w:p>
          <w:p>
            <w:pPr>
              <w:jc w:val="both"/>
            </w:pPr>
            <w:r>
              <w:rPr>
                <w:sz w:val="22"/>
              </w:rPr>
              <w:t>3.3</w:t>
            </w:r>
            <w:r>
              <w:rPr>
                <w:sz w:val="22"/>
              </w:rPr>
              <w:t>.</w:t>
            </w:r>
            <w:r>
              <w:rPr>
                <w:sz w:val="22"/>
              </w:rPr>
              <w:t>1</w:t>
            </w:r>
            <w:r>
              <w:rPr>
                <w:sz w:val="22"/>
              </w:rPr>
              <w:t>.</w:t>
            </w:r>
            <w:r>
              <w:rPr>
                <w:color w:val="000000"/>
                <w:sz w:val="22"/>
              </w:rPr>
              <w:t>最大输出功率</w:t>
            </w:r>
            <w:r>
              <w:rPr>
                <w:color w:val="000000"/>
                <w:sz w:val="22"/>
              </w:rPr>
              <w:t>≥15kW</w:t>
            </w:r>
            <w:r>
              <w:rPr>
                <w:color w:val="000000"/>
                <w:sz w:val="22"/>
              </w:rPr>
              <w:t>。</w:t>
            </w:r>
          </w:p>
          <w:p>
            <w:pPr>
              <w:jc w:val="both"/>
            </w:pPr>
            <w:r>
              <w:rPr>
                <w:sz w:val="22"/>
              </w:rPr>
              <w:t>3.3</w:t>
            </w:r>
            <w:r>
              <w:rPr>
                <w:sz w:val="22"/>
              </w:rPr>
              <w:t>.</w:t>
            </w:r>
            <w:r>
              <w:rPr>
                <w:sz w:val="22"/>
              </w:rPr>
              <w:t>2</w:t>
            </w:r>
            <w:r>
              <w:rPr>
                <w:sz w:val="22"/>
              </w:rPr>
              <w:t>.</w:t>
            </w:r>
            <w:r>
              <w:rPr>
                <w:color w:val="000000"/>
                <w:sz w:val="22"/>
              </w:rPr>
              <w:t>发生器频率</w:t>
            </w:r>
            <w:r>
              <w:rPr>
                <w:color w:val="000000"/>
                <w:sz w:val="22"/>
              </w:rPr>
              <w:t>≥60kHz</w:t>
            </w:r>
            <w:r>
              <w:rPr>
                <w:color w:val="000000"/>
                <w:sz w:val="22"/>
              </w:rPr>
              <w:t>。</w:t>
            </w:r>
          </w:p>
          <w:p>
            <w:pPr>
              <w:jc w:val="both"/>
            </w:pPr>
            <w:r>
              <w:rPr>
                <w:sz w:val="22"/>
              </w:rPr>
              <w:t>3.3</w:t>
            </w:r>
            <w:r>
              <w:rPr>
                <w:sz w:val="22"/>
              </w:rPr>
              <w:t>.</w:t>
            </w:r>
            <w:r>
              <w:rPr>
                <w:sz w:val="22"/>
              </w:rPr>
              <w:t>3</w:t>
            </w:r>
            <w:r>
              <w:rPr>
                <w:sz w:val="22"/>
              </w:rPr>
              <w:t>.</w:t>
            </w:r>
            <w:r>
              <w:rPr>
                <w:color w:val="000000"/>
                <w:sz w:val="22"/>
              </w:rPr>
              <w:t>数字点片</w:t>
            </w:r>
            <w:r>
              <w:rPr>
                <w:color w:val="000000"/>
                <w:sz w:val="22"/>
              </w:rPr>
              <w:t>kV最小值≤40kV</w:t>
            </w:r>
            <w:r>
              <w:rPr>
                <w:color w:val="000000"/>
                <w:sz w:val="22"/>
              </w:rPr>
              <w:t>。</w:t>
            </w:r>
          </w:p>
          <w:p>
            <w:pPr>
              <w:jc w:val="both"/>
            </w:pPr>
            <w:r>
              <w:rPr>
                <w:sz w:val="22"/>
              </w:rPr>
              <w:t>3.3</w:t>
            </w:r>
            <w:r>
              <w:rPr>
                <w:sz w:val="22"/>
              </w:rPr>
              <w:t>.</w:t>
            </w:r>
            <w:r>
              <w:rPr>
                <w:sz w:val="22"/>
              </w:rPr>
              <w:t>4</w:t>
            </w:r>
            <w:r>
              <w:rPr>
                <w:sz w:val="22"/>
              </w:rPr>
              <w:t>.</w:t>
            </w:r>
            <w:r>
              <w:rPr>
                <w:color w:val="000000"/>
                <w:sz w:val="22"/>
              </w:rPr>
              <w:t>数字点片</w:t>
            </w:r>
            <w:r>
              <w:rPr>
                <w:color w:val="000000"/>
                <w:sz w:val="22"/>
              </w:rPr>
              <w:t>kV最大值≥120kV</w:t>
            </w:r>
            <w:r>
              <w:rPr>
                <w:color w:val="000000"/>
                <w:sz w:val="22"/>
              </w:rPr>
              <w:t>。</w:t>
            </w:r>
          </w:p>
          <w:p>
            <w:pPr>
              <w:jc w:val="both"/>
            </w:pPr>
            <w:r>
              <w:rPr>
                <w:sz w:val="22"/>
              </w:rPr>
              <w:t>3.3</w:t>
            </w:r>
            <w:r>
              <w:rPr>
                <w:sz w:val="22"/>
              </w:rPr>
              <w:t>.</w:t>
            </w:r>
            <w:r>
              <w:rPr>
                <w:sz w:val="22"/>
              </w:rPr>
              <w:t>5</w:t>
            </w:r>
            <w:r>
              <w:rPr>
                <w:sz w:val="22"/>
              </w:rPr>
              <w:t>.</w:t>
            </w:r>
            <w:r>
              <w:rPr>
                <w:color w:val="000000"/>
                <w:sz w:val="22"/>
              </w:rPr>
              <w:t>数字点片</w:t>
            </w:r>
            <w:r>
              <w:rPr>
                <w:color w:val="000000"/>
                <w:sz w:val="22"/>
              </w:rPr>
              <w:t>mA≥75mA</w:t>
            </w:r>
            <w:r>
              <w:rPr>
                <w:color w:val="000000"/>
                <w:sz w:val="22"/>
              </w:rPr>
              <w:t>。</w:t>
            </w:r>
          </w:p>
          <w:p>
            <w:pPr>
              <w:jc w:val="both"/>
            </w:pPr>
            <w:r>
              <w:rPr>
                <w:sz w:val="22"/>
              </w:rPr>
              <w:t>3.3</w:t>
            </w:r>
            <w:r>
              <w:rPr>
                <w:sz w:val="22"/>
              </w:rPr>
              <w:t>.</w:t>
            </w:r>
            <w:r>
              <w:rPr>
                <w:sz w:val="22"/>
              </w:rPr>
              <w:t>6</w:t>
            </w:r>
            <w:r>
              <w:rPr>
                <w:sz w:val="22"/>
              </w:rPr>
              <w:t>.</w:t>
            </w:r>
            <w:r>
              <w:rPr>
                <w:sz w:val="22"/>
              </w:rPr>
              <w:t>支持连续透视模式</w:t>
            </w:r>
            <w:r>
              <w:rPr>
                <w:sz w:val="22"/>
              </w:rPr>
              <w:t>。</w:t>
            </w:r>
          </w:p>
          <w:p>
            <w:pPr>
              <w:jc w:val="both"/>
            </w:pPr>
            <w:r>
              <w:rPr>
                <w:sz w:val="22"/>
              </w:rPr>
              <w:t>3.3</w:t>
            </w:r>
            <w:r>
              <w:rPr>
                <w:sz w:val="22"/>
              </w:rPr>
              <w:t>.</w:t>
            </w:r>
            <w:r>
              <w:rPr>
                <w:sz w:val="22"/>
              </w:rPr>
              <w:t>7</w:t>
            </w:r>
            <w:r>
              <w:rPr>
                <w:sz w:val="22"/>
              </w:rPr>
              <w:t>.</w:t>
            </w:r>
            <w:r>
              <w:rPr>
                <w:sz w:val="22"/>
              </w:rPr>
              <w:t>支持内置电池缓冲设计，保证曝光可以输出</w:t>
            </w:r>
            <w:r>
              <w:rPr>
                <w:color w:val="000000"/>
                <w:sz w:val="22"/>
              </w:rPr>
              <w:t>≥</w:t>
            </w:r>
            <w:r>
              <w:rPr>
                <w:sz w:val="22"/>
              </w:rPr>
              <w:t>15kW的功率输出</w:t>
            </w:r>
            <w:r>
              <w:rPr>
                <w:sz w:val="22"/>
              </w:rPr>
              <w:t>。</w:t>
            </w:r>
          </w:p>
          <w:p>
            <w:pPr>
              <w:jc w:val="both"/>
            </w:pPr>
            <w:r>
              <w:rPr>
                <w:b/>
                <w:sz w:val="22"/>
              </w:rPr>
              <w:t>3.4</w:t>
            </w:r>
            <w:r>
              <w:rPr>
                <w:b/>
                <w:color w:val="000000"/>
                <w:sz w:val="22"/>
              </w:rPr>
              <w:t>球管系统</w:t>
            </w:r>
          </w:p>
          <w:p>
            <w:pPr>
              <w:jc w:val="both"/>
            </w:pPr>
            <w:r>
              <w:rPr>
                <w:sz w:val="22"/>
              </w:rPr>
              <w:t>3.4.1</w:t>
            </w:r>
            <w:r>
              <w:rPr>
                <w:sz w:val="22"/>
              </w:rPr>
              <w:t>.</w:t>
            </w:r>
            <w:r>
              <w:rPr>
                <w:color w:val="000000"/>
                <w:sz w:val="22"/>
              </w:rPr>
              <w:t>双焦点设计，</w:t>
            </w:r>
            <w:r>
              <w:rPr>
                <w:color w:val="000000"/>
                <w:sz w:val="22"/>
              </w:rPr>
              <w:t>旋转阳极球管</w:t>
            </w:r>
            <w:r>
              <w:rPr>
                <w:color w:val="000000"/>
                <w:sz w:val="22"/>
              </w:rPr>
              <w:t>。</w:t>
            </w:r>
          </w:p>
          <w:p>
            <w:pPr>
              <w:jc w:val="both"/>
            </w:pPr>
            <w:r>
              <w:rPr>
                <w:sz w:val="22"/>
              </w:rPr>
              <w:t>3.4.2</w:t>
            </w:r>
            <w:r>
              <w:rPr>
                <w:sz w:val="22"/>
              </w:rPr>
              <w:t>.</w:t>
            </w:r>
            <w:r>
              <w:rPr>
                <w:color w:val="000000"/>
                <w:sz w:val="22"/>
              </w:rPr>
              <w:t>小焦点</w:t>
            </w:r>
            <w:r>
              <w:rPr>
                <w:color w:val="000000"/>
                <w:sz w:val="22"/>
              </w:rPr>
              <w:t>≤0.3mm，大焦点≥0</w:t>
            </w:r>
            <w:r>
              <w:rPr>
                <w:color w:val="000000"/>
                <w:sz w:val="22"/>
              </w:rPr>
              <w:t>.6mm</w:t>
            </w:r>
            <w:r>
              <w:rPr>
                <w:color w:val="000000"/>
                <w:sz w:val="22"/>
              </w:rPr>
              <w:t>。</w:t>
            </w:r>
          </w:p>
          <w:p>
            <w:pPr>
              <w:jc w:val="both"/>
            </w:pPr>
            <w:r>
              <w:rPr>
                <w:sz w:val="22"/>
              </w:rPr>
              <w:t>▲3.4.3</w:t>
            </w:r>
            <w:r>
              <w:rPr>
                <w:sz w:val="22"/>
              </w:rPr>
              <w:t>.</w:t>
            </w:r>
            <w:r>
              <w:rPr>
                <w:color w:val="000000"/>
                <w:sz w:val="22"/>
              </w:rPr>
              <w:t>具备球管与高压发生器分开</w:t>
            </w:r>
            <w:r>
              <w:rPr>
                <w:color w:val="000000"/>
                <w:sz w:val="22"/>
              </w:rPr>
              <w:t>。</w:t>
            </w:r>
          </w:p>
          <w:p>
            <w:pPr>
              <w:jc w:val="both"/>
            </w:pPr>
            <w:r>
              <w:rPr>
                <w:sz w:val="22"/>
              </w:rPr>
              <w:t>3.4.4</w:t>
            </w:r>
            <w:r>
              <w:rPr>
                <w:sz w:val="22"/>
              </w:rPr>
              <w:t>.</w:t>
            </w:r>
            <w:r>
              <w:rPr>
                <w:color w:val="000000"/>
                <w:sz w:val="22"/>
              </w:rPr>
              <w:t>管套热容量</w:t>
            </w:r>
            <w:r>
              <w:rPr>
                <w:color w:val="000000"/>
                <w:sz w:val="22"/>
              </w:rPr>
              <w:t>≥1600000HU</w:t>
            </w:r>
            <w:r>
              <w:rPr>
                <w:color w:val="000000"/>
                <w:sz w:val="22"/>
              </w:rPr>
              <w:t>。</w:t>
            </w:r>
          </w:p>
          <w:p>
            <w:pPr>
              <w:jc w:val="both"/>
            </w:pPr>
            <w:r>
              <w:rPr>
                <w:sz w:val="22"/>
              </w:rPr>
              <w:t>3.4.5</w:t>
            </w:r>
            <w:r>
              <w:rPr>
                <w:sz w:val="22"/>
              </w:rPr>
              <w:t>.</w:t>
            </w:r>
            <w:r>
              <w:rPr>
                <w:color w:val="000000"/>
                <w:sz w:val="22"/>
              </w:rPr>
              <w:t>管套散热率</w:t>
            </w:r>
            <w:r>
              <w:rPr>
                <w:color w:val="000000"/>
                <w:sz w:val="22"/>
              </w:rPr>
              <w:t>≥22500HU/min(268W)</w:t>
            </w:r>
            <w:r>
              <w:rPr>
                <w:color w:val="000000"/>
                <w:sz w:val="22"/>
              </w:rPr>
              <w:t>。</w:t>
            </w:r>
          </w:p>
          <w:p>
            <w:pPr>
              <w:jc w:val="both"/>
            </w:pPr>
            <w:r>
              <w:rPr>
                <w:sz w:val="22"/>
              </w:rPr>
              <w:t>3.4.6</w:t>
            </w:r>
            <w:r>
              <w:rPr>
                <w:sz w:val="22"/>
              </w:rPr>
              <w:t>.</w:t>
            </w:r>
            <w:r>
              <w:rPr>
                <w:color w:val="000000"/>
                <w:sz w:val="22"/>
              </w:rPr>
              <w:t>阳极热容量</w:t>
            </w:r>
            <w:r>
              <w:rPr>
                <w:color w:val="000000"/>
                <w:sz w:val="22"/>
              </w:rPr>
              <w:t>≥300000HU</w:t>
            </w:r>
            <w:r>
              <w:rPr>
                <w:color w:val="000000"/>
                <w:sz w:val="22"/>
              </w:rPr>
              <w:t>。</w:t>
            </w:r>
          </w:p>
          <w:p>
            <w:pPr>
              <w:jc w:val="both"/>
            </w:pPr>
            <w:r>
              <w:rPr>
                <w:sz w:val="22"/>
              </w:rPr>
              <w:t>3.4.7</w:t>
            </w:r>
            <w:r>
              <w:rPr>
                <w:sz w:val="22"/>
              </w:rPr>
              <w:t>.</w:t>
            </w:r>
            <w:r>
              <w:rPr>
                <w:color w:val="000000"/>
                <w:sz w:val="22"/>
              </w:rPr>
              <w:t>阳极散热率</w:t>
            </w:r>
            <w:r>
              <w:rPr>
                <w:color w:val="000000"/>
                <w:sz w:val="22"/>
              </w:rPr>
              <w:t>≥85000HU/min</w:t>
            </w:r>
            <w:r>
              <w:rPr>
                <w:color w:val="000000"/>
                <w:sz w:val="22"/>
              </w:rPr>
              <w:t>。</w:t>
            </w:r>
          </w:p>
          <w:p>
            <w:pPr>
              <w:jc w:val="both"/>
            </w:pPr>
            <w:r>
              <w:rPr>
                <w:sz w:val="22"/>
              </w:rPr>
              <w:t>▲3.4.8</w:t>
            </w:r>
            <w:r>
              <w:rPr>
                <w:sz w:val="22"/>
              </w:rPr>
              <w:t>.</w:t>
            </w:r>
            <w:r>
              <w:rPr>
                <w:color w:val="000000"/>
                <w:sz w:val="22"/>
              </w:rPr>
              <w:t>具备主动多通道油冷</w:t>
            </w:r>
            <w:r>
              <w:rPr>
                <w:color w:val="000000"/>
                <w:sz w:val="22"/>
              </w:rPr>
              <w:t>+风冷+热管三重散热技术</w:t>
            </w:r>
            <w:r>
              <w:rPr>
                <w:color w:val="000000"/>
                <w:sz w:val="22"/>
              </w:rPr>
              <w:t>。</w:t>
            </w:r>
          </w:p>
          <w:p>
            <w:pPr>
              <w:jc w:val="both"/>
            </w:pPr>
            <w:r>
              <w:rPr>
                <w:b/>
                <w:sz w:val="22"/>
              </w:rPr>
              <w:t>3.5显示器</w:t>
            </w:r>
          </w:p>
          <w:p>
            <w:pPr>
              <w:jc w:val="both"/>
            </w:pPr>
            <w:r>
              <w:rPr>
                <w:sz w:val="22"/>
              </w:rPr>
              <w:t>▲3.5</w:t>
            </w:r>
            <w:r>
              <w:rPr>
                <w:sz w:val="22"/>
              </w:rPr>
              <w:t>.</w:t>
            </w:r>
            <w:r>
              <w:rPr>
                <w:sz w:val="22"/>
              </w:rPr>
              <w:t>1</w:t>
            </w:r>
            <w:r>
              <w:rPr>
                <w:sz w:val="22"/>
              </w:rPr>
              <w:t>.</w:t>
            </w:r>
            <w:r>
              <w:rPr>
                <w:color w:val="000000"/>
                <w:sz w:val="22"/>
              </w:rPr>
              <w:t>医用</w:t>
            </w:r>
            <w:r>
              <w:rPr>
                <w:color w:val="000000"/>
                <w:sz w:val="22"/>
              </w:rPr>
              <w:t>4K UHD平板显示器≥32英寸</w:t>
            </w:r>
            <w:r>
              <w:rPr>
                <w:color w:val="000000"/>
                <w:sz w:val="22"/>
              </w:rPr>
              <w:t>。</w:t>
            </w:r>
          </w:p>
          <w:p>
            <w:pPr>
              <w:jc w:val="both"/>
            </w:pPr>
            <w:r>
              <w:rPr>
                <w:sz w:val="22"/>
              </w:rPr>
              <w:t>▲3.5</w:t>
            </w:r>
            <w:r>
              <w:rPr>
                <w:sz w:val="22"/>
              </w:rPr>
              <w:t>.2.</w:t>
            </w:r>
            <w:r>
              <w:rPr>
                <w:sz w:val="22"/>
              </w:rPr>
              <w:t>显示器最高分辨率</w:t>
            </w:r>
            <w:r>
              <w:rPr>
                <w:sz w:val="22"/>
              </w:rPr>
              <w:t>≥3840x2160</w:t>
            </w:r>
            <w:r>
              <w:rPr>
                <w:sz w:val="22"/>
              </w:rPr>
              <w:t>。</w:t>
            </w:r>
          </w:p>
          <w:p>
            <w:pPr>
              <w:jc w:val="both"/>
            </w:pPr>
            <w:r>
              <w:rPr>
                <w:sz w:val="22"/>
              </w:rPr>
              <w:t>▲3.5</w:t>
            </w:r>
            <w:r>
              <w:rPr>
                <w:sz w:val="22"/>
              </w:rPr>
              <w:t>.3.</w:t>
            </w:r>
            <w:r>
              <w:rPr>
                <w:color w:val="000000"/>
                <w:sz w:val="22"/>
              </w:rPr>
              <w:t>支持</w:t>
            </w:r>
            <w:r>
              <w:rPr>
                <w:sz w:val="22"/>
              </w:rPr>
              <w:t>显示器支架可旋转拉伸万向臂设计</w:t>
            </w:r>
            <w:r>
              <w:rPr>
                <w:sz w:val="22"/>
              </w:rPr>
              <w:t>。</w:t>
            </w:r>
          </w:p>
          <w:p>
            <w:pPr>
              <w:jc w:val="both"/>
            </w:pPr>
            <w:r>
              <w:rPr>
                <w:sz w:val="22"/>
              </w:rPr>
              <w:t>3.5</w:t>
            </w:r>
            <w:r>
              <w:rPr>
                <w:sz w:val="22"/>
              </w:rPr>
              <w:t>.4.</w:t>
            </w:r>
            <w:r>
              <w:rPr>
                <w:color w:val="000000"/>
                <w:sz w:val="22"/>
              </w:rPr>
              <w:t>工作站固定时，显示器可水平前伸距离</w:t>
            </w:r>
            <w:r>
              <w:rPr>
                <w:color w:val="000000"/>
                <w:sz w:val="22"/>
              </w:rPr>
              <w:t>≥27英寸（69cm）</w:t>
            </w:r>
            <w:r>
              <w:rPr>
                <w:color w:val="000000"/>
                <w:sz w:val="22"/>
              </w:rPr>
              <w:t>。</w:t>
            </w:r>
          </w:p>
          <w:p>
            <w:pPr>
              <w:jc w:val="both"/>
            </w:pPr>
            <w:r>
              <w:rPr>
                <w:sz w:val="22"/>
              </w:rPr>
              <w:t>3.5</w:t>
            </w:r>
            <w:r>
              <w:rPr>
                <w:sz w:val="22"/>
              </w:rPr>
              <w:t>.5.</w:t>
            </w:r>
            <w:r>
              <w:rPr>
                <w:sz w:val="22"/>
              </w:rPr>
              <w:t>显示器水平垂直可视角</w:t>
            </w:r>
            <w:r>
              <w:rPr>
                <w:color w:val="000000"/>
                <w:sz w:val="22"/>
              </w:rPr>
              <w:t>≥170°</w:t>
            </w:r>
            <w:r>
              <w:rPr>
                <w:color w:val="000000"/>
                <w:sz w:val="22"/>
              </w:rPr>
              <w:t>。</w:t>
            </w:r>
          </w:p>
          <w:p>
            <w:pPr>
              <w:jc w:val="both"/>
            </w:pPr>
            <w:r>
              <w:rPr>
                <w:sz w:val="22"/>
              </w:rPr>
              <w:t>3.5</w:t>
            </w:r>
            <w:r>
              <w:rPr>
                <w:sz w:val="22"/>
              </w:rPr>
              <w:t>.6.</w:t>
            </w:r>
            <w:r>
              <w:rPr>
                <w:color w:val="000000"/>
                <w:sz w:val="22"/>
              </w:rPr>
              <w:t>显示器最大亮</w:t>
            </w:r>
            <w:r>
              <w:rPr>
                <w:sz w:val="22"/>
              </w:rPr>
              <w:t>度</w:t>
            </w:r>
            <w:r>
              <w:rPr>
                <w:sz w:val="22"/>
              </w:rPr>
              <w:t>600cd/m2</w:t>
            </w:r>
            <w:r>
              <w:rPr>
                <w:sz w:val="22"/>
              </w:rPr>
              <w:t>。</w:t>
            </w:r>
          </w:p>
          <w:p>
            <w:pPr>
              <w:jc w:val="both"/>
            </w:pPr>
            <w:r>
              <w:rPr>
                <w:sz w:val="22"/>
              </w:rPr>
              <w:t>3.5</w:t>
            </w:r>
            <w:r>
              <w:rPr>
                <w:sz w:val="22"/>
              </w:rPr>
              <w:t>.7.</w:t>
            </w:r>
            <w:r>
              <w:rPr>
                <w:sz w:val="22"/>
              </w:rPr>
              <w:t>显示器具备触摸屏系统操控</w:t>
            </w:r>
            <w:r>
              <w:rPr>
                <w:sz w:val="22"/>
              </w:rPr>
              <w:t>。</w:t>
            </w:r>
          </w:p>
          <w:p>
            <w:pPr>
              <w:jc w:val="both"/>
            </w:pPr>
            <w:r>
              <w:rPr>
                <w:sz w:val="22"/>
              </w:rPr>
              <w:t>3.5</w:t>
            </w:r>
            <w:r>
              <w:rPr>
                <w:sz w:val="22"/>
              </w:rPr>
              <w:t>.8.</w:t>
            </w:r>
            <w:r>
              <w:rPr>
                <w:sz w:val="22"/>
              </w:rPr>
              <w:t>提供显示器防眩光防指纹防水雾设计</w:t>
            </w:r>
            <w:r>
              <w:rPr>
                <w:sz w:val="22"/>
              </w:rPr>
              <w:t>。</w:t>
            </w:r>
          </w:p>
          <w:p>
            <w:pPr>
              <w:jc w:val="both"/>
            </w:pPr>
            <w:r>
              <w:rPr>
                <w:b/>
                <w:sz w:val="22"/>
              </w:rPr>
              <w:t>3.6图像存储</w:t>
            </w:r>
          </w:p>
          <w:p>
            <w:pPr>
              <w:jc w:val="both"/>
            </w:pPr>
            <w:r>
              <w:rPr>
                <w:sz w:val="22"/>
              </w:rPr>
              <w:t>3.6.1</w:t>
            </w:r>
            <w:r>
              <w:rPr>
                <w:sz w:val="22"/>
              </w:rPr>
              <w:t>.</w:t>
            </w:r>
            <w:r>
              <w:rPr>
                <w:sz w:val="22"/>
              </w:rPr>
              <w:t>具备</w:t>
            </w:r>
            <w:r>
              <w:rPr>
                <w:sz w:val="22"/>
              </w:rPr>
              <w:t>USB数字接口图像拷贝</w:t>
            </w:r>
            <w:r>
              <w:rPr>
                <w:sz w:val="22"/>
              </w:rPr>
              <w:t>。</w:t>
            </w:r>
          </w:p>
          <w:p>
            <w:pPr>
              <w:jc w:val="both"/>
            </w:pPr>
            <w:r>
              <w:rPr>
                <w:b/>
                <w:sz w:val="22"/>
              </w:rPr>
              <w:t>3.7操控系统</w:t>
            </w:r>
          </w:p>
          <w:p>
            <w:pPr>
              <w:jc w:val="both"/>
            </w:pPr>
            <w:r>
              <w:rPr>
                <w:sz w:val="22"/>
              </w:rPr>
              <w:t>3.7</w:t>
            </w:r>
            <w:r>
              <w:rPr>
                <w:sz w:val="22"/>
              </w:rPr>
              <w:t>.1.</w:t>
            </w:r>
            <w:r>
              <w:rPr>
                <w:color w:val="000000"/>
                <w:sz w:val="22"/>
              </w:rPr>
              <w:t>具备</w:t>
            </w:r>
            <w:r>
              <w:rPr>
                <w:sz w:val="22"/>
              </w:rPr>
              <w:t>多功能</w:t>
            </w:r>
            <w:r>
              <w:rPr>
                <w:sz w:val="22"/>
              </w:rPr>
              <w:t>C形臂控制面板</w:t>
            </w:r>
            <w:r>
              <w:rPr>
                <w:sz w:val="22"/>
              </w:rPr>
              <w:t>。</w:t>
            </w:r>
          </w:p>
          <w:p>
            <w:pPr>
              <w:jc w:val="both"/>
            </w:pPr>
            <w:r>
              <w:rPr>
                <w:sz w:val="22"/>
              </w:rPr>
              <w:t>3.7</w:t>
            </w:r>
            <w:r>
              <w:rPr>
                <w:sz w:val="22"/>
              </w:rPr>
              <w:t>.2.</w:t>
            </w:r>
            <w:r>
              <w:rPr>
                <w:sz w:val="22"/>
              </w:rPr>
              <w:t>触控屏控制面板尺寸</w:t>
            </w:r>
            <w:r>
              <w:rPr>
                <w:color w:val="000000"/>
                <w:sz w:val="22"/>
              </w:rPr>
              <w:t>≥</w:t>
            </w:r>
            <w:r>
              <w:rPr>
                <w:sz w:val="22"/>
              </w:rPr>
              <w:t>15.6</w:t>
            </w:r>
            <w:r>
              <w:rPr>
                <w:sz w:val="22"/>
              </w:rPr>
              <w:t>英寸</w:t>
            </w:r>
            <w:r>
              <w:rPr>
                <w:sz w:val="22"/>
              </w:rPr>
              <w:t>。</w:t>
            </w:r>
          </w:p>
          <w:p>
            <w:pPr>
              <w:jc w:val="both"/>
            </w:pPr>
            <w:r>
              <w:rPr>
                <w:sz w:val="22"/>
              </w:rPr>
              <w:t>3.7</w:t>
            </w:r>
            <w:r>
              <w:rPr>
                <w:sz w:val="22"/>
              </w:rPr>
              <w:t>.3.</w:t>
            </w:r>
            <w:r>
              <w:rPr>
                <w:sz w:val="22"/>
              </w:rPr>
              <w:t>触控屏控制面板分辨率</w:t>
            </w:r>
            <w:r>
              <w:rPr>
                <w:sz w:val="22"/>
              </w:rPr>
              <w:t>1366 x 768</w:t>
            </w:r>
            <w:r>
              <w:rPr>
                <w:sz w:val="22"/>
              </w:rPr>
              <w:t>。</w:t>
            </w:r>
          </w:p>
          <w:p>
            <w:pPr>
              <w:jc w:val="both"/>
            </w:pPr>
            <w:r>
              <w:rPr>
                <w:sz w:val="22"/>
              </w:rPr>
              <w:t>3.7</w:t>
            </w:r>
            <w:r>
              <w:rPr>
                <w:sz w:val="22"/>
              </w:rPr>
              <w:t>.4.</w:t>
            </w:r>
            <w:r>
              <w:rPr>
                <w:sz w:val="22"/>
              </w:rPr>
              <w:t>触控屏可显示角度范围</w:t>
            </w:r>
            <w:r>
              <w:rPr>
                <w:color w:val="000000"/>
                <w:sz w:val="22"/>
              </w:rPr>
              <w:t>≥</w:t>
            </w:r>
            <w:r>
              <w:rPr>
                <w:sz w:val="22"/>
              </w:rPr>
              <w:t>160°</w:t>
            </w:r>
            <w:r>
              <w:rPr>
                <w:sz w:val="22"/>
              </w:rPr>
              <w:t>。</w:t>
            </w:r>
          </w:p>
          <w:p>
            <w:pPr>
              <w:jc w:val="both"/>
            </w:pPr>
            <w:r>
              <w:rPr>
                <w:sz w:val="22"/>
              </w:rPr>
              <w:t>3.7</w:t>
            </w:r>
            <w:r>
              <w:rPr>
                <w:sz w:val="22"/>
              </w:rPr>
              <w:t>.5.</w:t>
            </w:r>
            <w:r>
              <w:rPr>
                <w:sz w:val="22"/>
              </w:rPr>
              <w:t>触控屏基底旋转角度</w:t>
            </w:r>
            <w:r>
              <w:rPr>
                <w:sz w:val="22"/>
              </w:rPr>
              <w:t>≥ 270°</w:t>
            </w:r>
            <w:r>
              <w:rPr>
                <w:sz w:val="22"/>
              </w:rPr>
              <w:t>。</w:t>
            </w:r>
          </w:p>
          <w:p>
            <w:pPr>
              <w:jc w:val="both"/>
            </w:pPr>
            <w:r>
              <w:rPr>
                <w:sz w:val="22"/>
              </w:rPr>
              <w:t>3.7</w:t>
            </w:r>
            <w:r>
              <w:rPr>
                <w:sz w:val="22"/>
              </w:rPr>
              <w:t>.6.</w:t>
            </w:r>
            <w:r>
              <w:rPr>
                <w:sz w:val="22"/>
              </w:rPr>
              <w:t>具备显示屏虚拟键盘技术</w:t>
            </w:r>
            <w:r>
              <w:rPr>
                <w:sz w:val="22"/>
              </w:rPr>
              <w:t>。</w:t>
            </w:r>
          </w:p>
          <w:p>
            <w:pPr>
              <w:jc w:val="both"/>
            </w:pPr>
            <w:r>
              <w:rPr>
                <w:b/>
                <w:sz w:val="22"/>
              </w:rPr>
              <w:t>3.8</w:t>
            </w:r>
            <w:r>
              <w:rPr>
                <w:b/>
                <w:sz w:val="22"/>
              </w:rPr>
              <w:t>图像处理</w:t>
            </w:r>
          </w:p>
          <w:p>
            <w:pPr>
              <w:jc w:val="both"/>
            </w:pPr>
            <w:r>
              <w:rPr>
                <w:sz w:val="22"/>
              </w:rPr>
              <w:t>3.8.1</w:t>
            </w:r>
            <w:r>
              <w:rPr>
                <w:sz w:val="22"/>
              </w:rPr>
              <w:t>.</w:t>
            </w:r>
            <w:r>
              <w:rPr>
                <w:sz w:val="22"/>
              </w:rPr>
              <w:t>具备</w:t>
            </w:r>
            <w:r>
              <w:rPr>
                <w:sz w:val="22"/>
              </w:rPr>
              <w:t>厂家原厂工作站</w:t>
            </w:r>
            <w:r>
              <w:rPr>
                <w:sz w:val="22"/>
              </w:rPr>
              <w:t>。</w:t>
            </w:r>
          </w:p>
          <w:p>
            <w:pPr>
              <w:jc w:val="both"/>
            </w:pPr>
            <w:r>
              <w:rPr>
                <w:sz w:val="22"/>
              </w:rPr>
              <w:t>3.8.2</w:t>
            </w:r>
            <w:r>
              <w:rPr>
                <w:sz w:val="22"/>
              </w:rPr>
              <w:t>.</w:t>
            </w:r>
            <w:r>
              <w:rPr>
                <w:sz w:val="22"/>
              </w:rPr>
              <w:t>具备图像处理引擎</w:t>
            </w:r>
            <w:r>
              <w:rPr>
                <w:sz w:val="22"/>
              </w:rPr>
              <w:t>。</w:t>
            </w:r>
          </w:p>
          <w:p>
            <w:pPr>
              <w:jc w:val="both"/>
            </w:pPr>
            <w:r>
              <w:rPr>
                <w:sz w:val="22"/>
              </w:rPr>
              <w:t>▲3.8.3</w:t>
            </w:r>
            <w:r>
              <w:rPr>
                <w:sz w:val="22"/>
              </w:rPr>
              <w:t>.</w:t>
            </w:r>
            <w:r>
              <w:rPr>
                <w:sz w:val="22"/>
              </w:rPr>
              <w:t>具备</w:t>
            </w:r>
            <w:r>
              <w:rPr>
                <w:color w:val="000000"/>
                <w:sz w:val="22"/>
              </w:rPr>
              <w:t>大视野显示，</w:t>
            </w:r>
            <w:r>
              <w:rPr>
                <w:sz w:val="22"/>
              </w:rPr>
              <w:t>旋转图像无切角变圆</w:t>
            </w:r>
            <w:r>
              <w:rPr>
                <w:sz w:val="22"/>
              </w:rPr>
              <w:t>。</w:t>
            </w:r>
          </w:p>
          <w:p>
            <w:pPr>
              <w:jc w:val="both"/>
            </w:pPr>
            <w:r>
              <w:rPr>
                <w:sz w:val="22"/>
              </w:rPr>
              <w:t>3.8.4</w:t>
            </w:r>
            <w:r>
              <w:rPr>
                <w:sz w:val="22"/>
              </w:rPr>
              <w:t>.</w:t>
            </w:r>
            <w:r>
              <w:rPr>
                <w:color w:val="000000"/>
                <w:sz w:val="22"/>
              </w:rPr>
              <w:t>具备</w:t>
            </w:r>
            <w:r>
              <w:rPr>
                <w:sz w:val="22"/>
              </w:rPr>
              <w:t>多种临床应用预设图标</w:t>
            </w:r>
            <w:r>
              <w:rPr>
                <w:sz w:val="22"/>
              </w:rPr>
              <w:t>。</w:t>
            </w:r>
          </w:p>
          <w:p>
            <w:pPr>
              <w:jc w:val="both"/>
            </w:pPr>
            <w:r>
              <w:rPr>
                <w:sz w:val="22"/>
              </w:rPr>
              <w:t>3.8.5</w:t>
            </w:r>
            <w:r>
              <w:rPr>
                <w:sz w:val="22"/>
              </w:rPr>
              <w:t>.</w:t>
            </w:r>
            <w:r>
              <w:rPr>
                <w:sz w:val="22"/>
              </w:rPr>
              <w:t>具备</w:t>
            </w:r>
            <w:r>
              <w:rPr>
                <w:sz w:val="22"/>
              </w:rPr>
              <w:t>ABS智能亮度均衡稳定技术</w:t>
            </w:r>
            <w:r>
              <w:rPr>
                <w:sz w:val="22"/>
              </w:rPr>
              <w:t>。</w:t>
            </w:r>
          </w:p>
          <w:p>
            <w:pPr>
              <w:jc w:val="both"/>
            </w:pPr>
            <w:r>
              <w:rPr>
                <w:sz w:val="22"/>
              </w:rPr>
              <w:t>3.8.6</w:t>
            </w:r>
            <w:r>
              <w:rPr>
                <w:sz w:val="22"/>
              </w:rPr>
              <w:t>.</w:t>
            </w:r>
            <w:r>
              <w:rPr>
                <w:sz w:val="22"/>
              </w:rPr>
              <w:t>具备实时自动亮度对比度调整</w:t>
            </w:r>
            <w:r>
              <w:rPr>
                <w:sz w:val="22"/>
              </w:rPr>
              <w:t>。</w:t>
            </w:r>
          </w:p>
          <w:p>
            <w:pPr>
              <w:jc w:val="both"/>
            </w:pPr>
            <w:r>
              <w:rPr>
                <w:sz w:val="22"/>
              </w:rPr>
              <w:t>3.8.7</w:t>
            </w:r>
            <w:r>
              <w:rPr>
                <w:sz w:val="22"/>
              </w:rPr>
              <w:t>.</w:t>
            </w:r>
            <w:r>
              <w:rPr>
                <w:sz w:val="22"/>
              </w:rPr>
              <w:t>图像放大及游走</w:t>
            </w:r>
            <w:r>
              <w:rPr>
                <w:sz w:val="22"/>
              </w:rPr>
              <w:t>≥400%，具备动态视频放大功能</w:t>
            </w:r>
            <w:r>
              <w:rPr>
                <w:sz w:val="22"/>
              </w:rPr>
              <w:t>。</w:t>
            </w:r>
          </w:p>
          <w:p>
            <w:pPr>
              <w:jc w:val="both"/>
            </w:pPr>
            <w:r>
              <w:rPr>
                <w:sz w:val="22"/>
              </w:rPr>
              <w:t>3.8.8</w:t>
            </w:r>
            <w:r>
              <w:rPr>
                <w:sz w:val="22"/>
              </w:rPr>
              <w:t>.</w:t>
            </w:r>
            <w:r>
              <w:rPr>
                <w:sz w:val="22"/>
              </w:rPr>
              <w:t>具备实时图像边缘增强技术</w:t>
            </w:r>
            <w:r>
              <w:rPr>
                <w:sz w:val="22"/>
              </w:rPr>
              <w:t>。</w:t>
            </w:r>
          </w:p>
          <w:p>
            <w:pPr>
              <w:jc w:val="both"/>
            </w:pPr>
            <w:r>
              <w:rPr>
                <w:sz w:val="22"/>
              </w:rPr>
              <w:t>▲3.8.9</w:t>
            </w:r>
            <w:r>
              <w:rPr>
                <w:sz w:val="22"/>
              </w:rPr>
              <w:t>.</w:t>
            </w:r>
            <w:r>
              <w:rPr>
                <w:sz w:val="22"/>
              </w:rPr>
              <w:t>具备智能数字画笔技术</w:t>
            </w:r>
            <w:r>
              <w:rPr>
                <w:sz w:val="22"/>
              </w:rPr>
              <w:t>。</w:t>
            </w:r>
          </w:p>
          <w:p>
            <w:pPr>
              <w:jc w:val="both"/>
            </w:pPr>
            <w:r>
              <w:rPr>
                <w:sz w:val="22"/>
              </w:rPr>
              <w:t>3.8.10</w:t>
            </w:r>
            <w:r>
              <w:rPr>
                <w:sz w:val="22"/>
              </w:rPr>
              <w:t>.</w:t>
            </w:r>
            <w:r>
              <w:rPr>
                <w:sz w:val="22"/>
              </w:rPr>
              <w:t>具备</w:t>
            </w:r>
            <w:r>
              <w:rPr>
                <w:color w:val="000000"/>
                <w:sz w:val="22"/>
              </w:rPr>
              <w:t>末帧图像优化</w:t>
            </w:r>
            <w:r>
              <w:rPr>
                <w:color w:val="000000"/>
                <w:sz w:val="22"/>
              </w:rPr>
              <w:t>。</w:t>
            </w:r>
          </w:p>
          <w:p>
            <w:pPr>
              <w:jc w:val="both"/>
            </w:pPr>
            <w:r>
              <w:rPr>
                <w:sz w:val="22"/>
              </w:rPr>
              <w:t>3.8.11</w:t>
            </w:r>
            <w:r>
              <w:rPr>
                <w:sz w:val="22"/>
              </w:rPr>
              <w:t>.</w:t>
            </w:r>
            <w:r>
              <w:rPr>
                <w:color w:val="000000"/>
                <w:sz w:val="22"/>
              </w:rPr>
              <w:t>具备</w:t>
            </w:r>
            <w:r>
              <w:rPr>
                <w:sz w:val="22"/>
              </w:rPr>
              <w:t>图像左右翻转、上下翻转、旋转、黑白翻转（负片）功能</w:t>
            </w:r>
            <w:r>
              <w:rPr>
                <w:sz w:val="22"/>
              </w:rPr>
              <w:t>。</w:t>
            </w:r>
          </w:p>
          <w:p>
            <w:pPr>
              <w:jc w:val="both"/>
            </w:pPr>
            <w:r>
              <w:rPr>
                <w:sz w:val="22"/>
              </w:rPr>
              <w:t>3.8.12</w:t>
            </w:r>
            <w:r>
              <w:rPr>
                <w:sz w:val="22"/>
              </w:rPr>
              <w:t>.</w:t>
            </w:r>
            <w:r>
              <w:rPr>
                <w:sz w:val="22"/>
              </w:rPr>
              <w:t>同屏图像显示</w:t>
            </w:r>
            <w:r>
              <w:rPr>
                <w:sz w:val="22"/>
              </w:rPr>
              <w:t>≥9幅</w:t>
            </w:r>
            <w:r>
              <w:rPr>
                <w:sz w:val="22"/>
              </w:rPr>
              <w:t>。</w:t>
            </w:r>
          </w:p>
          <w:p>
            <w:pPr>
              <w:jc w:val="both"/>
            </w:pPr>
            <w:r>
              <w:rPr>
                <w:sz w:val="22"/>
              </w:rPr>
              <w:t>3.8.13</w:t>
            </w:r>
            <w:r>
              <w:rPr>
                <w:sz w:val="22"/>
              </w:rPr>
              <w:t>.</w:t>
            </w:r>
            <w:r>
              <w:rPr>
                <w:sz w:val="22"/>
              </w:rPr>
              <w:t>具备图像回调及预览</w:t>
            </w:r>
            <w:r>
              <w:rPr>
                <w:sz w:val="22"/>
              </w:rPr>
              <w:t>。</w:t>
            </w:r>
          </w:p>
          <w:p>
            <w:pPr>
              <w:jc w:val="both"/>
            </w:pPr>
            <w:r>
              <w:rPr>
                <w:sz w:val="22"/>
              </w:rPr>
              <w:t>3.8.14</w:t>
            </w:r>
            <w:r>
              <w:rPr>
                <w:sz w:val="22"/>
              </w:rPr>
              <w:t>.</w:t>
            </w:r>
            <w:r>
              <w:rPr>
                <w:sz w:val="22"/>
              </w:rPr>
              <w:t>具备存储图像后处理</w:t>
            </w:r>
            <w:r>
              <w:rPr>
                <w:sz w:val="22"/>
              </w:rPr>
              <w:t>。</w:t>
            </w:r>
          </w:p>
          <w:p>
            <w:pPr>
              <w:jc w:val="both"/>
            </w:pPr>
            <w:r>
              <w:rPr>
                <w:sz w:val="22"/>
              </w:rPr>
              <w:t>3.8.15</w:t>
            </w:r>
            <w:r>
              <w:rPr>
                <w:sz w:val="22"/>
              </w:rPr>
              <w:t>.</w:t>
            </w:r>
            <w:r>
              <w:rPr>
                <w:sz w:val="22"/>
              </w:rPr>
              <w:t>具备</w:t>
            </w:r>
            <w:r>
              <w:rPr>
                <w:sz w:val="22"/>
              </w:rPr>
              <w:t>UPS不间断电池供电设计</w:t>
            </w:r>
            <w:r>
              <w:rPr>
                <w:sz w:val="22"/>
              </w:rPr>
              <w:t>。</w:t>
            </w:r>
          </w:p>
          <w:p>
            <w:pPr>
              <w:jc w:val="both"/>
            </w:pPr>
            <w:r>
              <w:rPr>
                <w:sz w:val="22"/>
              </w:rPr>
              <w:t>3.8.16</w:t>
            </w:r>
            <w:r>
              <w:rPr>
                <w:sz w:val="22"/>
              </w:rPr>
              <w:t>.</w:t>
            </w:r>
            <w:r>
              <w:rPr>
                <w:sz w:val="22"/>
              </w:rPr>
              <w:t>工作站重量</w:t>
            </w:r>
            <w:r>
              <w:rPr>
                <w:color w:val="000000"/>
                <w:sz w:val="22"/>
              </w:rPr>
              <w:t>≤200kg</w:t>
            </w:r>
            <w:r>
              <w:rPr>
                <w:color w:val="000000"/>
                <w:sz w:val="22"/>
              </w:rPr>
              <w:t>。</w:t>
            </w:r>
          </w:p>
          <w:p>
            <w:pPr>
              <w:jc w:val="both"/>
            </w:pPr>
            <w:r>
              <w:rPr>
                <w:sz w:val="22"/>
              </w:rPr>
              <w:t>3.8.17</w:t>
            </w:r>
            <w:r>
              <w:rPr>
                <w:sz w:val="22"/>
              </w:rPr>
              <w:t>.</w:t>
            </w:r>
            <w:r>
              <w:rPr>
                <w:color w:val="000000"/>
                <w:sz w:val="22"/>
              </w:rPr>
              <w:t>具备</w:t>
            </w:r>
            <w:r>
              <w:rPr>
                <w:sz w:val="22"/>
              </w:rPr>
              <w:t>放射剂量分类统计及打印</w:t>
            </w:r>
            <w:r>
              <w:rPr>
                <w:sz w:val="22"/>
              </w:rPr>
              <w:t>。</w:t>
            </w:r>
          </w:p>
          <w:p>
            <w:pPr>
              <w:jc w:val="both"/>
            </w:pPr>
            <w:r>
              <w:rPr>
                <w:sz w:val="22"/>
              </w:rPr>
              <w:t>3.8.18</w:t>
            </w:r>
            <w:r>
              <w:rPr>
                <w:sz w:val="22"/>
              </w:rPr>
              <w:t>.</w:t>
            </w:r>
            <w:r>
              <w:rPr>
                <w:sz w:val="22"/>
              </w:rPr>
              <w:t>具备</w:t>
            </w:r>
            <w:r>
              <w:rPr>
                <w:sz w:val="22"/>
              </w:rPr>
              <w:t>DICOM3.0接口</w:t>
            </w:r>
            <w:r>
              <w:rPr>
                <w:sz w:val="22"/>
              </w:rPr>
              <w:t>。</w:t>
            </w:r>
          </w:p>
          <w:p>
            <w:pPr>
              <w:jc w:val="both"/>
            </w:pPr>
            <w:r>
              <w:rPr>
                <w:sz w:val="22"/>
              </w:rPr>
              <w:t>3.8.19</w:t>
            </w:r>
            <w:r>
              <w:rPr>
                <w:sz w:val="22"/>
              </w:rPr>
              <w:t>.</w:t>
            </w:r>
            <w:r>
              <w:rPr>
                <w:sz w:val="22"/>
              </w:rPr>
              <w:t>图像处理像素矩阵</w:t>
            </w:r>
            <w:r>
              <w:rPr>
                <w:sz w:val="22"/>
              </w:rPr>
              <w:t>≥1.5Kx1.5Kx16bit</w:t>
            </w:r>
            <w:r>
              <w:rPr>
                <w:sz w:val="22"/>
              </w:rPr>
              <w:t>。</w:t>
            </w:r>
          </w:p>
          <w:p>
            <w:pPr>
              <w:jc w:val="both"/>
            </w:pPr>
            <w:r>
              <w:rPr>
                <w:sz w:val="22"/>
              </w:rPr>
              <w:t>3.8.20</w:t>
            </w:r>
            <w:r>
              <w:rPr>
                <w:sz w:val="22"/>
              </w:rPr>
              <w:t>.</w:t>
            </w:r>
            <w:r>
              <w:rPr>
                <w:sz w:val="22"/>
              </w:rPr>
              <w:t>具备</w:t>
            </w:r>
            <w:r>
              <w:rPr>
                <w:color w:val="000000"/>
                <w:sz w:val="22"/>
              </w:rPr>
              <w:t>DVI图像输出</w:t>
            </w:r>
            <w:r>
              <w:rPr>
                <w:color w:val="000000"/>
                <w:sz w:val="22"/>
              </w:rPr>
              <w:t>。</w:t>
            </w:r>
          </w:p>
          <w:p>
            <w:pPr>
              <w:jc w:val="both"/>
            </w:pPr>
            <w:r>
              <w:rPr>
                <w:sz w:val="22"/>
              </w:rPr>
              <w:t>▲3.8.21</w:t>
            </w:r>
            <w:r>
              <w:rPr>
                <w:sz w:val="22"/>
              </w:rPr>
              <w:t>.</w:t>
            </w:r>
            <w:r>
              <w:rPr>
                <w:color w:val="000000"/>
                <w:sz w:val="22"/>
              </w:rPr>
              <w:t>具备</w:t>
            </w:r>
            <w:r>
              <w:rPr>
                <w:color w:val="000000"/>
                <w:sz w:val="22"/>
              </w:rPr>
              <w:t>Linux操作系统</w:t>
            </w:r>
            <w:r>
              <w:rPr>
                <w:color w:val="000000"/>
                <w:sz w:val="22"/>
              </w:rPr>
              <w:t>。</w:t>
            </w:r>
          </w:p>
          <w:p>
            <w:pPr>
              <w:jc w:val="both"/>
            </w:pPr>
            <w:r>
              <w:rPr>
                <w:sz w:val="22"/>
              </w:rPr>
              <w:t>3.8.22</w:t>
            </w:r>
            <w:r>
              <w:rPr>
                <w:sz w:val="22"/>
              </w:rPr>
              <w:t>.</w:t>
            </w:r>
            <w:r>
              <w:rPr>
                <w:color w:val="000000"/>
                <w:sz w:val="22"/>
              </w:rPr>
              <w:t>具备</w:t>
            </w:r>
            <w:r>
              <w:rPr>
                <w:sz w:val="22"/>
              </w:rPr>
              <w:t>内置激光定位器</w:t>
            </w:r>
            <w:r>
              <w:rPr>
                <w:sz w:val="22"/>
              </w:rPr>
              <w:t>。</w:t>
            </w:r>
          </w:p>
          <w:p>
            <w:pPr>
              <w:jc w:val="both"/>
            </w:pPr>
            <w:r>
              <w:rPr>
                <w:b/>
                <w:sz w:val="22"/>
              </w:rPr>
              <w:t>4</w:t>
            </w:r>
            <w:r>
              <w:rPr>
                <w:b/>
                <w:sz w:val="22"/>
              </w:rPr>
              <w:t>.</w:t>
            </w:r>
            <w:r>
              <w:rPr>
                <w:b/>
                <w:sz w:val="22"/>
              </w:rPr>
              <w:t>配置</w:t>
            </w:r>
            <w:r>
              <w:rPr>
                <w:b/>
                <w:sz w:val="22"/>
              </w:rPr>
              <w:t>清单</w:t>
            </w:r>
          </w:p>
          <w:p>
            <w:pPr>
              <w:jc w:val="both"/>
            </w:pPr>
            <w:r>
              <w:rPr>
                <w:sz w:val="22"/>
              </w:rPr>
              <w:t>4.1</w:t>
            </w:r>
            <w:r>
              <w:rPr>
                <w:sz w:val="22"/>
              </w:rPr>
              <w:t>.</w:t>
            </w:r>
            <w:r>
              <w:rPr>
                <w:sz w:val="22"/>
              </w:rPr>
              <w:t>移动式</w:t>
            </w:r>
            <w:r>
              <w:rPr>
                <w:sz w:val="22"/>
              </w:rPr>
              <w:t>C形臂X射线机</w:t>
            </w:r>
            <w:r>
              <w:rPr>
                <w:sz w:val="22"/>
              </w:rPr>
              <w:t>。</w:t>
            </w:r>
          </w:p>
          <w:p>
            <w:pPr>
              <w:jc w:val="both"/>
            </w:pPr>
            <w:r>
              <w:rPr>
                <w:sz w:val="22"/>
              </w:rPr>
              <w:t>4.2</w:t>
            </w:r>
            <w:r>
              <w:rPr>
                <w:sz w:val="22"/>
              </w:rPr>
              <w:t>.</w:t>
            </w:r>
            <w:r>
              <w:rPr>
                <w:sz w:val="22"/>
              </w:rPr>
              <w:t>CMOS晶体硅平板探测器</w:t>
            </w:r>
            <w:r>
              <w:rPr>
                <w:sz w:val="22"/>
              </w:rPr>
              <w:t>。</w:t>
            </w:r>
          </w:p>
          <w:p>
            <w:pPr>
              <w:jc w:val="both"/>
            </w:pPr>
            <w:r>
              <w:rPr>
                <w:sz w:val="22"/>
              </w:rPr>
              <w:t>4.3</w:t>
            </w:r>
            <w:r>
              <w:rPr>
                <w:sz w:val="22"/>
              </w:rPr>
              <w:t>.</w:t>
            </w:r>
            <w:r>
              <w:rPr>
                <w:sz w:val="22"/>
              </w:rPr>
              <w:t>4K 高清触控显示器</w:t>
            </w:r>
            <w:r>
              <w:rPr>
                <w:sz w:val="22"/>
              </w:rPr>
              <w:t>。</w:t>
            </w:r>
          </w:p>
          <w:p>
            <w:pPr>
              <w:jc w:val="both"/>
            </w:pPr>
            <w:r>
              <w:rPr>
                <w:sz w:val="22"/>
              </w:rPr>
              <w:t>4.4</w:t>
            </w:r>
            <w:r>
              <w:rPr>
                <w:sz w:val="22"/>
              </w:rPr>
              <w:t>.</w:t>
            </w:r>
            <w:r>
              <w:rPr>
                <w:sz w:val="22"/>
              </w:rPr>
              <w:t>多功能</w:t>
            </w:r>
            <w:r>
              <w:rPr>
                <w:sz w:val="22"/>
              </w:rPr>
              <w:t>C形臂控制面板</w:t>
            </w:r>
            <w:r>
              <w:rPr>
                <w:sz w:val="22"/>
              </w:rPr>
              <w:t>。</w:t>
            </w:r>
          </w:p>
          <w:p>
            <w:pPr>
              <w:jc w:val="both"/>
            </w:pPr>
            <w:r>
              <w:rPr>
                <w:sz w:val="22"/>
              </w:rPr>
              <w:t>4.5</w:t>
            </w:r>
            <w:r>
              <w:rPr>
                <w:sz w:val="22"/>
              </w:rPr>
              <w:t>.</w:t>
            </w:r>
            <w:r>
              <w:rPr>
                <w:sz w:val="22"/>
              </w:rPr>
              <w:t>虚拟工作站键盘</w:t>
            </w:r>
            <w:r>
              <w:rPr>
                <w:sz w:val="22"/>
              </w:rPr>
              <w:t>。</w:t>
            </w:r>
          </w:p>
          <w:p>
            <w:pPr>
              <w:jc w:val="both"/>
            </w:pPr>
            <w:r>
              <w:rPr>
                <w:sz w:val="22"/>
              </w:rPr>
              <w:t>4.6</w:t>
            </w:r>
            <w:r>
              <w:rPr>
                <w:sz w:val="22"/>
              </w:rPr>
              <w:t>.</w:t>
            </w:r>
            <w:r>
              <w:rPr>
                <w:sz w:val="22"/>
              </w:rPr>
              <w:t>数字笔功能</w:t>
            </w:r>
            <w:r>
              <w:rPr>
                <w:sz w:val="22"/>
              </w:rPr>
              <w:t>。</w:t>
            </w:r>
          </w:p>
          <w:p>
            <w:pPr>
              <w:jc w:val="both"/>
            </w:pPr>
            <w:r>
              <w:rPr>
                <w:sz w:val="22"/>
              </w:rPr>
              <w:t>4.7</w:t>
            </w:r>
            <w:r>
              <w:rPr>
                <w:sz w:val="22"/>
              </w:rPr>
              <w:t>.</w:t>
            </w:r>
            <w:r>
              <w:rPr>
                <w:sz w:val="22"/>
              </w:rPr>
              <w:t>零剂量动态放大功能</w:t>
            </w:r>
            <w:r>
              <w:rPr>
                <w:sz w:val="22"/>
              </w:rPr>
              <w:t>。</w:t>
            </w:r>
          </w:p>
          <w:p>
            <w:pPr>
              <w:jc w:val="both"/>
            </w:pPr>
            <w:r>
              <w:rPr>
                <w:sz w:val="22"/>
              </w:rPr>
              <w:t>4.8</w:t>
            </w:r>
            <w:r>
              <w:rPr>
                <w:sz w:val="22"/>
              </w:rPr>
              <w:t>.</w:t>
            </w:r>
            <w:r>
              <w:rPr>
                <w:sz w:val="22"/>
              </w:rPr>
              <w:t>通用外科手术软件包</w:t>
            </w:r>
            <w:r>
              <w:rPr>
                <w:sz w:val="22"/>
              </w:rPr>
              <w:t>。</w:t>
            </w:r>
          </w:p>
          <w:p>
            <w:pPr>
              <w:jc w:val="both"/>
            </w:pPr>
            <w:r>
              <w:rPr>
                <w:sz w:val="22"/>
              </w:rPr>
              <w:t>4.9</w:t>
            </w:r>
            <w:r>
              <w:rPr>
                <w:sz w:val="22"/>
              </w:rPr>
              <w:t>.</w:t>
            </w:r>
            <w:r>
              <w:rPr>
                <w:sz w:val="22"/>
              </w:rPr>
              <w:t>双脚踏曝光开关</w:t>
            </w:r>
            <w:r>
              <w:rPr>
                <w:sz w:val="22"/>
              </w:rPr>
              <w:t>。</w:t>
            </w:r>
          </w:p>
          <w:p>
            <w:pPr>
              <w:jc w:val="both"/>
            </w:pPr>
            <w:r>
              <w:rPr>
                <w:sz w:val="22"/>
              </w:rPr>
              <w:t>4.10</w:t>
            </w:r>
            <w:r>
              <w:rPr>
                <w:sz w:val="22"/>
              </w:rPr>
              <w:t>.</w:t>
            </w:r>
            <w:r>
              <w:rPr>
                <w:sz w:val="22"/>
              </w:rPr>
              <w:t>图像批注功能</w:t>
            </w:r>
            <w:r>
              <w:rPr>
                <w:sz w:val="22"/>
              </w:rPr>
              <w:t>。</w:t>
            </w:r>
          </w:p>
          <w:p>
            <w:pPr>
              <w:jc w:val="both"/>
            </w:pPr>
            <w:r>
              <w:rPr>
                <w:sz w:val="22"/>
              </w:rPr>
              <w:t>4.11</w:t>
            </w:r>
            <w:r>
              <w:rPr>
                <w:sz w:val="22"/>
              </w:rPr>
              <w:t>.</w:t>
            </w:r>
            <w:r>
              <w:rPr>
                <w:sz w:val="22"/>
              </w:rPr>
              <w:t>图像测量功能</w:t>
            </w:r>
            <w:r>
              <w:rPr>
                <w:sz w:val="22"/>
              </w:rPr>
              <w:t>。</w:t>
            </w:r>
          </w:p>
          <w:p>
            <w:pPr>
              <w:jc w:val="both"/>
            </w:pPr>
            <w:r>
              <w:rPr>
                <w:sz w:val="22"/>
              </w:rPr>
              <w:t>4.12</w:t>
            </w:r>
            <w:r>
              <w:rPr>
                <w:sz w:val="22"/>
              </w:rPr>
              <w:t>.</w:t>
            </w:r>
            <w:r>
              <w:rPr>
                <w:sz w:val="22"/>
              </w:rPr>
              <w:t>完整</w:t>
            </w:r>
            <w:r>
              <w:rPr>
                <w:sz w:val="22"/>
              </w:rPr>
              <w:t>DICOM 3.0功能</w:t>
            </w:r>
            <w:r>
              <w:rPr>
                <w:sz w:val="22"/>
              </w:rPr>
              <w:t>。</w:t>
            </w:r>
          </w:p>
          <w:p>
            <w:pPr>
              <w:jc w:val="both"/>
            </w:pPr>
            <w:r>
              <w:rPr>
                <w:sz w:val="22"/>
              </w:rPr>
              <w:t>4.13</w:t>
            </w:r>
            <w:r>
              <w:rPr>
                <w:sz w:val="22"/>
              </w:rPr>
              <w:t>.</w:t>
            </w:r>
            <w:r>
              <w:rPr>
                <w:sz w:val="22"/>
              </w:rPr>
              <w:t>平板端激光定位装置</w:t>
            </w:r>
            <w:r>
              <w:rPr>
                <w:sz w:val="22"/>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介入诊疗手术台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left"/>
            </w:pPr>
            <w:r>
              <w:rPr>
                <w:b/>
                <w:sz w:val="21"/>
              </w:rPr>
              <w:t>1.技术参数</w:t>
            </w:r>
          </w:p>
          <w:p>
            <w:pPr>
              <w:jc w:val="left"/>
            </w:pPr>
            <w:r>
              <w:rPr>
                <w:sz w:val="21"/>
              </w:rPr>
              <w:t>1.1.床面板尺寸  2450㎜×465㎜/718㎜×40㎜</w:t>
            </w:r>
          </w:p>
          <w:p>
            <w:pPr>
              <w:jc w:val="left"/>
            </w:pPr>
            <w:r>
              <w:rPr>
                <w:sz w:val="21"/>
              </w:rPr>
              <w:t>1.2.床面距地高度（电动）795～1070㎜</w:t>
            </w:r>
            <w:r>
              <w:rPr>
                <w:sz w:val="21"/>
              </w:rPr>
              <w:t>。</w:t>
            </w:r>
          </w:p>
          <w:p>
            <w:pPr>
              <w:jc w:val="left"/>
            </w:pPr>
            <w:r>
              <w:rPr>
                <w:sz w:val="21"/>
              </w:rPr>
              <w:t>1.3.升降行程（电动）≥275㎜</w:t>
            </w:r>
            <w:r>
              <w:rPr>
                <w:sz w:val="21"/>
              </w:rPr>
              <w:t>。</w:t>
            </w:r>
          </w:p>
          <w:p>
            <w:pPr>
              <w:jc w:val="left"/>
            </w:pPr>
            <w:r>
              <w:rPr>
                <w:sz w:val="21"/>
              </w:rPr>
              <w:t>1.4.床板无金属长度≥1100㎜</w:t>
            </w:r>
            <w:r>
              <w:rPr>
                <w:sz w:val="21"/>
              </w:rPr>
              <w:t>。</w:t>
            </w:r>
          </w:p>
          <w:p>
            <w:pPr>
              <w:jc w:val="left"/>
            </w:pPr>
            <w:r>
              <w:rPr>
                <w:sz w:val="21"/>
              </w:rPr>
              <w:t>1.5.床板可透视长度≥1450㎜</w:t>
            </w:r>
            <w:r>
              <w:rPr>
                <w:sz w:val="21"/>
              </w:rPr>
              <w:t>。</w:t>
            </w:r>
          </w:p>
          <w:p>
            <w:pPr>
              <w:jc w:val="left"/>
            </w:pPr>
            <w:r>
              <w:rPr>
                <w:sz w:val="21"/>
              </w:rPr>
              <w:t>1.6.床板可透视宽度≥465㎜</w:t>
            </w:r>
            <w:r>
              <w:rPr>
                <w:sz w:val="21"/>
              </w:rPr>
              <w:t>。</w:t>
            </w:r>
          </w:p>
          <w:p>
            <w:pPr>
              <w:jc w:val="left"/>
            </w:pPr>
            <w:r>
              <w:rPr>
                <w:sz w:val="21"/>
              </w:rPr>
              <w:t>1.7.纵向头部外伸≥1500mm</w:t>
            </w:r>
            <w:r>
              <w:rPr>
                <w:sz w:val="21"/>
              </w:rPr>
              <w:t>。</w:t>
            </w:r>
          </w:p>
          <w:p>
            <w:pPr>
              <w:jc w:val="left"/>
            </w:pPr>
            <w:r>
              <w:rPr>
                <w:sz w:val="21"/>
              </w:rPr>
              <w:t>1.8.纵向足部外伸 ≥810mm</w:t>
            </w:r>
            <w:r>
              <w:rPr>
                <w:sz w:val="21"/>
              </w:rPr>
              <w:t>。</w:t>
            </w:r>
          </w:p>
          <w:p>
            <w:pPr>
              <w:jc w:val="left"/>
            </w:pPr>
            <w:r>
              <w:rPr>
                <w:sz w:val="21"/>
              </w:rPr>
              <w:t>1.9.纵向行程≥820 mm</w:t>
            </w:r>
            <w:r>
              <w:rPr>
                <w:sz w:val="21"/>
              </w:rPr>
              <w:t>。</w:t>
            </w:r>
          </w:p>
          <w:p>
            <w:pPr>
              <w:jc w:val="left"/>
            </w:pPr>
            <w:r>
              <w:rPr>
                <w:sz w:val="21"/>
              </w:rPr>
              <w:t>1.10.横向行程≥220 mm</w:t>
            </w:r>
            <w:r>
              <w:rPr>
                <w:sz w:val="21"/>
              </w:rPr>
              <w:t>。</w:t>
            </w:r>
          </w:p>
          <w:p>
            <w:pPr>
              <w:jc w:val="left"/>
            </w:pPr>
            <w:r>
              <w:rPr>
                <w:sz w:val="21"/>
              </w:rPr>
              <w:t>1.11.负重≥200kg</w:t>
            </w:r>
            <w:r>
              <w:rPr>
                <w:sz w:val="21"/>
              </w:rPr>
              <w:t>。</w:t>
            </w:r>
          </w:p>
          <w:p>
            <w:pPr>
              <w:jc w:val="left"/>
            </w:pPr>
            <w:r>
              <w:rPr>
                <w:b/>
                <w:sz w:val="21"/>
              </w:rPr>
              <w:t>2</w:t>
            </w:r>
            <w:r>
              <w:rPr>
                <w:b/>
                <w:sz w:val="21"/>
              </w:rPr>
              <w:t>.</w:t>
            </w:r>
            <w:r>
              <w:rPr>
                <w:b/>
                <w:sz w:val="21"/>
              </w:rPr>
              <w:t>性能要求：</w:t>
            </w:r>
          </w:p>
          <w:p>
            <w:pPr>
              <w:jc w:val="left"/>
            </w:pPr>
            <w:r>
              <w:rPr>
                <w:sz w:val="21"/>
              </w:rPr>
              <w:t>2</w:t>
            </w:r>
            <w:r>
              <w:rPr>
                <w:sz w:val="21"/>
              </w:rPr>
              <w:t>.1.动力系统：</w:t>
            </w:r>
            <w:r>
              <w:rPr>
                <w:sz w:val="21"/>
              </w:rPr>
              <w:t>要求</w:t>
            </w:r>
            <w:r>
              <w:rPr>
                <w:sz w:val="21"/>
              </w:rPr>
              <w:t>采用微电机齿轮啮合传动（非液压），</w:t>
            </w:r>
            <w:r>
              <w:rPr>
                <w:sz w:val="21"/>
              </w:rPr>
              <w:t>避免</w:t>
            </w:r>
            <w:r>
              <w:rPr>
                <w:sz w:val="21"/>
              </w:rPr>
              <w:t>液压传动易漏油，无需定期添加液压油。</w:t>
            </w:r>
          </w:p>
          <w:p>
            <w:pPr>
              <w:jc w:val="left"/>
            </w:pPr>
            <w:r>
              <w:rPr>
                <w:sz w:val="21"/>
              </w:rPr>
              <w:t>2</w:t>
            </w:r>
            <w:r>
              <w:rPr>
                <w:sz w:val="21"/>
              </w:rPr>
              <w:t>.2.床面板</w:t>
            </w:r>
            <w:r>
              <w:rPr>
                <w:sz w:val="21"/>
              </w:rPr>
              <w:t>要求采用</w:t>
            </w:r>
            <w:r>
              <w:rPr>
                <w:sz w:val="21"/>
              </w:rPr>
              <w:t>碳纤维材料制作，整块成型、无金属。</w:t>
            </w:r>
          </w:p>
          <w:p>
            <w:pPr>
              <w:jc w:val="left"/>
            </w:pPr>
            <w:r>
              <w:rPr>
                <w:sz w:val="21"/>
              </w:rPr>
              <w:t>2</w:t>
            </w:r>
            <w:r>
              <w:rPr>
                <w:sz w:val="21"/>
              </w:rPr>
              <w:t>.3.床板移动控制：床面板升降为电动机械传动，床面板纵向水平移动、横向水平移动为手控浮动操作，</w:t>
            </w:r>
            <w:r>
              <w:rPr>
                <w:sz w:val="21"/>
              </w:rPr>
              <w:t>要求</w:t>
            </w:r>
            <w:r>
              <w:rPr>
                <w:sz w:val="21"/>
              </w:rPr>
              <w:t>操控</w:t>
            </w:r>
            <w:r>
              <w:rPr>
                <w:sz w:val="21"/>
              </w:rPr>
              <w:t>简单</w:t>
            </w:r>
            <w:r>
              <w:rPr>
                <w:sz w:val="21"/>
              </w:rPr>
              <w:t>、定位准确；失电刹车锁定床面。</w:t>
            </w:r>
          </w:p>
          <w:p>
            <w:pPr>
              <w:jc w:val="left"/>
            </w:pPr>
            <w:r>
              <w:rPr>
                <w:sz w:val="21"/>
              </w:rPr>
              <w:t>2</w:t>
            </w:r>
            <w:r>
              <w:rPr>
                <w:sz w:val="21"/>
              </w:rPr>
              <w:t>.4.脚踏刹车控制。</w:t>
            </w:r>
          </w:p>
          <w:p>
            <w:pPr>
              <w:jc w:val="left"/>
            </w:pPr>
            <w:r>
              <w:rPr>
                <w:sz w:val="21"/>
              </w:rPr>
              <w:t>2</w:t>
            </w:r>
            <w:r>
              <w:rPr>
                <w:sz w:val="21"/>
              </w:rPr>
              <w:t>.5.双轮中央控制医用大脚轮，聚氨酯包尼龙，整体注模成型，加强脚轮的耐磨性能</w:t>
            </w:r>
            <w:r>
              <w:rPr>
                <w:sz w:val="21"/>
              </w:rPr>
              <w:t>。</w:t>
            </w:r>
          </w:p>
          <w:p>
            <w:pPr>
              <w:jc w:val="left"/>
            </w:pPr>
            <w:r>
              <w:rPr>
                <w:sz w:val="21"/>
              </w:rPr>
              <w:t>2</w:t>
            </w:r>
            <w:r>
              <w:rPr>
                <w:sz w:val="21"/>
              </w:rPr>
              <w:t>.6.</w:t>
            </w:r>
            <w:r>
              <w:rPr>
                <w:sz w:val="21"/>
              </w:rPr>
              <w:t>要求可</w:t>
            </w:r>
            <w:r>
              <w:rPr>
                <w:sz w:val="21"/>
              </w:rPr>
              <w:t>匹配各品牌的移动式中、小</w:t>
            </w:r>
            <w:r>
              <w:rPr>
                <w:sz w:val="21"/>
              </w:rPr>
              <w:t>C臂，对患者进行全身血管介入、肝脏介入、肿瘤介入、脉管炎介入、痛疼介入等微创手术。</w:t>
            </w:r>
          </w:p>
          <w:p>
            <w:pPr>
              <w:jc w:val="left"/>
            </w:pPr>
            <w:r>
              <w:rPr>
                <w:b/>
                <w:sz w:val="21"/>
              </w:rPr>
              <w:t>3</w:t>
            </w:r>
            <w:r>
              <w:rPr>
                <w:b/>
                <w:sz w:val="21"/>
              </w:rPr>
              <w:t>.配置清单</w:t>
            </w:r>
          </w:p>
          <w:p>
            <w:pPr>
              <w:jc w:val="left"/>
            </w:pPr>
            <w:r>
              <w:rPr>
                <w:sz w:val="21"/>
              </w:rPr>
              <w:t>3</w:t>
            </w:r>
            <w:r>
              <w:rPr>
                <w:sz w:val="21"/>
              </w:rPr>
              <w:t>.1.主机1 套</w:t>
            </w:r>
            <w:r>
              <w:rPr>
                <w:sz w:val="21"/>
              </w:rPr>
              <w:t>。</w:t>
            </w:r>
          </w:p>
          <w:p>
            <w:pPr>
              <w:jc w:val="left"/>
            </w:pPr>
            <w:r>
              <w:rPr>
                <w:sz w:val="21"/>
              </w:rPr>
              <w:t>3</w:t>
            </w:r>
            <w:r>
              <w:rPr>
                <w:sz w:val="21"/>
              </w:rPr>
              <w:t>.2.碳纤维床板1套</w:t>
            </w:r>
            <w:r>
              <w:rPr>
                <w:sz w:val="21"/>
              </w:rPr>
              <w:t>。</w:t>
            </w:r>
            <w:r>
              <w:rPr>
                <w:sz w:val="21"/>
              </w:rPr>
              <w:t xml:space="preserve">   </w:t>
            </w:r>
          </w:p>
          <w:p>
            <w:pPr>
              <w:jc w:val="left"/>
            </w:pPr>
            <w:r>
              <w:rPr>
                <w:sz w:val="21"/>
              </w:rPr>
              <w:t>3</w:t>
            </w:r>
            <w:r>
              <w:rPr>
                <w:sz w:val="21"/>
              </w:rPr>
              <w:t>.3.床垫1套</w:t>
            </w:r>
            <w:r>
              <w:rPr>
                <w:sz w:val="21"/>
              </w:rPr>
              <w:t>。</w:t>
            </w:r>
            <w:r>
              <w:rPr>
                <w:sz w:val="21"/>
              </w:rPr>
              <w:t xml:space="preserve">   </w:t>
            </w:r>
          </w:p>
          <w:p>
            <w:pPr>
              <w:jc w:val="left"/>
            </w:pPr>
            <w:r>
              <w:rPr>
                <w:sz w:val="21"/>
              </w:rPr>
              <w:t>3</w:t>
            </w:r>
            <w:r>
              <w:rPr>
                <w:sz w:val="21"/>
              </w:rPr>
              <w:t>.4.手柄控制器1套</w:t>
            </w:r>
            <w:r>
              <w:rPr>
                <w:sz w:val="21"/>
              </w:rPr>
              <w:t>。</w:t>
            </w:r>
          </w:p>
          <w:p>
            <w:pPr>
              <w:jc w:val="left"/>
            </w:pPr>
            <w:r>
              <w:rPr>
                <w:sz w:val="21"/>
              </w:rPr>
              <w:t>3</w:t>
            </w:r>
            <w:r>
              <w:rPr>
                <w:sz w:val="21"/>
              </w:rPr>
              <w:t>.5.手托板1对</w:t>
            </w:r>
            <w:r>
              <w:rPr>
                <w:sz w:val="21"/>
              </w:rPr>
              <w:t>。</w:t>
            </w:r>
            <w:r>
              <w:rPr>
                <w:sz w:val="21"/>
              </w:rPr>
              <w:t xml:space="preserve">   </w:t>
            </w:r>
          </w:p>
          <w:p>
            <w:pPr>
              <w:jc w:val="both"/>
            </w:pPr>
            <w:r>
              <w:rPr>
                <w:sz w:val="21"/>
              </w:rPr>
              <w:t>3</w:t>
            </w:r>
            <w:r>
              <w:rPr>
                <w:sz w:val="21"/>
              </w:rPr>
              <w:t>.6.输液支架1套</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857号）及《关于进一步放开建设项目专业服务价格的通知》（发改价格〔2015〕299号）标准的80%收取。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移动式C形臂X射线机和介入诊疗手术台)：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采购包1（移动式C形臂X射线机和介入诊疗手术台）：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采购包1（移动式C形臂X射线机和介入诊疗手术台）：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本采购包专门面向中小企业采购</w:t>
            </w:r>
          </w:p>
        </w:tc>
        <w:tc>
          <w:tcPr>
            <w:tcW w:type="dxa" w:w="4238"/>
          </w:tcPr>
          <w:p>
            <w:r>
              <w:rPr/>
              <w:t>1）本项目专门面向中小企业采购； 2）根据附件2《中小企业划型标准规定》以单位上一年度经济数据自行判定是否属于工业的中小微企业，符合中小微类型的方可参与本项目的投标；  3）本项目所采购的货物全部由符合政策要求的中小企业制造，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4）符合条件的供应商其所属行业必须与本项目采购文件中明确的所属行业（行业名称：工业）一致； 5）符合条件的供应商应在投标文件中出具《中小企业声明函》并如实填写，此项将作为资格审查的必要项，如未按要求提供将视为无效投标。</w:t>
            </w:r>
          </w:p>
        </w:tc>
      </w:tr>
    </w:tbl>
    <w:p/>
    <w:p>
      <w:pPr>
        <w:ind w:firstLine="480"/>
      </w:pPr>
      <w:r>
        <w:rPr/>
        <w:t>表二符合性审查表：</w:t>
      </w:r>
    </w:p>
    <w:p>
      <w:pPr>
        <w:ind w:firstLine="480"/>
      </w:pPr>
    </w:p>
    <w:p/>
    <w:p>
      <w:r>
        <w:rPr/>
        <w:t>采购包1（移动式C形臂X射线机和介入诊疗手术台）：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实质性响应要求</w:t>
            </w:r>
          </w:p>
        </w:tc>
        <w:tc>
          <w:tcPr>
            <w:tcW w:type="dxa" w:w="4238"/>
          </w:tcPr>
          <w:p>
            <w:r>
              <w:rPr/>
              <w:t>实质性满足采购需求中的付款方式、报价要求。</w:t>
            </w:r>
          </w:p>
        </w:tc>
      </w:tr>
      <w:tr>
        <w:tc>
          <w:tcPr>
            <w:tcW w:type="dxa" w:w="890"/>
          </w:tcPr>
          <w:p>
            <w:r>
              <w:rPr/>
              <w:t>7</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采购包1(移动式C形臂X射线机和介入诊疗手术台):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商务部分6.0分</w:t>
            </w:r>
          </w:p>
          <w:p>
            <w:r>
              <w:rPr/>
              <w:t>技术部分64.0分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中附表一、附表二的“具体技术(参数)要求”条款的响应情况 (36.0分)</w:t>
            </w:r>
          </w:p>
        </w:tc>
        <w:tc>
          <w:tcPr>
            <w:tcW w:type="dxa" w:w="5076"/>
          </w:tcPr>
          <w:p>
            <w:pPr>
              <w:jc w:val="left"/>
            </w:pPr>
            <w:r>
              <w:rPr/>
              <w:t>考核投标人对招标文件第二章《采购需求》中附表一、附表二的“具体技术(参数)要求（★号条款除外）”中所有条款的响应程度（每条条款最小一级序号均以一项计算）：  1.完全响应技术要求的得36分；  2.本项目“▲”条款参数共12条。按量化指标，评审分数按以下公式进行计算： 优于或完全响应的参数数量/参数总数量*21分=“▲”条款参数得分（得分按四舍五入保留两位小数）；本小项共21分；  3.本项目非“▲”条款参数共97条。按量化指标，评审分数按以下公式进行计算： 优于或完全响应的参数数量/参数总数量*15分=非“▲”条款参数得分（得分按四舍五入保留两位小数）。本小项共15分。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提供的证明材料如果是英文的必须提供有资质的单位翻译成的中文材料，以翻译后的中文材料内容为准。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(8.0分)</w:t>
            </w:r>
            <w:r>
              <w:rPr/>
              <w:t>，（等次分值选择：</w:t>
            </w:r>
            <w:r>
              <w:rPr/>
              <w:t>0.0;</w:t>
            </w:r>
            <w:r>
              <w:rPr/>
              <w:t>2.0;</w:t>
            </w:r>
            <w:r>
              <w:rPr/>
              <w:t>4.0;</w:t>
            </w:r>
            <w:r>
              <w:rPr/>
              <w:t>6.0;</w:t>
            </w:r>
            <w:r>
              <w:rPr/>
              <w:t>8.0;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1.安装、检测、验收、培训计划条理清晰，脉络分明，操作性强，人性化，能体现以人为本、服务至上的售后理念，得8分；  2.安装、检测、验收、培训计划条理较清晰，脉络较分明，操作性较强，能体现以人为本、服务至上的售后理念，得6分；  3.安装、检测、验收、培训计划条理一般，脉络一般，操作性一般，不能体现以人为本、服务至上的售后理念，得4分；  4.安装、检测、验收、培训计划条理模糊，脉络不分明，操作性差，不能体现以人为本、服务至上的售后理念，得2分；  5.未提供相关计划得0分。</w:t>
            </w:r>
          </w:p>
        </w:tc>
      </w:tr>
      <w:tr>
        <w:tc>
          <w:tcPr>
            <w:tcW w:type="dxa" w:w="922"/>
            <w:gridSpan w:val="2"/>
            <w:vMerge/>
          </w:tcPr>
          <w:p/>
        </w:tc>
        <w:tc>
          <w:tcPr>
            <w:tcW w:type="dxa" w:w="2307"/>
          </w:tcPr>
          <w:p>
            <w:pPr>
              <w:jc w:val="left"/>
            </w:pPr>
            <w:r>
              <w:rPr/>
              <w:t>产品的配置、选型及性能 (8.0分)</w:t>
            </w:r>
            <w:r>
              <w:rPr/>
              <w:t>，（等次分值选择：</w:t>
            </w:r>
            <w:r>
              <w:rPr/>
              <w:t>0.0;</w:t>
            </w:r>
            <w:r>
              <w:rPr/>
              <w:t>2.0;</w:t>
            </w:r>
            <w:r>
              <w:rPr/>
              <w:t>4.0;</w:t>
            </w:r>
            <w:r>
              <w:rPr/>
              <w:t>6.0;</w:t>
            </w:r>
            <w:r>
              <w:rPr/>
              <w:t>8.0;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1.所投产品的配置完全满足或优于招标文件要求，选型及性能非常好，完全能满足采购人需求，得8分；  2.所投产品的配置基本满足招标文件要求，选型及性能比较好，比较能满足采购人需求，得6分；  3.所投产品的配置勉强满足招标文件要求，选型及性能一般，勉强能满足采购人需求，得4分；   4.所投产品的配置不能满足招标文件要求，选型及性能不太好，不能满足采购人需求，得2分；  5.未提供得0分。</w:t>
            </w:r>
          </w:p>
        </w:tc>
      </w:tr>
      <w:tr>
        <w:tc>
          <w:tcPr>
            <w:tcW w:type="dxa" w:w="922"/>
            <w:gridSpan w:val="2"/>
            <w:vMerge/>
          </w:tcPr>
          <w:p/>
        </w:tc>
        <w:tc>
          <w:tcPr>
            <w:tcW w:type="dxa" w:w="2307"/>
          </w:tcPr>
          <w:p>
            <w:pPr>
              <w:jc w:val="left"/>
            </w:pPr>
            <w:r>
              <w:rPr/>
              <w:t>服务响应、售后及应急措施方案 (12.0分)</w:t>
            </w:r>
            <w:r>
              <w:rPr/>
              <w:t>，（等次分值选择：</w:t>
            </w:r>
            <w:r>
              <w:rPr/>
              <w:t>0.0;</w:t>
            </w:r>
            <w:r>
              <w:rPr/>
              <w:t>3.0;</w:t>
            </w:r>
            <w:r>
              <w:rPr/>
              <w:t>6.0;</w:t>
            </w:r>
            <w:r>
              <w:rPr/>
              <w:t>9.0;</w:t>
            </w:r>
            <w:r>
              <w:rPr/>
              <w:t>12.0;</w:t>
            </w:r>
            <w:r>
              <w:rPr/>
              <w:t>）</w:t>
            </w:r>
          </w:p>
        </w:tc>
        <w:tc>
          <w:tcPr>
            <w:tcW w:type="dxa" w:w="5076"/>
          </w:tcPr>
          <w:p>
            <w:pPr>
              <w:jc w:val="left"/>
            </w:pPr>
            <w:r>
              <w:rPr/>
              <w:t>评委对各投标人服务响应、售后及应急措施方案（含服务响应时间，保修、维护、服务、技术支持措施计划和承诺，应急方案等）进行评审。（招标文件要求：中标人在接到采购人的故障通知后1小时内响应，12小时内到达现场，48小时内处理完毕。若在48小时内仍未能有效解决，中标人须免费提供相同规格、标准的备用设备予采购人临时使用）。  1.服务响应时间满足或优于招标文件要求；有详细具体可行的保修、维护、服务、技术支持措施计划和承诺，处理问题能力强，售后及保修期内的服务方案优；应急措施方案非常周全、详尽、可行，得12分；  2.服务响应时间满足招标文件要求；有比较详细具体可行的保修、维护、服务、技术支持措施计划和承诺，处理问题能力较强，售后及保修期内的服务方案较好；应急措施方案比较周全、详尽、可行，得9分；  3.服务响应时间满足招标文件要求；保修、维护、服务、技术支持措施计划和承诺可行性一般，售后及保修期内的服务方案一般；应急措施方案可行性一般，得6分；  4.服务响应时间未能满足招标文件要求；保修、维护、服务、技术支持措施计划和承诺不太可行，售后及保修期内的服务方案不够具体；应急措施方案不太可行，得3分；  5.未提供方案得0分。</w:t>
            </w:r>
          </w:p>
        </w:tc>
      </w:tr>
      <w:tr>
        <w:tc>
          <w:tcPr>
            <w:tcW w:type="dxa" w:w="922"/>
            <w:gridSpan w:val="2"/>
            <w:vMerge w:val="restart"/>
          </w:tcPr>
          <w:p>
            <w:pPr>
              <w:jc w:val="center"/>
            </w:pPr>
            <w:r>
              <w:rPr/>
              <w:t>商务部分</w:t>
            </w:r>
          </w:p>
        </w:tc>
        <w:tc>
          <w:tcPr>
            <w:tcW w:type="dxa" w:w="2307"/>
          </w:tcPr>
          <w:p>
            <w:pPr>
              <w:jc w:val="left"/>
            </w:pPr>
            <w:r>
              <w:rPr/>
              <w:t>企业资质  (3.0分)</w:t>
            </w:r>
          </w:p>
        </w:tc>
        <w:tc>
          <w:tcPr>
            <w:tcW w:type="dxa" w:w="5076"/>
          </w:tcPr>
          <w:p>
            <w:pPr>
              <w:jc w:val="left"/>
            </w:pPr>
            <w:r>
              <w:rPr/>
              <w:t>1.质量管理体系认证证书（1分）；  2.环境管理体系认证证书（1分）；  3.职业健康安全管理体系认证证书（1分）。  注：1.投标人或所投设备生产厂家具备以上证书，每提供一个证书得1分，满分3分；   2.提供有效期内的证书复印件并加盖投标人的公章，不按要求提供不得分。</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评标委员会应根据投标人提供的业绩情况进行评审： 2020年1月1日以来（以合同签订日期或以合同签订履行期限为准）投标人承接的同类项目业绩，每提供一个项目业绩得1分，最多得3分。  注：1.按招标文件格式填写《投标人业绩情况表 》并提供加盖投标人公章的业绩合同关键页复印件；  2.关键页内容必须清晰阐明项目名称、双方单位名称、合同签订日期、合同履行主要内容），未按要求提供或所提供资料模糊不清的，得0分。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b/>
          <w:sz w:val="48"/>
        </w:rPr>
        <w:t>广东省政府采购</w:t>
      </w:r>
    </w:p>
    <w:p>
      <w:pPr>
        <w:jc w:val="both"/>
      </w:pPr>
      <w:r>
        <w:rPr>
          <w:b/>
          <w:sz w:val="21"/>
        </w:rPr>
        <w:t xml:space="preserve"> </w:t>
      </w:r>
    </w:p>
    <w:p>
      <w:pPr>
        <w:jc w:val="center"/>
      </w:pPr>
      <w:r>
        <w:rPr>
          <w:b/>
          <w:sz w:val="48"/>
        </w:rPr>
        <w:t>合　同　书</w:t>
      </w:r>
    </w:p>
    <w:p>
      <w:pPr>
        <w:jc w:val="center"/>
      </w:pPr>
    </w:p>
    <w:p>
      <w:pPr>
        <w:jc w:val="center"/>
      </w:pPr>
      <w:r>
        <w:rPr>
          <w:color w:val="000000"/>
          <w:sz w:val="20"/>
        </w:rPr>
        <w:t>(</w:t>
      </w:r>
      <w:r>
        <w:rPr>
          <w:color w:val="000000"/>
          <w:sz w:val="20"/>
        </w:rPr>
        <w:t>本合同范本仅供参考，中标人与采购人可根据双方的具体要求进行修订，双方所签订的合同不得对招标文件确定的事项和中标人投标文件作实质性修改。）</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b/>
          <w:sz w:val="40"/>
        </w:rPr>
        <w:t>中山市人民医院医疗设备采购合同</w:t>
      </w:r>
    </w:p>
    <w:p>
      <w:pPr>
        <w:jc w:val="both"/>
      </w:pPr>
    </w:p>
    <w:p>
      <w:pPr>
        <w:jc w:val="both"/>
      </w:pPr>
      <w:r>
        <w:rPr>
          <w:b/>
          <w:sz w:val="28"/>
        </w:rPr>
        <w:t>甲方：中山市人民医院</w:t>
      </w:r>
      <w:r>
        <w:rPr>
          <w:b/>
          <w:sz w:val="28"/>
        </w:rPr>
        <w:t xml:space="preserve">             </w:t>
      </w:r>
      <w:r>
        <w:rPr>
          <w:b/>
          <w:sz w:val="28"/>
        </w:rPr>
        <w:t>合同签订地：</w:t>
      </w:r>
    </w:p>
    <w:p>
      <w:pPr>
        <w:jc w:val="both"/>
      </w:pPr>
      <w:r>
        <w:rPr>
          <w:b/>
          <w:sz w:val="28"/>
        </w:rPr>
        <w:t>乙方：</w:t>
      </w:r>
      <w:r>
        <w:rPr>
          <w:b/>
          <w:sz w:val="28"/>
        </w:rPr>
        <w:t xml:space="preserve">                                </w:t>
      </w:r>
    </w:p>
    <w:p>
      <w:pPr>
        <w:ind w:firstLine="436"/>
        <w:jc w:val="both"/>
      </w:pPr>
      <w:r>
        <w:rPr>
          <w:sz w:val="22"/>
        </w:rPr>
        <w:t>为保护甲乙双方合法权益，根据</w:t>
      </w:r>
      <w:r>
        <w:rPr>
          <w:sz w:val="22"/>
        </w:rPr>
        <w:t xml:space="preserve">        </w:t>
      </w:r>
      <w:r>
        <w:rPr>
          <w:sz w:val="22"/>
        </w:rPr>
        <w:t>采购项目（项目编号：</w:t>
      </w:r>
      <w:r>
        <w:rPr>
          <w:sz w:val="22"/>
        </w:rPr>
        <w:t xml:space="preserve">         </w:t>
      </w:r>
      <w:r>
        <w:rPr>
          <w:sz w:val="22"/>
        </w:rPr>
        <w:t>）的采购结果，以及《中华人民共和国民法典》、《中华人民共和国政府采购法》等相关法律、法规，以及广东省定点采购相关规定，签订本合同，并共同遵守。</w:t>
      </w:r>
    </w:p>
    <w:p>
      <w:pPr>
        <w:jc w:val="both"/>
      </w:pPr>
    </w:p>
    <w:p>
      <w:pPr>
        <w:jc w:val="both"/>
      </w:pPr>
      <w:r>
        <w:rPr>
          <w:b/>
          <w:sz w:val="24"/>
        </w:rPr>
        <w:t>第一条</w:t>
      </w:r>
      <w:r>
        <w:rPr>
          <w:b/>
          <w:sz w:val="22"/>
        </w:rPr>
        <w:t xml:space="preserve"> </w:t>
      </w:r>
      <w:r>
        <w:rPr>
          <w:b/>
          <w:sz w:val="24"/>
        </w:rPr>
        <w:t>合同设备</w:t>
      </w:r>
    </w:p>
    <w:p>
      <w:pPr>
        <w:ind w:firstLine="436"/>
        <w:jc w:val="both"/>
      </w:pPr>
      <w:r>
        <w:rPr>
          <w:sz w:val="22"/>
        </w:rPr>
        <w:t>乙方负责向甲方供应下表中所列设备及负责安装调试。</w:t>
      </w:r>
    </w:p>
    <w:p>
      <w:pPr>
        <w:ind w:firstLine="200"/>
        <w:jc w:val="both"/>
      </w:pPr>
    </w:p>
    <w:p>
      <w:pPr>
        <w:ind w:firstLine="200"/>
        <w:jc w:val="center"/>
      </w:pPr>
      <w:r>
        <w:rPr>
          <w:b/>
          <w:sz w:val="24"/>
        </w:rPr>
        <w:t>设备采购明细表</w:t>
      </w:r>
    </w:p>
    <w:p>
      <w:pPr>
        <w:ind w:firstLine="200"/>
        <w:jc w:val="center"/>
      </w:pPr>
    </w:p>
    <w:tbl>
      <w:tblPr>
        <w:tblW w:w="0" w:type="auto"/>
        <w:tblBorders>
          <w:top w:val="none" w:color="000000" w:sz="4"/>
          <w:left w:val="none" w:color="000000" w:sz="4"/>
          <w:bottom w:val="none" w:color="000000" w:sz="4"/>
          <w:right w:val="none" w:color="000000" w:sz="4"/>
          <w:insideH w:val="none"/>
          <w:insideV w:val="none"/>
        </w:tblBorders>
      </w:tblPr>
      <w:tblGrid>
        <w:gridCol w:w="1468"/>
        <w:gridCol w:w="1089"/>
        <w:gridCol w:w="862"/>
        <w:gridCol w:w="832"/>
        <w:gridCol w:w="847"/>
        <w:gridCol w:w="1104"/>
        <w:gridCol w:w="1029"/>
        <w:gridCol w:w="1074"/>
      </w:tblGrid>
      <w:tr>
        <w:tc>
          <w:tcPr>
            <w:tcW w:type="dxa" w:w="1468"/>
            <w:tcBorders>
              <w:top w:val="single" w:color="000000" w:sz="4"/>
              <w:left w:val="single" w:color="000000" w:sz="4"/>
              <w:bottom w:val="single" w:color="000000" w:sz="4"/>
              <w:right w:val="single" w:color="000000" w:sz="4"/>
            </w:tcBorders>
            <w:vAlign w:val="top"/>
          </w:tcPr>
          <w:p>
            <w:pPr>
              <w:jc w:val="center"/>
            </w:pPr>
            <w:r>
              <w:rPr>
                <w:sz w:val="21"/>
              </w:rPr>
              <w:t>设备名称</w:t>
            </w:r>
          </w:p>
        </w:tc>
        <w:tc>
          <w:tcPr>
            <w:tcW w:type="dxa" w:w="1089"/>
            <w:tcBorders>
              <w:top w:val="single" w:color="000000" w:sz="4"/>
              <w:left w:val="none" w:color="000000" w:sz="4"/>
              <w:bottom w:val="single" w:color="000000" w:sz="4"/>
              <w:right w:val="single" w:color="000000" w:sz="4"/>
            </w:tcBorders>
            <w:vAlign w:val="top"/>
          </w:tcPr>
          <w:p>
            <w:pPr>
              <w:jc w:val="center"/>
            </w:pPr>
            <w:r>
              <w:rPr>
                <w:sz w:val="21"/>
              </w:rPr>
              <w:t>规格型号</w:t>
            </w:r>
          </w:p>
        </w:tc>
        <w:tc>
          <w:tcPr>
            <w:tcW w:type="dxa" w:w="862"/>
            <w:tcBorders>
              <w:top w:val="single" w:color="000000" w:sz="4"/>
              <w:left w:val="none" w:color="000000" w:sz="4"/>
              <w:bottom w:val="single" w:color="000000" w:sz="4"/>
              <w:right w:val="single" w:color="000000" w:sz="4"/>
            </w:tcBorders>
            <w:vAlign w:val="top"/>
          </w:tcPr>
          <w:p>
            <w:pPr>
              <w:jc w:val="center"/>
            </w:pPr>
            <w:r>
              <w:rPr>
                <w:sz w:val="21"/>
              </w:rPr>
              <w:t>产地</w:t>
            </w:r>
          </w:p>
        </w:tc>
        <w:tc>
          <w:tcPr>
            <w:tcW w:type="dxa" w:w="832"/>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847"/>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104"/>
            <w:tcBorders>
              <w:top w:val="single" w:color="000000" w:sz="4"/>
              <w:left w:val="none" w:color="000000" w:sz="4"/>
              <w:bottom w:val="single" w:color="000000" w:sz="4"/>
              <w:right w:val="single" w:color="000000" w:sz="4"/>
            </w:tcBorders>
            <w:vAlign w:val="top"/>
          </w:tcPr>
          <w:p>
            <w:pPr>
              <w:jc w:val="center"/>
            </w:pPr>
            <w:r>
              <w:rPr>
                <w:sz w:val="21"/>
              </w:rPr>
              <w:t>单价（元）</w:t>
            </w:r>
          </w:p>
        </w:tc>
        <w:tc>
          <w:tcPr>
            <w:tcW w:type="dxa" w:w="1029"/>
            <w:tcBorders>
              <w:top w:val="single" w:color="000000" w:sz="4"/>
              <w:left w:val="none" w:color="000000" w:sz="4"/>
              <w:bottom w:val="single" w:color="000000" w:sz="4"/>
              <w:right w:val="single" w:color="000000" w:sz="4"/>
            </w:tcBorders>
            <w:vAlign w:val="top"/>
          </w:tcPr>
          <w:p>
            <w:r>
              <w:rPr>
                <w:sz w:val="21"/>
              </w:rPr>
              <w:t>总价（元）</w:t>
            </w:r>
          </w:p>
        </w:tc>
        <w:tc>
          <w:tcPr>
            <w:tcW w:type="dxa" w:w="1074"/>
            <w:tcBorders>
              <w:top w:val="single" w:color="000000" w:sz="4"/>
              <w:left w:val="none" w:color="000000" w:sz="4"/>
              <w:bottom w:val="single" w:color="000000" w:sz="4"/>
              <w:right w:val="single" w:color="000000" w:sz="4"/>
            </w:tcBorders>
            <w:vAlign w:val="top"/>
          </w:tcPr>
          <w:p>
            <w:pPr>
              <w:jc w:val="center"/>
            </w:pPr>
            <w:r>
              <w:rPr>
                <w:sz w:val="21"/>
              </w:rPr>
              <w:t>备注</w:t>
            </w:r>
          </w:p>
        </w:tc>
      </w:tr>
      <w:tr>
        <w:tc>
          <w:tcPr>
            <w:tcW w:type="dxa" w:w="1468"/>
            <w:tcBorders>
              <w:top w:val="none" w:color="000000" w:sz="4"/>
              <w:left w:val="single" w:color="000000" w:sz="4"/>
              <w:bottom w:val="single" w:color="000000" w:sz="4"/>
              <w:right w:val="single" w:color="000000" w:sz="4"/>
            </w:tcBorders>
            <w:vAlign w:val="top"/>
          </w:tcPr>
          <w:p>
            <w:pPr>
              <w:jc w:val="both"/>
            </w:pPr>
          </w:p>
        </w:tc>
        <w:tc>
          <w:tcPr>
            <w:tcW w:type="dxa" w:w="1089"/>
            <w:tcBorders>
              <w:top w:val="none" w:color="000000" w:sz="4"/>
              <w:left w:val="none" w:color="000000" w:sz="4"/>
              <w:bottom w:val="single" w:color="000000" w:sz="4"/>
              <w:right w:val="single" w:color="000000" w:sz="4"/>
            </w:tcBorders>
            <w:vAlign w:val="top"/>
          </w:tcPr>
          <w:p>
            <w:pPr>
              <w:ind w:firstLine="200"/>
              <w:jc w:val="both"/>
            </w:pPr>
          </w:p>
        </w:tc>
        <w:tc>
          <w:tcPr>
            <w:tcW w:type="dxa" w:w="862"/>
            <w:tcBorders>
              <w:top w:val="none" w:color="000000" w:sz="4"/>
              <w:left w:val="none" w:color="000000" w:sz="4"/>
              <w:bottom w:val="single" w:color="000000" w:sz="4"/>
              <w:right w:val="single" w:color="000000" w:sz="4"/>
            </w:tcBorders>
            <w:vAlign w:val="top"/>
          </w:tcPr>
          <w:p>
            <w:pPr>
              <w:ind w:firstLine="200"/>
              <w:jc w:val="both"/>
            </w:pPr>
          </w:p>
        </w:tc>
        <w:tc>
          <w:tcPr>
            <w:tcW w:type="dxa" w:w="832"/>
            <w:tcBorders>
              <w:top w:val="none" w:color="000000" w:sz="4"/>
              <w:left w:val="none" w:color="000000" w:sz="4"/>
              <w:bottom w:val="single" w:color="000000" w:sz="4"/>
              <w:right w:val="single" w:color="000000" w:sz="4"/>
            </w:tcBorders>
            <w:vAlign w:val="top"/>
          </w:tcPr>
          <w:p>
            <w:pPr>
              <w:ind w:firstLine="200"/>
              <w:jc w:val="both"/>
            </w:pPr>
          </w:p>
        </w:tc>
        <w:tc>
          <w:tcPr>
            <w:tcW w:type="dxa" w:w="847"/>
            <w:tcBorders>
              <w:top w:val="none" w:color="000000" w:sz="4"/>
              <w:left w:val="none" w:color="000000" w:sz="4"/>
              <w:bottom w:val="single" w:color="000000" w:sz="4"/>
              <w:right w:val="single" w:color="000000" w:sz="4"/>
            </w:tcBorders>
            <w:vAlign w:val="top"/>
          </w:tcPr>
          <w:p>
            <w:pPr>
              <w:ind w:firstLine="200"/>
              <w:jc w:val="both"/>
            </w:pPr>
          </w:p>
        </w:tc>
        <w:tc>
          <w:tcPr>
            <w:tcW w:type="dxa" w:w="1104"/>
            <w:tcBorders>
              <w:top w:val="none" w:color="000000" w:sz="4"/>
              <w:left w:val="none" w:color="000000" w:sz="4"/>
              <w:bottom w:val="single" w:color="000000" w:sz="4"/>
              <w:right w:val="single" w:color="000000" w:sz="4"/>
            </w:tcBorders>
            <w:vAlign w:val="top"/>
          </w:tcPr>
          <w:p>
            <w:pPr>
              <w:ind w:firstLine="200"/>
              <w:jc w:val="both"/>
            </w:pPr>
          </w:p>
        </w:tc>
        <w:tc>
          <w:tcPr>
            <w:tcW w:type="dxa" w:w="1029"/>
            <w:tcBorders>
              <w:top w:val="none" w:color="000000" w:sz="4"/>
              <w:left w:val="none" w:color="000000" w:sz="4"/>
              <w:bottom w:val="single" w:color="000000" w:sz="4"/>
              <w:right w:val="single" w:color="000000" w:sz="4"/>
            </w:tcBorders>
            <w:vAlign w:val="top"/>
          </w:tcPr>
          <w:p>
            <w:pPr>
              <w:ind w:firstLine="200"/>
              <w:jc w:val="both"/>
            </w:pPr>
          </w:p>
        </w:tc>
        <w:tc>
          <w:tcPr>
            <w:tcW w:type="dxa" w:w="1074"/>
            <w:tcBorders>
              <w:top w:val="none" w:color="000000" w:sz="4"/>
              <w:left w:val="none" w:color="000000" w:sz="4"/>
              <w:bottom w:val="single" w:color="000000" w:sz="4"/>
              <w:right w:val="single" w:color="000000" w:sz="4"/>
            </w:tcBorders>
            <w:vAlign w:val="top"/>
          </w:tcPr>
          <w:p>
            <w:pPr>
              <w:ind w:firstLine="200"/>
              <w:jc w:val="both"/>
            </w:pPr>
          </w:p>
        </w:tc>
      </w:tr>
      <w:tr>
        <w:tc>
          <w:tcPr>
            <w:tcW w:type="dxa" w:w="1468"/>
            <w:tcBorders>
              <w:top w:val="none" w:color="000000" w:sz="4"/>
              <w:left w:val="single" w:color="000000" w:sz="4"/>
              <w:bottom w:val="single" w:color="000000" w:sz="4"/>
              <w:right w:val="single" w:color="000000" w:sz="4"/>
            </w:tcBorders>
            <w:vAlign w:val="top"/>
          </w:tcPr>
          <w:p>
            <w:pPr>
              <w:ind w:firstLine="200"/>
              <w:jc w:val="both"/>
            </w:pPr>
            <w:r>
              <w:rPr>
                <w:sz w:val="24"/>
              </w:rPr>
              <w:t>总价（元）</w:t>
            </w:r>
          </w:p>
        </w:tc>
        <w:tc>
          <w:tcPr>
            <w:tcW w:type="dxa" w:w="6837"/>
            <w:gridSpan w:val="7"/>
            <w:tcBorders>
              <w:top w:val="none" w:color="000000" w:sz="4"/>
              <w:left w:val="none" w:color="000000" w:sz="4"/>
              <w:bottom w:val="single" w:color="000000" w:sz="4"/>
              <w:right w:val="single" w:color="000000" w:sz="4"/>
            </w:tcBorders>
            <w:vAlign w:val="top"/>
          </w:tcPr>
          <w:p>
            <w:pPr>
              <w:ind w:firstLine="200"/>
              <w:jc w:val="both"/>
            </w:pPr>
            <w:r>
              <w:rPr>
                <w:sz w:val="24"/>
              </w:rPr>
              <w:t>（大写）人民币</w:t>
            </w:r>
            <w:r>
              <w:rPr>
                <w:sz w:val="22"/>
                <w:u w:val="single"/>
              </w:rPr>
              <w:t xml:space="preserve">                  </w:t>
            </w:r>
            <w:r>
              <w:rPr>
                <w:sz w:val="24"/>
              </w:rPr>
              <w:t>，</w:t>
            </w:r>
          </w:p>
          <w:p>
            <w:pPr>
              <w:ind w:firstLine="200"/>
              <w:jc w:val="both"/>
            </w:pPr>
            <w:r>
              <w:rPr>
                <w:sz w:val="24"/>
              </w:rPr>
              <w:t>（小写）￥</w:t>
            </w:r>
            <w:r>
              <w:rPr>
                <w:sz w:val="22"/>
                <w:u w:val="single"/>
              </w:rPr>
              <w:t xml:space="preserve">                     </w:t>
            </w:r>
          </w:p>
        </w:tc>
      </w:tr>
    </w:tbl>
    <w:p>
      <w:pPr>
        <w:jc w:val="both"/>
      </w:pPr>
    </w:p>
    <w:p>
      <w:pPr>
        <w:jc w:val="both"/>
      </w:pPr>
      <w:r>
        <w:rPr>
          <w:b/>
          <w:sz w:val="24"/>
        </w:rPr>
        <w:t>第二条合同总额</w:t>
      </w:r>
    </w:p>
    <w:p>
      <w:pPr>
        <w:ind w:firstLine="436"/>
        <w:jc w:val="both"/>
      </w:pPr>
      <w:r>
        <w:rPr>
          <w:sz w:val="22"/>
        </w:rPr>
        <w:t>总价为（大写）：人民币</w:t>
      </w:r>
      <w:r>
        <w:rPr>
          <w:sz w:val="22"/>
        </w:rPr>
        <w:t xml:space="preserve">         </w:t>
      </w:r>
      <w:r>
        <w:rPr>
          <w:sz w:val="22"/>
        </w:rPr>
        <w:t>，即（小写）￥</w:t>
      </w:r>
      <w:r>
        <w:rPr>
          <w:sz w:val="22"/>
        </w:rPr>
        <w:t xml:space="preserve">        </w:t>
      </w:r>
      <w:r>
        <w:rPr>
          <w:sz w:val="22"/>
        </w:rPr>
        <w:t>元，该合同总金额是设计、设备制造、包装、仓储、运输、装卸、安装及验收合格之前和保修期内与备品备件发生的所有含税费用，含医院网络连接与调试。本合同执行期间合同总金额不变。</w:t>
      </w:r>
    </w:p>
    <w:p>
      <w:pPr>
        <w:jc w:val="both"/>
      </w:pPr>
    </w:p>
    <w:p>
      <w:pPr>
        <w:jc w:val="both"/>
      </w:pPr>
      <w:r>
        <w:rPr>
          <w:b/>
          <w:sz w:val="24"/>
        </w:rPr>
        <w:t>第三条</w:t>
      </w:r>
      <w:r>
        <w:rPr>
          <w:b/>
          <w:sz w:val="22"/>
        </w:rPr>
        <w:t xml:space="preserve"> </w:t>
      </w:r>
      <w:r>
        <w:rPr>
          <w:b/>
          <w:sz w:val="24"/>
        </w:rPr>
        <w:t>合同组成</w:t>
      </w:r>
    </w:p>
    <w:p>
      <w:pPr>
        <w:ind w:firstLine="436"/>
        <w:jc w:val="both"/>
      </w:pPr>
      <w:r>
        <w:rPr>
          <w:sz w:val="22"/>
        </w:rPr>
        <w:t>详细价格、技术说明及其它有关合同设备的特定信息由合同附件说明。所有附件及本项目的招投标文件、会议纪要、协议等均为本合同不可分割之一部分。</w:t>
      </w:r>
    </w:p>
    <w:p>
      <w:pPr>
        <w:jc w:val="both"/>
      </w:pPr>
    </w:p>
    <w:p>
      <w:pPr>
        <w:jc w:val="both"/>
      </w:pPr>
      <w:r>
        <w:rPr>
          <w:b/>
          <w:sz w:val="24"/>
        </w:rPr>
        <w:t>第四条</w:t>
      </w:r>
      <w:r>
        <w:rPr>
          <w:b/>
          <w:sz w:val="22"/>
        </w:rPr>
        <w:t xml:space="preserve"> </w:t>
      </w:r>
      <w:r>
        <w:rPr>
          <w:b/>
          <w:sz w:val="24"/>
        </w:rPr>
        <w:t>技术要求</w:t>
      </w:r>
    </w:p>
    <w:p>
      <w:pPr>
        <w:ind w:firstLine="436"/>
        <w:jc w:val="both"/>
      </w:pPr>
      <w:r>
        <w:rPr>
          <w:sz w:val="22"/>
        </w:rPr>
        <w:t>乙方所提供设备，必须符合国家有关规范和环保要求及甲方的技术要求，并提供设备的出厂试测验报告。所有货物及服务不得侵犯第三方版权、专利等。</w:t>
      </w:r>
    </w:p>
    <w:p>
      <w:pPr>
        <w:jc w:val="both"/>
      </w:pPr>
    </w:p>
    <w:p>
      <w:pPr>
        <w:jc w:val="both"/>
      </w:pPr>
      <w:r>
        <w:rPr>
          <w:b/>
          <w:sz w:val="24"/>
        </w:rPr>
        <w:t>第五条</w:t>
      </w:r>
      <w:r>
        <w:rPr>
          <w:b/>
          <w:sz w:val="24"/>
        </w:rPr>
        <w:t>合同设备包装、交货、安装、调试及验收</w:t>
      </w:r>
    </w:p>
    <w:p>
      <w:pPr>
        <w:ind w:firstLine="436"/>
        <w:jc w:val="both"/>
      </w:pPr>
      <w:r>
        <w:rPr>
          <w:sz w:val="22"/>
        </w:rPr>
        <w:t>1.合同设备的包装</w:t>
      </w:r>
    </w:p>
    <w:p>
      <w:pPr>
        <w:ind w:firstLine="436"/>
        <w:jc w:val="both"/>
      </w:pPr>
      <w:r>
        <w:rPr>
          <w:sz w:val="22"/>
        </w:rPr>
        <w:t>设备的包装均应有良好的防湿、防锈、防潮、防雨、防腐及防碰撞的措施。凡由于包装不良造成的损失和由此产生的费用均由乙方承担。</w:t>
      </w:r>
    </w:p>
    <w:p>
      <w:pPr>
        <w:ind w:firstLine="436"/>
        <w:jc w:val="both"/>
      </w:pPr>
      <w:r>
        <w:rPr>
          <w:sz w:val="22"/>
        </w:rPr>
        <w:t>2.合同设备的交货</w:t>
      </w:r>
    </w:p>
    <w:p>
      <w:pPr>
        <w:ind w:firstLine="436"/>
        <w:jc w:val="both"/>
      </w:pPr>
      <w:r>
        <w:rPr>
          <w:sz w:val="22"/>
        </w:rPr>
        <w:t>（</w:t>
      </w:r>
      <w:r>
        <w:rPr>
          <w:sz w:val="22"/>
        </w:rPr>
        <w:t>1） 乙方交货时间：签订合同后    天内。</w:t>
      </w:r>
    </w:p>
    <w:p>
      <w:pPr>
        <w:ind w:firstLine="436"/>
        <w:jc w:val="both"/>
      </w:pPr>
      <w:r>
        <w:rPr>
          <w:sz w:val="22"/>
        </w:rPr>
        <w:t>（</w:t>
      </w:r>
      <w:r>
        <w:rPr>
          <w:sz w:val="22"/>
        </w:rPr>
        <w:t>2） 乙方交货地点：甲方指定地点。</w:t>
      </w:r>
    </w:p>
    <w:p>
      <w:pPr>
        <w:ind w:firstLine="436"/>
        <w:jc w:val="both"/>
      </w:pPr>
      <w:r>
        <w:rPr>
          <w:sz w:val="22"/>
        </w:rPr>
        <w:t>3.合同设备的安装调试</w:t>
      </w:r>
    </w:p>
    <w:p>
      <w:pPr>
        <w:ind w:firstLine="436"/>
        <w:jc w:val="both"/>
      </w:pPr>
      <w:r>
        <w:rPr>
          <w:sz w:val="22"/>
        </w:rPr>
        <w:t>（</w:t>
      </w:r>
      <w:r>
        <w:rPr>
          <w:sz w:val="22"/>
        </w:rPr>
        <w:t>1） 乙方负责合同项下的安装调试，一切费用由乙方负责。</w:t>
      </w:r>
    </w:p>
    <w:p>
      <w:pPr>
        <w:ind w:firstLine="436"/>
        <w:jc w:val="both"/>
      </w:pPr>
      <w:r>
        <w:rPr>
          <w:sz w:val="22"/>
        </w:rPr>
        <w:t>（</w:t>
      </w:r>
      <w:r>
        <w:rPr>
          <w:sz w:val="22"/>
        </w:rPr>
        <w:t>2） 乙方安装时须对各安装场地内的其它设备、设施有良好保护措施。</w:t>
      </w:r>
    </w:p>
    <w:p>
      <w:pPr>
        <w:ind w:firstLine="436"/>
        <w:jc w:val="both"/>
      </w:pPr>
      <w:r>
        <w:rPr>
          <w:sz w:val="22"/>
        </w:rPr>
        <w:t>4.设备的验收</w:t>
      </w:r>
    </w:p>
    <w:p>
      <w:pPr>
        <w:ind w:firstLine="436"/>
        <w:jc w:val="both"/>
      </w:pPr>
      <w:r>
        <w:rPr>
          <w:sz w:val="22"/>
        </w:rPr>
        <w:t>（</w:t>
      </w:r>
      <w:r>
        <w:rPr>
          <w:sz w:val="22"/>
        </w:rPr>
        <w:t>1）合同设备安装调试完成并移交所有资料文档后，经临床科室试用   个工作日后验收，验收应在甲乙双方共同参加下进行，验收标准按照国家有关标准。</w:t>
      </w:r>
    </w:p>
    <w:p>
      <w:pPr>
        <w:ind w:firstLine="436"/>
        <w:jc w:val="both"/>
      </w:pPr>
      <w:r>
        <w:rPr>
          <w:sz w:val="22"/>
        </w:rPr>
        <w:t>（</w:t>
      </w:r>
      <w:r>
        <w:rPr>
          <w:sz w:val="22"/>
        </w:rPr>
        <w:t>2） 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36"/>
        <w:jc w:val="both"/>
      </w:pPr>
      <w:r>
        <w:rPr>
          <w:sz w:val="22"/>
        </w:rPr>
        <w:t>（</w:t>
      </w:r>
      <w:r>
        <w:rPr>
          <w:sz w:val="22"/>
        </w:rPr>
        <w:t>3）如果合同设备运输和安装调试过程中因事故造成货物短缺、损坏，乙方应及时安排换装，以保证合同设备安装调试的成功完成。换货的相关费用由乙方承担。</w:t>
      </w:r>
    </w:p>
    <w:p>
      <w:pPr>
        <w:ind w:firstLine="436"/>
        <w:jc w:val="both"/>
      </w:pPr>
      <w:r>
        <w:rPr>
          <w:sz w:val="22"/>
        </w:rPr>
        <w:t>（</w:t>
      </w:r>
      <w:r>
        <w:rPr>
          <w:sz w:val="22"/>
        </w:rPr>
        <w:t>4）国内产品或合资厂的产品必须具备出厂合格证。</w:t>
      </w:r>
    </w:p>
    <w:p>
      <w:pPr>
        <w:ind w:firstLine="436"/>
        <w:jc w:val="both"/>
      </w:pPr>
      <w:r>
        <w:rPr>
          <w:sz w:val="22"/>
        </w:rPr>
        <w:t>（</w:t>
      </w:r>
      <w:r>
        <w:rPr>
          <w:sz w:val="22"/>
        </w:rPr>
        <w:t>5）进口产品必须具备省级（或相当于省级）商检部门的检验证明，及正常报关证明。</w:t>
      </w:r>
    </w:p>
    <w:p>
      <w:pPr>
        <w:ind w:firstLine="436"/>
        <w:jc w:val="both"/>
      </w:pPr>
      <w:r>
        <w:rPr>
          <w:sz w:val="22"/>
        </w:rPr>
        <w:t>5.如乙方没有及时提供相关证件（如商检证等），有可能影响验收进程，所导致的经济损失，由乙方自行承担。</w:t>
      </w:r>
    </w:p>
    <w:p>
      <w:pPr>
        <w:ind w:firstLine="436"/>
        <w:jc w:val="both"/>
      </w:pPr>
      <w:r>
        <w:rPr>
          <w:sz w:val="22"/>
        </w:rPr>
        <w:t>6.乙方保证合同项下提供的设备不侵犯任何第三方的专利、商标或版权。否则，乙方须承担对第三方的专利或版权的侵权责任并承担因此而发生的所有费用。</w:t>
      </w:r>
    </w:p>
    <w:p>
      <w:pPr>
        <w:jc w:val="both"/>
      </w:pPr>
    </w:p>
    <w:p>
      <w:pPr>
        <w:jc w:val="both"/>
      </w:pPr>
      <w:r>
        <w:rPr>
          <w:b/>
          <w:sz w:val="24"/>
        </w:rPr>
        <w:t>第六条</w:t>
      </w:r>
      <w:r>
        <w:rPr>
          <w:b/>
          <w:sz w:val="22"/>
        </w:rPr>
        <w:t xml:space="preserve"> </w:t>
      </w:r>
      <w:r>
        <w:rPr>
          <w:b/>
          <w:sz w:val="24"/>
        </w:rPr>
        <w:t>质量保证及售后服务</w:t>
      </w:r>
    </w:p>
    <w:p>
      <w:pPr>
        <w:ind w:firstLine="436"/>
        <w:jc w:val="both"/>
      </w:pPr>
      <w:r>
        <w:rPr>
          <w:sz w:val="22"/>
        </w:rPr>
        <w:t>1.乙方保证合同设备是全新、未曾使用过的，其质量、规格及技术特征符合合同附件的要求。</w:t>
      </w:r>
    </w:p>
    <w:p>
      <w:pPr>
        <w:ind w:firstLine="436"/>
        <w:jc w:val="both"/>
      </w:pPr>
      <w:r>
        <w:rPr>
          <w:sz w:val="22"/>
        </w:rPr>
        <w:t>2.合同设备保质保用期按生产厂家的标准执行，整机保修期    年，（用户单位验收合格之日起计算）。保证零配件供应不少于十年。有培训计划，至少两名以上医生熟练掌握使用设备为止。保质保用期内非甲方的人为原因而出现产品质量及安装问题，由乙方负责包修、包换或包退，并承担因此而产生的一切费用。乙方应在收到甲方通知后派员到现场维修。</w:t>
      </w:r>
    </w:p>
    <w:p>
      <w:pPr>
        <w:ind w:firstLine="436"/>
        <w:jc w:val="both"/>
      </w:pPr>
      <w:r>
        <w:rPr>
          <w:sz w:val="22"/>
        </w:rPr>
        <w:t>下列情况乙方不负责免费保修：</w:t>
      </w:r>
    </w:p>
    <w:p>
      <w:pPr>
        <w:ind w:firstLine="436"/>
        <w:jc w:val="both"/>
      </w:pPr>
      <w:r>
        <w:rPr>
          <w:sz w:val="22"/>
        </w:rPr>
        <w:t>（</w:t>
      </w:r>
      <w:r>
        <w:rPr>
          <w:sz w:val="22"/>
        </w:rPr>
        <w:t>1）甲方不按照乙方提供的正确使用方法而引致设备故障损坏；</w:t>
      </w:r>
    </w:p>
    <w:p>
      <w:pPr>
        <w:ind w:firstLine="436"/>
        <w:jc w:val="both"/>
      </w:pPr>
      <w:r>
        <w:rPr>
          <w:sz w:val="22"/>
        </w:rPr>
        <w:t>（</w:t>
      </w:r>
      <w:r>
        <w:rPr>
          <w:sz w:val="22"/>
        </w:rPr>
        <w:t>2）擅自改装设备；</w:t>
      </w:r>
    </w:p>
    <w:p>
      <w:pPr>
        <w:ind w:firstLine="436"/>
        <w:jc w:val="both"/>
      </w:pPr>
      <w:r>
        <w:rPr>
          <w:sz w:val="22"/>
        </w:rPr>
        <w:t>（</w:t>
      </w:r>
      <w:r>
        <w:rPr>
          <w:sz w:val="22"/>
        </w:rPr>
        <w:t>3）各种人为因素或天灾等外来因素造成的损坏。</w:t>
      </w:r>
    </w:p>
    <w:p>
      <w:pPr>
        <w:ind w:firstLine="436"/>
        <w:jc w:val="both"/>
      </w:pPr>
      <w:r>
        <w:rPr>
          <w:sz w:val="22"/>
        </w:rPr>
        <w:t>3.货物交付使用后以书面形式承诺维修服务，实行终身维护：</w:t>
      </w:r>
    </w:p>
    <w:p>
      <w:pPr>
        <w:ind w:firstLine="436"/>
        <w:jc w:val="both"/>
      </w:pPr>
      <w:r>
        <w:rPr>
          <w:sz w:val="22"/>
        </w:rPr>
        <w:t>4.所有保修服务方式均为乙方上门保修，即由乙方派员到甲方设备使用现场维修，由此产生的一切费用均由乙方承担。</w:t>
      </w:r>
    </w:p>
    <w:p>
      <w:pPr>
        <w:ind w:firstLine="436"/>
        <w:jc w:val="both"/>
      </w:pPr>
      <w:r>
        <w:rPr>
          <w:sz w:val="22"/>
        </w:rPr>
        <w:t>5.因设备的质量问题而发生争议，由广东省或中山市质检部门进行质量鉴定。设备符合质量标准的，鉴定费用由甲方承担；设备不符合质量标准的，鉴定费用由乙方承担。</w:t>
      </w:r>
    </w:p>
    <w:p>
      <w:pPr>
        <w:ind w:firstLine="436"/>
        <w:jc w:val="both"/>
      </w:pPr>
      <w:r>
        <w:rPr>
          <w:sz w:val="22"/>
        </w:rPr>
        <w:t>6.乙方为甲方提供操作及维护培训，主要内容为设备的基本结构、性能、主要部件的构造及原理，日常使用操作、保养与管理，常见故障的排除，紧急情况的处理等，培训地点主要在设备安装现场或按甲乙双方协商安排。</w:t>
      </w:r>
    </w:p>
    <w:p>
      <w:pPr>
        <w:ind w:firstLine="436"/>
        <w:jc w:val="both"/>
      </w:pPr>
      <w:r>
        <w:rPr>
          <w:sz w:val="22"/>
        </w:rPr>
        <w:t>7.保修期内厂家每年免费回访设备至少</w:t>
      </w:r>
      <w:r>
        <w:rPr>
          <w:sz w:val="22"/>
          <w:u w:val="single"/>
        </w:rPr>
        <w:t xml:space="preserve">    </w:t>
      </w:r>
      <w:r>
        <w:rPr>
          <w:sz w:val="22"/>
        </w:rPr>
        <w:t>次。</w:t>
      </w:r>
    </w:p>
    <w:p>
      <w:pPr>
        <w:ind w:firstLine="436"/>
        <w:jc w:val="both"/>
      </w:pPr>
      <w:r>
        <w:rPr>
          <w:sz w:val="22"/>
        </w:rPr>
        <w:t>8.接到报修电话后，厂家工程师</w:t>
      </w:r>
      <w:r>
        <w:rPr>
          <w:sz w:val="22"/>
          <w:u w:val="single"/>
        </w:rPr>
        <w:t xml:space="preserve">   </w:t>
      </w:r>
      <w:r>
        <w:rPr>
          <w:sz w:val="22"/>
        </w:rPr>
        <w:t>小时内响应，</w:t>
      </w:r>
      <w:r>
        <w:rPr>
          <w:sz w:val="22"/>
          <w:u w:val="single"/>
        </w:rPr>
        <w:t xml:space="preserve">   </w:t>
      </w:r>
      <w:r>
        <w:rPr>
          <w:sz w:val="22"/>
        </w:rPr>
        <w:t>小时到达现场，</w:t>
      </w:r>
      <w:r>
        <w:rPr>
          <w:sz w:val="22"/>
          <w:u w:val="single"/>
        </w:rPr>
        <w:t xml:space="preserve">   </w:t>
      </w:r>
      <w:r>
        <w:rPr>
          <w:sz w:val="22"/>
        </w:rPr>
        <w:t>小时内解决问题。</w:t>
      </w:r>
    </w:p>
    <w:p>
      <w:pPr>
        <w:jc w:val="both"/>
      </w:pPr>
    </w:p>
    <w:p>
      <w:pPr>
        <w:jc w:val="both"/>
      </w:pPr>
      <w:r>
        <w:rPr>
          <w:b/>
          <w:sz w:val="24"/>
        </w:rPr>
        <w:t>第七条</w:t>
      </w:r>
      <w:r>
        <w:rPr>
          <w:b/>
          <w:sz w:val="22"/>
        </w:rPr>
        <w:t xml:space="preserve"> </w:t>
      </w:r>
      <w:r>
        <w:rPr>
          <w:b/>
          <w:sz w:val="24"/>
        </w:rPr>
        <w:t>付款方式</w:t>
      </w:r>
    </w:p>
    <w:p>
      <w:pPr>
        <w:ind w:firstLine="436"/>
        <w:jc w:val="both"/>
      </w:pPr>
      <w:r>
        <w:rPr>
          <w:sz w:val="22"/>
        </w:rPr>
        <w:t>1.合同总额支付方式为一次性付款。</w:t>
      </w:r>
    </w:p>
    <w:p>
      <w:pPr>
        <w:ind w:firstLine="436"/>
        <w:jc w:val="both"/>
      </w:pPr>
      <w:r>
        <w:rPr>
          <w:sz w:val="22"/>
        </w:rPr>
        <w:t>2.合同签订后</w:t>
      </w:r>
      <w:r>
        <w:rPr>
          <w:sz w:val="22"/>
          <w:u w:val="single"/>
        </w:rPr>
        <w:t xml:space="preserve">    </w:t>
      </w:r>
      <w:r>
        <w:rPr>
          <w:sz w:val="22"/>
        </w:rPr>
        <w:t>日内，乙方向甲方交付合同总额的</w:t>
      </w:r>
      <w:r>
        <w:rPr>
          <w:sz w:val="22"/>
          <w:u w:val="single"/>
        </w:rPr>
        <w:t xml:space="preserve">    </w:t>
      </w:r>
      <w:r>
        <w:rPr>
          <w:sz w:val="22"/>
        </w:rPr>
        <w:t>%（即￥</w:t>
      </w:r>
      <w:r>
        <w:rPr>
          <w:sz w:val="22"/>
          <w:u w:val="single"/>
        </w:rPr>
        <w:t xml:space="preserve">     </w:t>
      </w:r>
      <w:r>
        <w:rPr>
          <w:sz w:val="22"/>
        </w:rPr>
        <w:t>）作为履约保证金或提交银行保函。</w:t>
      </w:r>
      <w:r>
        <w:rPr>
          <w:sz w:val="22"/>
        </w:rPr>
        <w:t>履约服务期</w:t>
      </w:r>
      <w:r>
        <w:rPr>
          <w:sz w:val="22"/>
        </w:rPr>
        <w:t>满，经甲方考核合格后，履约保证金不计利息一次性返还。若乙方未按时交付履约保证金或提交银行保函，即视为乙方违约，甲方有权终止合同。</w:t>
      </w:r>
    </w:p>
    <w:p>
      <w:pPr>
        <w:ind w:firstLine="436"/>
        <w:jc w:val="both"/>
      </w:pPr>
      <w:r>
        <w:rPr>
          <w:sz w:val="22"/>
        </w:rPr>
        <w:t xml:space="preserve"> </w:t>
      </w:r>
      <w:r>
        <w:rPr>
          <w:sz w:val="22"/>
        </w:rPr>
        <w:t>3.合同约定的货物送达或服务完成后，经甲方确认验收合格，乙方即出具有效发票给甲方，甲方在收到发票之日起</w:t>
      </w:r>
      <w:r>
        <w:rPr>
          <w:sz w:val="22"/>
          <w:u w:val="single"/>
        </w:rPr>
        <w:t xml:space="preserve">    </w:t>
      </w:r>
      <w:r>
        <w:rPr>
          <w:sz w:val="22"/>
        </w:rPr>
        <w:t>日内，支付合同总额</w:t>
      </w:r>
      <w:r>
        <w:rPr>
          <w:sz w:val="22"/>
        </w:rPr>
        <w:t>100%的合同费用，即￥</w:t>
      </w:r>
      <w:r>
        <w:rPr>
          <w:sz w:val="22"/>
          <w:u w:val="single"/>
        </w:rPr>
        <w:t xml:space="preserve">     </w:t>
      </w:r>
      <w:r>
        <w:rPr>
          <w:sz w:val="22"/>
        </w:rPr>
        <w:t xml:space="preserve"> </w:t>
      </w:r>
      <w:r>
        <w:rPr>
          <w:sz w:val="22"/>
        </w:rPr>
        <w:t>。</w:t>
      </w:r>
    </w:p>
    <w:p>
      <w:pPr>
        <w:ind w:firstLine="436"/>
        <w:jc w:val="both"/>
      </w:pPr>
      <w:r>
        <w:rPr>
          <w:sz w:val="22"/>
        </w:rPr>
        <w:t xml:space="preserve"> </w:t>
      </w:r>
      <w:r>
        <w:rPr>
          <w:sz w:val="22"/>
        </w:rPr>
        <w:t>4. 乙方银行账号信息</w:t>
      </w:r>
    </w:p>
    <w:p>
      <w:pPr>
        <w:ind w:firstLine="880"/>
        <w:jc w:val="both"/>
      </w:pPr>
      <w:r>
        <w:rPr>
          <w:sz w:val="22"/>
        </w:rPr>
        <w:t>开户名称：</w:t>
      </w:r>
      <w:r>
        <w:rPr>
          <w:sz w:val="22"/>
        </w:rPr>
        <w:t xml:space="preserve">          </w:t>
      </w:r>
    </w:p>
    <w:p>
      <w:pPr>
        <w:ind w:firstLine="875"/>
        <w:jc w:val="both"/>
      </w:pPr>
      <w:r>
        <w:rPr>
          <w:sz w:val="22"/>
        </w:rPr>
        <w:t>银行账户：</w:t>
      </w:r>
      <w:r>
        <w:rPr>
          <w:sz w:val="22"/>
        </w:rPr>
        <w:t xml:space="preserve">            </w:t>
      </w:r>
    </w:p>
    <w:p>
      <w:pPr>
        <w:ind w:firstLine="875"/>
        <w:jc w:val="both"/>
      </w:pPr>
      <w:r>
        <w:rPr>
          <w:sz w:val="22"/>
        </w:rPr>
        <w:t>开户银行：</w:t>
      </w:r>
      <w:r>
        <w:rPr>
          <w:sz w:val="22"/>
        </w:rPr>
        <w:t xml:space="preserve">    </w:t>
      </w:r>
      <w:r>
        <w:rPr>
          <w:sz w:val="22"/>
        </w:rPr>
        <w:t xml:space="preserve">        </w:t>
      </w:r>
    </w:p>
    <w:p>
      <w:r>
        <w:rPr>
          <w:sz w:val="22"/>
        </w:rPr>
        <w:t xml:space="preserve"> </w:t>
      </w:r>
    </w:p>
    <w:p>
      <w:pPr>
        <w:jc w:val="both"/>
      </w:pPr>
      <w:r>
        <w:rPr>
          <w:b/>
          <w:sz w:val="24"/>
        </w:rPr>
        <w:t>第八条</w:t>
      </w:r>
      <w:r>
        <w:rPr>
          <w:b/>
          <w:sz w:val="22"/>
        </w:rPr>
        <w:t xml:space="preserve"> </w:t>
      </w:r>
      <w:r>
        <w:rPr>
          <w:b/>
          <w:sz w:val="24"/>
        </w:rPr>
        <w:t>技术服务</w:t>
      </w:r>
    </w:p>
    <w:p>
      <w:pPr>
        <w:ind w:firstLine="436"/>
        <w:jc w:val="both"/>
      </w:pPr>
      <w:r>
        <w:rPr>
          <w:sz w:val="22"/>
        </w:rPr>
        <w:t>1</w:t>
      </w:r>
      <w:r>
        <w:rPr>
          <w:sz w:val="22"/>
        </w:rPr>
        <w:t>.</w:t>
      </w:r>
      <w:r>
        <w:rPr>
          <w:sz w:val="22"/>
        </w:rPr>
        <w:t>乙方应派员到甲方指定地点配合工作。</w:t>
      </w:r>
    </w:p>
    <w:p>
      <w:pPr>
        <w:ind w:firstLine="436"/>
        <w:jc w:val="both"/>
      </w:pPr>
      <w:r>
        <w:rPr>
          <w:sz w:val="22"/>
        </w:rPr>
        <w:t>2</w:t>
      </w:r>
      <w:r>
        <w:rPr>
          <w:sz w:val="22"/>
        </w:rPr>
        <w:t>.</w:t>
      </w:r>
      <w:r>
        <w:rPr>
          <w:sz w:val="22"/>
        </w:rPr>
        <w:t>乙方按甲方提供的合同执行进度计划，再配合甲方及有关单位，以此做好合同执行进度上的配合工作。</w:t>
      </w:r>
    </w:p>
    <w:p>
      <w:pPr>
        <w:jc w:val="both"/>
      </w:pPr>
    </w:p>
    <w:p>
      <w:pPr>
        <w:jc w:val="both"/>
      </w:pPr>
      <w:r>
        <w:rPr>
          <w:b/>
          <w:sz w:val="24"/>
        </w:rPr>
        <w:t>第九条</w:t>
      </w:r>
      <w:r>
        <w:rPr>
          <w:b/>
          <w:sz w:val="22"/>
        </w:rPr>
        <w:t xml:space="preserve"> </w:t>
      </w:r>
      <w:r>
        <w:rPr>
          <w:b/>
          <w:sz w:val="24"/>
        </w:rPr>
        <w:t>不可抗力</w:t>
      </w:r>
    </w:p>
    <w:p>
      <w:pPr>
        <w:ind w:firstLine="436"/>
        <w:jc w:val="both"/>
      </w:pPr>
      <w:r>
        <w:rPr>
          <w:sz w:val="22"/>
        </w:rPr>
        <w:t>1.不可抗力指战争、严重火灾、洪水、台风、地震等或其它双方认定的不可抗力事件。</w:t>
      </w:r>
    </w:p>
    <w:p>
      <w:pPr>
        <w:ind w:firstLine="436"/>
        <w:jc w:val="both"/>
      </w:pPr>
      <w:r>
        <w:rPr>
          <w:sz w:val="22"/>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p>
    <w:p>
      <w:pPr>
        <w:jc w:val="both"/>
      </w:pPr>
      <w:r>
        <w:rPr>
          <w:b/>
          <w:sz w:val="24"/>
        </w:rPr>
        <w:t>第十条</w:t>
      </w:r>
      <w:r>
        <w:rPr>
          <w:b/>
          <w:sz w:val="22"/>
        </w:rPr>
        <w:t xml:space="preserve"> </w:t>
      </w:r>
      <w:r>
        <w:rPr>
          <w:b/>
          <w:sz w:val="24"/>
        </w:rPr>
        <w:t>索赔</w:t>
      </w:r>
    </w:p>
    <w:p>
      <w:pPr>
        <w:ind w:firstLine="436"/>
        <w:jc w:val="both"/>
      </w:pPr>
      <w:r>
        <w:rPr>
          <w:sz w:val="24"/>
        </w:rPr>
        <w:t>1</w:t>
      </w:r>
      <w:r>
        <w:rPr>
          <w:sz w:val="22"/>
        </w:rPr>
        <w:t>.如有异议，甲方有权根据有关政府部门的检验结果向乙方提出索赔。</w:t>
      </w:r>
    </w:p>
    <w:p>
      <w:pPr>
        <w:ind w:firstLine="436"/>
        <w:jc w:val="both"/>
      </w:pPr>
      <w:r>
        <w:rPr>
          <w:sz w:val="22"/>
        </w:rPr>
        <w:t>2.在合同执行期间，如果乙方对甲方提出的索赔和差异负有责任，乙方应按照甲方同意的下列一种或多种方式解决索赔事宜：</w:t>
      </w:r>
    </w:p>
    <w:p>
      <w:pPr>
        <w:ind w:firstLine="436"/>
        <w:jc w:val="both"/>
      </w:pPr>
      <w:r>
        <w:rPr>
          <w:sz w:val="22"/>
        </w:rPr>
        <w:t>（</w:t>
      </w:r>
      <w:r>
        <w:rPr>
          <w:sz w:val="22"/>
        </w:rPr>
        <w:t>1）乙方同意退货，并按合同规定的同种货币将货款退还给甲方，并承担由此发生的一切损失和费用。</w:t>
      </w:r>
    </w:p>
    <w:p>
      <w:pPr>
        <w:ind w:firstLine="436"/>
        <w:jc w:val="both"/>
      </w:pPr>
      <w:r>
        <w:rPr>
          <w:sz w:val="22"/>
        </w:rPr>
        <w:t>（</w:t>
      </w:r>
      <w:r>
        <w:rPr>
          <w:sz w:val="22"/>
        </w:rPr>
        <w:t>2）根据货物低劣程度、损坏程度以及甲方所遭受损失的数额甲乙双方商定降低货物的价格。</w:t>
      </w:r>
    </w:p>
    <w:p>
      <w:pPr>
        <w:ind w:firstLine="436"/>
        <w:jc w:val="both"/>
      </w:pPr>
      <w:r>
        <w:rPr>
          <w:sz w:val="22"/>
        </w:rPr>
        <w:t>（</w:t>
      </w:r>
      <w:r>
        <w:rPr>
          <w:sz w:val="22"/>
        </w:rPr>
        <w:t>3）用符合规格、质量和性能要求的新零件、部件或货物来更换有缺陷的部分或修补缺陷的部分，乙方应承担一切费用和风险并负有甲方所发生的一切直接费用。同时，相应延长质量保证期。</w:t>
      </w:r>
    </w:p>
    <w:p>
      <w:pPr>
        <w:ind w:firstLine="436"/>
        <w:jc w:val="both"/>
      </w:pPr>
      <w:r>
        <w:rPr>
          <w:sz w:val="22"/>
        </w:rPr>
        <w:t>3.如果在甲方发出索赔通知后30天内，乙方未作答复，上述索赔应视为已被乙方接受。甲方将从合同款项中扣回索赔金额。如果这些金额不足以补偿索赔金额，甲方有权向乙方提出不足部分的补偿。</w:t>
      </w:r>
    </w:p>
    <w:p>
      <w:pPr>
        <w:jc w:val="both"/>
      </w:pPr>
    </w:p>
    <w:p>
      <w:pPr>
        <w:jc w:val="both"/>
      </w:pPr>
      <w:r>
        <w:rPr>
          <w:b/>
          <w:sz w:val="24"/>
        </w:rPr>
        <w:t>第十一条</w:t>
      </w:r>
      <w:r>
        <w:rPr>
          <w:b/>
          <w:sz w:val="22"/>
        </w:rPr>
        <w:t xml:space="preserve"> </w:t>
      </w:r>
      <w:r>
        <w:rPr>
          <w:b/>
          <w:sz w:val="24"/>
        </w:rPr>
        <w:t>违约与处罚</w:t>
      </w:r>
    </w:p>
    <w:p>
      <w:pPr>
        <w:ind w:firstLine="436"/>
        <w:jc w:val="both"/>
      </w:pPr>
      <w:r>
        <w:rPr>
          <w:sz w:val="22"/>
        </w:rPr>
        <w:t>1.甲方应依合同规定时间内，向乙方支付货款，每拖延一天乙方可向甲方加收合同总额的    ‰的违约金。</w:t>
      </w:r>
    </w:p>
    <w:p>
      <w:pPr>
        <w:ind w:firstLine="436"/>
        <w:jc w:val="both"/>
      </w:pPr>
      <w:r>
        <w:rPr>
          <w:sz w:val="22"/>
        </w:rPr>
        <w:t>2.乙方未能按时交货，每拖延一天，须向甲方支付合同总额的    ‰的违约金。</w:t>
      </w:r>
    </w:p>
    <w:p>
      <w:pPr>
        <w:ind w:firstLine="436"/>
        <w:jc w:val="both"/>
      </w:pPr>
      <w:r>
        <w:rPr>
          <w:sz w:val="22"/>
        </w:rPr>
        <w:t>3.乙方交付的货物不符合合同规定的，甲方有权拒收，乙方向甲方支付合同总额的10％的违约金。</w:t>
      </w:r>
    </w:p>
    <w:p>
      <w:pPr>
        <w:ind w:firstLine="436"/>
        <w:jc w:val="both"/>
      </w:pPr>
      <w:r>
        <w:rPr>
          <w:sz w:val="22"/>
        </w:rPr>
        <w:t>4.甲方无正当理由拒收货物的，甲方向乙方支付合同总额的10％的违约金。</w:t>
      </w:r>
    </w:p>
    <w:p>
      <w:pPr>
        <w:ind w:firstLine="436"/>
        <w:jc w:val="both"/>
      </w:pPr>
      <w:r>
        <w:rPr>
          <w:sz w:val="22"/>
        </w:rPr>
        <w:t>5. 乙方未能交付货物，则向甲方支付合同总额的10％的违约金。</w:t>
      </w:r>
    </w:p>
    <w:p>
      <w:pPr>
        <w:jc w:val="both"/>
      </w:pPr>
    </w:p>
    <w:p>
      <w:pPr>
        <w:jc w:val="both"/>
      </w:pPr>
      <w:r>
        <w:rPr>
          <w:b/>
          <w:sz w:val="24"/>
        </w:rPr>
        <w:t>第十二条</w:t>
      </w:r>
      <w:r>
        <w:rPr>
          <w:b/>
          <w:sz w:val="24"/>
        </w:rPr>
        <w:t>合同终止</w:t>
      </w:r>
    </w:p>
    <w:p>
      <w:pPr>
        <w:ind w:firstLine="436"/>
        <w:jc w:val="both"/>
      </w:pPr>
      <w:r>
        <w:rPr>
          <w:sz w:val="22"/>
        </w:rPr>
        <w:t>如果一方严重违反合同，并在收到对方违约通知书后在</w:t>
      </w:r>
      <w:r>
        <w:rPr>
          <w:sz w:val="22"/>
        </w:rPr>
        <w:t>30天内仍未能改正违约的，另一方可立即终止本合同。</w:t>
      </w:r>
    </w:p>
    <w:p>
      <w:pPr>
        <w:jc w:val="both"/>
      </w:pPr>
    </w:p>
    <w:p>
      <w:pPr>
        <w:jc w:val="both"/>
      </w:pPr>
      <w:r>
        <w:rPr>
          <w:b/>
          <w:sz w:val="24"/>
        </w:rPr>
        <w:t>第十三条</w:t>
      </w:r>
      <w:r>
        <w:rPr>
          <w:b/>
          <w:sz w:val="22"/>
        </w:rPr>
        <w:t xml:space="preserve"> </w:t>
      </w:r>
      <w:r>
        <w:rPr>
          <w:b/>
          <w:sz w:val="24"/>
        </w:rPr>
        <w:t>法律诉讼</w:t>
      </w:r>
    </w:p>
    <w:p>
      <w:pPr>
        <w:ind w:firstLine="436"/>
        <w:jc w:val="both"/>
      </w:pPr>
      <w:r>
        <w:rPr>
          <w:sz w:val="22"/>
        </w:rPr>
        <w:t>签约双方在履约中发生争执和分歧，双方应通过友好协商解决，若经协商不能达成协议时，则向甲方所在地有管辖权的人民法院提起诉讼。受理期间，双方应继续执行合同其余部分。</w:t>
      </w:r>
    </w:p>
    <w:p>
      <w:pPr>
        <w:jc w:val="both"/>
      </w:pPr>
    </w:p>
    <w:p>
      <w:pPr>
        <w:jc w:val="both"/>
      </w:pPr>
      <w:r>
        <w:rPr>
          <w:b/>
          <w:sz w:val="24"/>
        </w:rPr>
        <w:t>第十四条</w:t>
      </w:r>
      <w:r>
        <w:rPr>
          <w:b/>
          <w:sz w:val="22"/>
        </w:rPr>
        <w:t xml:space="preserve"> </w:t>
      </w:r>
      <w:r>
        <w:rPr>
          <w:b/>
          <w:sz w:val="24"/>
        </w:rPr>
        <w:t>其它</w:t>
      </w:r>
    </w:p>
    <w:p>
      <w:pPr>
        <w:ind w:firstLine="436"/>
        <w:jc w:val="both"/>
      </w:pPr>
      <w:r>
        <w:rPr>
          <w:sz w:val="22"/>
        </w:rPr>
        <w:t>1.本合同正本</w:t>
      </w:r>
      <w:r>
        <w:rPr>
          <w:sz w:val="22"/>
          <w:u w:val="single"/>
        </w:rPr>
        <w:t xml:space="preserve">   </w:t>
      </w:r>
      <w:r>
        <w:rPr>
          <w:sz w:val="22"/>
        </w:rPr>
        <w:t>份，具有同等法律效力，甲方执</w:t>
      </w:r>
      <w:r>
        <w:rPr>
          <w:sz w:val="22"/>
          <w:u w:val="single"/>
        </w:rPr>
        <w:t xml:space="preserve">   </w:t>
      </w:r>
      <w:r>
        <w:rPr>
          <w:sz w:val="22"/>
        </w:rPr>
        <w:t xml:space="preserve"> </w:t>
      </w:r>
      <w:r>
        <w:rPr>
          <w:sz w:val="22"/>
        </w:rPr>
        <w:t>份、乙方执</w:t>
      </w:r>
      <w:r>
        <w:rPr>
          <w:sz w:val="22"/>
          <w:u w:val="single"/>
        </w:rPr>
        <w:t xml:space="preserve">   </w:t>
      </w:r>
      <w:r>
        <w:rPr>
          <w:sz w:val="22"/>
        </w:rPr>
        <w:t xml:space="preserve"> </w:t>
      </w:r>
      <w:r>
        <w:rPr>
          <w:sz w:val="22"/>
        </w:rPr>
        <w:t>份，招标代理机构</w:t>
      </w:r>
      <w:r>
        <w:rPr>
          <w:sz w:val="22"/>
          <w:u w:val="single"/>
        </w:rPr>
        <w:t xml:space="preserve"> </w:t>
      </w:r>
      <w:r>
        <w:rPr>
          <w:sz w:val="22"/>
          <w:u w:val="single"/>
        </w:rPr>
        <w:t>壹</w:t>
      </w:r>
      <w:r>
        <w:rPr>
          <w:sz w:val="22"/>
          <w:u w:val="single"/>
        </w:rPr>
        <w:t xml:space="preserve"> </w:t>
      </w:r>
      <w:r>
        <w:rPr>
          <w:sz w:val="22"/>
        </w:rPr>
        <w:t>份。合同自签字之日起即时生效。</w:t>
      </w:r>
    </w:p>
    <w:p>
      <w:pPr>
        <w:ind w:firstLine="436"/>
        <w:jc w:val="both"/>
      </w:pPr>
      <w:r>
        <w:rPr>
          <w:sz w:val="22"/>
        </w:rPr>
        <w:t>2.本合同未尽事宜，由双方协商处理。</w:t>
      </w:r>
    </w:p>
    <w:p>
      <w:pPr>
        <w:ind w:firstLine="200"/>
      </w:pPr>
    </w:p>
    <w:p>
      <w:r>
        <w:rPr>
          <w:b/>
          <w:sz w:val="24"/>
        </w:rPr>
        <w:t>第十五条</w:t>
      </w:r>
      <w:r>
        <w:rPr>
          <w:b/>
          <w:color w:val="000000"/>
          <w:sz w:val="24"/>
        </w:rPr>
        <w:t>双方需要另外补充说明的其他事项</w:t>
      </w:r>
    </w:p>
    <w:p>
      <w:pPr>
        <w:ind w:firstLine="470"/>
        <w:jc w:val="both"/>
      </w:pPr>
      <w:r>
        <w:rPr>
          <w:sz w:val="22"/>
          <w:u w:val="single"/>
        </w:rPr>
        <w:t xml:space="preserve">                                          </w:t>
      </w:r>
      <w:r>
        <w:rPr>
          <w:sz w:val="24"/>
        </w:rPr>
        <w:t>。</w:t>
      </w:r>
    </w:p>
    <w:p>
      <w:pPr>
        <w:ind w:firstLine="480"/>
      </w:pPr>
    </w:p>
    <w:p>
      <w:pPr>
        <w:ind w:firstLine="480"/>
      </w:pPr>
    </w:p>
    <w:p>
      <w:pPr>
        <w:ind w:firstLine="480"/>
      </w:pPr>
      <w:r>
        <w:rPr>
          <w:sz w:val="24"/>
        </w:rPr>
        <w:t>（以下无正文）</w:t>
      </w:r>
    </w:p>
    <w:p>
      <w:pPr>
        <w:ind w:firstLine="200"/>
      </w:pPr>
    </w:p>
    <w:tbl>
      <w:tblPr>
        <w:tblW w:w="0" w:type="auto"/>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none" w:color="000000" w:sz="4"/>
              <w:left w:val="none" w:color="000000" w:sz="4"/>
              <w:bottom w:val="none" w:color="000000" w:sz="4"/>
              <w:right w:val="none" w:color="000000" w:sz="4"/>
            </w:tcBorders>
            <w:vAlign w:val="top"/>
          </w:tcPr>
          <w:p>
            <w:pPr>
              <w:ind w:firstLine="200"/>
              <w:jc w:val="both"/>
            </w:pPr>
            <w:r>
              <w:rPr>
                <w:sz w:val="22"/>
              </w:rPr>
              <w:t>甲方：</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2"/>
              </w:rPr>
              <w:t>乙方：</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2"/>
              </w:rPr>
              <w:t>法定代表人或授权委托人：</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2"/>
              </w:rPr>
              <w:t>法定代表人或授权委托人：</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2"/>
              </w:rPr>
              <w:t>地址：</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2"/>
              </w:rPr>
              <w:t>地址：</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2"/>
              </w:rPr>
              <w:t>电话：</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2"/>
              </w:rPr>
              <w:t>电话：</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p>
          <w:p>
            <w:pPr>
              <w:ind w:firstLine="200"/>
              <w:jc w:val="both"/>
            </w:pPr>
          </w:p>
        </w:tc>
      </w:tr>
    </w:tbl>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442000-2023-04012</w:t>
      </w:r>
    </w:p>
    <w:p>
      <w:pPr>
        <w:jc w:val="center"/>
      </w:pPr>
      <w:r>
        <w:rPr>
          <w:b/>
          <w:sz w:val="24"/>
        </w:rPr>
        <w:t>采购项目编号：</w:t>
      </w:r>
      <w:r>
        <w:rPr>
          <w:b/>
          <w:sz w:val="24"/>
        </w:rPr>
        <w:t>442000-2023-04012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中山市人民医院移动式C形臂X射线机和介入诊疗手术台采购项目</w:t>
      </w:r>
      <w:r>
        <w:rPr>
          <w:u w:val="single"/>
        </w:rPr>
        <w:t>”</w:t>
      </w:r>
      <w:r>
        <w:rPr/>
        <w:t>项目的招标[采购项目编号为：</w:t>
      </w:r>
      <w:r>
        <w:rPr>
          <w:u w:val="single"/>
        </w:rPr>
        <w:t>442000-2023-04012</w:t>
      </w:r>
      <w:r>
        <w:rPr/>
        <w:t>]，我方愿参与投标。</w:t>
      </w:r>
    </w:p>
    <w:p>
      <w:pPr>
        <w:ind w:firstLine="480"/>
      </w:pPr>
      <w:r>
        <w:rPr/>
        <w:t>我方确认收到贵方提供的</w:t>
      </w:r>
      <w:r>
        <w:rPr>
          <w:u w:val="single"/>
        </w:rPr>
        <w:t>“</w:t>
      </w:r>
      <w:r>
        <w:rPr>
          <w:u w:val="single"/>
        </w:rPr>
        <w:t>中山市人民医院移动式C形臂X射线机和介入诊疗手术台采购项目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中山市人民医院移动式C形臂X射线机和介入诊疗手术台采购项目</w:t>
      </w:r>
      <w:r>
        <w:rPr/>
        <w:t>”项目采购[采购项目编号为</w:t>
      </w:r>
      <w:r>
        <w:rPr/>
        <w:t>442000-2023-04012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中山市人民医院移动式C形臂X射线机和介入诊疗手术台采购项目</w:t>
      </w:r>
      <w:r>
        <w:rPr/>
        <w:t>招标中获中标（采购项目编号：</w:t>
      </w:r>
      <w:r>
        <w:rPr/>
        <w:t>442000-2023-04012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中山市人民医院移动式C形臂X射线机和介入诊疗手术台采购项目</w:t>
      </w:r>
      <w:r>
        <w:rPr/>
        <w:t>”项目（采购项目编号：</w:t>
      </w:r>
      <w:r>
        <w:rPr/>
        <w:t>442000-2023-04012</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