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442000-2022-04769</w:t>
      </w:r>
    </w:p>
    <w:p>
      <w:pPr>
        <w:jc w:val="center"/>
      </w:pPr>
      <w:r>
        <w:rPr>
          <w:b/>
          <w:sz w:val="24"/>
        </w:rPr>
        <w:t>采购项目编号：</w:t>
      </w:r>
      <w:r>
        <w:rPr>
          <w:b/>
          <w:sz w:val="24"/>
        </w:rPr>
        <w:t>442000-2022-04769</w:t>
      </w:r>
    </w:p>
    <w:p>
      <w:pPr>
        <w:jc w:val="center"/>
      </w:pPr>
      <w:r>
        <w:rPr>
          <w:b/>
          <w:sz w:val="24"/>
        </w:rPr>
        <w:t>项目名称：</w:t>
      </w:r>
      <w:r>
        <w:rPr>
          <w:b/>
          <w:sz w:val="24"/>
        </w:rPr>
        <w:t>中山市人民医院输液泵及注射泵采购项目</w:t>
      </w:r>
    </w:p>
    <w:p>
      <w:pPr>
        <w:jc w:val="center"/>
      </w:pPr>
      <w:r>
        <w:rPr>
          <w:b/>
          <w:sz w:val="24"/>
        </w:rPr>
        <w:t>采购人：</w:t>
      </w:r>
      <w:r>
        <w:rPr>
          <w:b/>
          <w:sz w:val="24"/>
        </w:rPr>
        <w:t>中山市人民医院</w:t>
      </w:r>
    </w:p>
    <w:p>
      <w:pPr>
        <w:jc w:val="center"/>
      </w:pPr>
      <w:r>
        <w:rPr>
          <w:b/>
          <w:sz w:val="24"/>
        </w:rPr>
        <w:t>采购代理机构：</w:t>
      </w:r>
      <w:r>
        <w:rPr>
          <w:b/>
          <w:sz w:val="24"/>
        </w:rPr>
        <w:t>智林招标（广东）有限公司</w:t>
      </w:r>
    </w:p>
    <w:p>
      <w:pPr>
        <w:ind w:firstLine="480"/>
      </w:pPr>
    </w:p>
    <w:p>
      <w:r>
        <w:rPr/>
        <w:t xml:space="preserve"> </w:t>
      </w:r>
    </w:p>
    <w:p/>
    <w:p>
      <w:pPr>
        <w:jc w:val="center"/>
      </w:pPr>
      <w:r>
        <w:rPr>
          <w:b/>
          <w:sz w:val="36"/>
        </w:rPr>
        <w:t>第一章投标邀请</w:t>
      </w:r>
    </w:p>
    <w:p>
      <w:pPr>
        <w:ind w:firstLine="480"/>
      </w:pPr>
      <w:r>
        <w:rPr/>
        <w:t>智林招标（广东）有限公司</w:t>
      </w:r>
      <w:r>
        <w:rPr/>
        <w:t>受</w:t>
      </w:r>
      <w:r>
        <w:rPr/>
        <w:t>中山市人民医院</w:t>
      </w:r>
      <w:r>
        <w:rPr/>
        <w:t>的委托，采用</w:t>
      </w:r>
      <w:r>
        <w:rPr/>
        <w:t>公开招标</w:t>
      </w:r>
      <w:r>
        <w:rPr/>
        <w:t>方式组织采购</w:t>
      </w:r>
      <w:r>
        <w:rPr/>
        <w:t>中山市人民医院输液泵及注射泵采购项目</w:t>
      </w:r>
      <w:r>
        <w:rPr/>
        <w:t>。欢迎符合资格条件的国内供应商参加投标。</w:t>
      </w:r>
    </w:p>
    <w:p>
      <w:r>
        <w:rPr>
          <w:b/>
          <w:sz w:val="28"/>
        </w:rPr>
        <w:t>一.项目概述</w:t>
      </w:r>
    </w:p>
    <w:p>
      <w:r>
        <w:rPr>
          <w:b/>
          <w:sz w:val="24"/>
        </w:rPr>
        <w:t>1.名称与编号</w:t>
      </w:r>
    </w:p>
    <w:p>
      <w:pPr>
        <w:ind w:firstLine="480"/>
      </w:pPr>
      <w:r>
        <w:rPr/>
        <w:t>项目名称：</w:t>
      </w:r>
      <w:r>
        <w:rPr/>
        <w:t>中山市人民医院输液泵及注射泵采购项目</w:t>
      </w:r>
    </w:p>
    <w:p>
      <w:pPr>
        <w:ind w:firstLine="480"/>
      </w:pPr>
      <w:r>
        <w:rPr/>
        <w:t>采购计划编号：</w:t>
      </w:r>
      <w:r>
        <w:rPr/>
        <w:t>442000-2022-04769</w:t>
      </w:r>
    </w:p>
    <w:p>
      <w:pPr>
        <w:ind w:firstLine="480"/>
      </w:pPr>
      <w:r>
        <w:rPr/>
        <w:t>采购项目编号：</w:t>
      </w:r>
      <w:r>
        <w:rPr/>
        <w:t>442000-2022-04769</w:t>
      </w:r>
    </w:p>
    <w:p>
      <w:pPr>
        <w:ind w:firstLine="480"/>
      </w:pPr>
      <w:r>
        <w:rPr/>
        <w:t>采购方式：</w:t>
      </w:r>
      <w:r>
        <w:rPr/>
        <w:t>公开招标</w:t>
      </w:r>
    </w:p>
    <w:p>
      <w:pPr>
        <w:ind w:firstLine="480"/>
      </w:pPr>
      <w:r>
        <w:rPr/>
        <w:t>预算金额：</w:t>
      </w:r>
      <w:r>
        <w:rPr/>
        <w:t>2,200,000.00</w:t>
      </w:r>
      <w:r>
        <w:rPr/>
        <w:t>元</w:t>
      </w:r>
    </w:p>
    <w:p>
      <w:r>
        <w:rPr>
          <w:b/>
          <w:sz w:val="24"/>
        </w:rPr>
        <w:t>2.项目内容及需求情况（采购项目技术规格、参数及要求）</w:t>
      </w:r>
    </w:p>
    <w:p>
      <w:pPr>
        <w:ind w:firstLine="480"/>
      </w:pPr>
    </w:p>
    <w:p/>
    <w:p>
      <w:r>
        <w:rPr/>
        <w:t>采购包1(输液泵及注射泵):</w:t>
      </w:r>
    </w:p>
    <w:p>
      <w:r>
        <w:rPr/>
        <w:t>采购包预算金额：2,200,000.00元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病房护理及医院通用设备</w:t>
            </w:r>
          </w:p>
        </w:tc>
        <w:tc>
          <w:tcPr>
            <w:tcW w:type="dxa" w:w="2136"/>
          </w:tcPr>
          <w:p>
            <w:r>
              <w:rPr/>
              <w:t>输液泵</w:t>
            </w:r>
          </w:p>
        </w:tc>
        <w:tc>
          <w:tcPr>
            <w:tcW w:type="dxa" w:w="1187"/>
          </w:tcPr>
          <w:p>
            <w:r>
              <w:rPr/>
              <w:t>79.0000(台)</w:t>
            </w:r>
          </w:p>
        </w:tc>
        <w:tc>
          <w:tcPr>
            <w:tcW w:type="dxa" w:w="1187"/>
          </w:tcPr>
          <w:p>
            <w:r>
              <w:rPr/>
              <w:t>详见第二章</w:t>
            </w:r>
          </w:p>
        </w:tc>
        <w:tc>
          <w:tcPr>
            <w:tcW w:type="dxa" w:w="1187"/>
          </w:tcPr>
          <w:p>
            <w:r>
              <w:rPr/>
              <w:t>否</w:t>
            </w:r>
          </w:p>
        </w:tc>
      </w:tr>
      <w:tr>
        <w:tc>
          <w:tcPr>
            <w:tcW w:type="dxa" w:w="1187"/>
          </w:tcPr>
          <w:p>
            <w:r>
              <w:rPr/>
              <w:t>1-2</w:t>
            </w:r>
          </w:p>
        </w:tc>
        <w:tc>
          <w:tcPr>
            <w:tcW w:type="dxa" w:w="1424"/>
          </w:tcPr>
          <w:p>
            <w:r>
              <w:rPr/>
              <w:t>病房护理及医院通用设备</w:t>
            </w:r>
          </w:p>
        </w:tc>
        <w:tc>
          <w:tcPr>
            <w:tcW w:type="dxa" w:w="2136"/>
          </w:tcPr>
          <w:p>
            <w:r>
              <w:rPr/>
              <w:t>注射泵</w:t>
            </w:r>
          </w:p>
        </w:tc>
        <w:tc>
          <w:tcPr>
            <w:tcW w:type="dxa" w:w="1187"/>
          </w:tcPr>
          <w:p>
            <w:r>
              <w:rPr/>
              <w:t>121.0000(台)</w:t>
            </w:r>
          </w:p>
        </w:tc>
        <w:tc>
          <w:tcPr>
            <w:tcW w:type="dxa" w:w="1187"/>
          </w:tcPr>
          <w:p>
            <w:r>
              <w:rPr/>
              <w:t>详见第二章</w:t>
            </w:r>
          </w:p>
        </w:tc>
        <w:tc>
          <w:tcPr>
            <w:tcW w:type="dxa" w:w="1187"/>
          </w:tcPr>
          <w:p>
            <w:r>
              <w:rPr/>
              <w:t>否</w:t>
            </w:r>
          </w:p>
        </w:tc>
      </w:tr>
    </w:tbl>
    <w:p/>
    <w:p>
      <w:r>
        <w:rPr/>
        <w:t>本采购包不接受联合体投标</w:t>
      </w:r>
    </w:p>
    <w:p/>
    <w:p>
      <w:r>
        <w:rPr/>
        <w:t>合同履行期限：签订合同后30天内完成安装调试。</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2）有依法缴纳税收和社会保障资金的良好记录：提供投标截止日前12个月内任意1个月依法缴纳税收和社会保障资金的相关材料。 如依法免税或不需要缴纳社会保障资金的， 提供相应证明材料。</w:t>
      </w:r>
    </w:p>
    <w:p/>
    <w:p>
      <w:r>
        <w:rPr/>
        <w:t>3）具有良好的商业信誉和健全的财务会计制度：供应商必须具有良好的商业信誉和健全的财务会计制度（提供2020年度或2021年度财务状况报告或投标截止日前12个月内任意1个月的财务报表复印件，财务报表须包含资产负债表、利润表或 银行出具的资信证明材料复印件） 。</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采购包1（输液泵及注射泵）：</w:t>
      </w:r>
      <w:r>
        <w:rPr/>
        <w:t>本项目不属于专门面向中小微企业项目。</w:t>
      </w:r>
    </w:p>
    <w:p/>
    <w:p>
      <w:r>
        <w:rPr>
          <w:b/>
          <w:sz w:val="24"/>
        </w:rPr>
        <w:t>3.本项目特定的资格要求：</w:t>
      </w:r>
    </w:p>
    <w:p>
      <w:pPr>
        <w:ind w:firstLine="480"/>
      </w:pPr>
    </w:p>
    <w:p/>
    <w:p>
      <w:r>
        <w:rPr/>
        <w:t>采购包1（输液泵及注射泵）：</w:t>
      </w:r>
    </w:p>
    <w:p/>
    <w:p>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供应商须具有其中一项有效的许可证明：《医疗器械生产许可证》、《医疗器械生产备案证》、《医疗器械经营许可证》、《医疗器械经营备案证》、《食品药品经营许可证》（提供相应证明文件复印件并加盖投标人公章）。</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中山市政府采购网(http://120.234.108.5:8088/zfcgback/），广东省公共资源交易平台 （https://www.gdzwfw.gov.cn/ggzy-portal/index.html#/442000/index），智林招标（广东）有限公司官网（ http://www.智林招标.com/)。</w:t>
      </w:r>
    </w:p>
    <w:p>
      <w:r>
        <w:rPr>
          <w:b/>
          <w:sz w:val="28"/>
        </w:rPr>
        <w:t>六.本项目联系方式：</w:t>
      </w:r>
    </w:p>
    <w:p>
      <w:r>
        <w:rPr>
          <w:b/>
          <w:sz w:val="24"/>
        </w:rPr>
        <w:t>1.采购人信息</w:t>
      </w:r>
    </w:p>
    <w:p>
      <w:pPr>
        <w:ind w:firstLine="480"/>
      </w:pPr>
      <w:r>
        <w:rPr/>
        <w:t>名称：</w:t>
      </w:r>
      <w:r>
        <w:rPr/>
        <w:t>中山市人民医院</w:t>
      </w:r>
    </w:p>
    <w:p>
      <w:pPr>
        <w:ind w:firstLine="480"/>
      </w:pPr>
      <w:r>
        <w:rPr/>
        <w:t>地址：</w:t>
      </w:r>
      <w:r>
        <w:rPr/>
        <w:t>广东省中山市孙文东路2号</w:t>
      </w:r>
    </w:p>
    <w:p>
      <w:pPr>
        <w:ind w:firstLine="480"/>
      </w:pPr>
      <w:r>
        <w:rPr/>
        <w:t>联系方式：</w:t>
      </w:r>
      <w:r>
        <w:rPr/>
        <w:t>0760-88824241</w:t>
      </w:r>
    </w:p>
    <w:p>
      <w:r>
        <w:rPr>
          <w:b/>
          <w:sz w:val="24"/>
        </w:rPr>
        <w:t>2.采购代理机构信息</w:t>
      </w:r>
    </w:p>
    <w:p>
      <w:pPr>
        <w:ind w:firstLine="480"/>
      </w:pPr>
      <w:r>
        <w:rPr/>
        <w:t>名称：</w:t>
      </w:r>
      <w:r>
        <w:rPr/>
        <w:t>智林招标（广东）有限公司</w:t>
      </w:r>
    </w:p>
    <w:p>
      <w:pPr>
        <w:ind w:firstLine="480"/>
      </w:pPr>
      <w:r>
        <w:rPr/>
        <w:t>地址：</w:t>
      </w:r>
      <w:r>
        <w:rPr/>
        <w:t>广东省中山市东区街道中山五路82号紫岭国际二期2座513房之一</w:t>
      </w:r>
    </w:p>
    <w:p>
      <w:pPr>
        <w:ind w:firstLine="480"/>
      </w:pPr>
      <w:r>
        <w:rPr/>
        <w:t>联系方式：</w:t>
      </w:r>
      <w:r>
        <w:rPr/>
        <w:t>0760-88889687</w:t>
      </w:r>
    </w:p>
    <w:p>
      <w:r>
        <w:rPr>
          <w:b/>
          <w:sz w:val="24"/>
        </w:rPr>
        <w:t>3.项目联系方式</w:t>
      </w:r>
    </w:p>
    <w:p>
      <w:pPr>
        <w:ind w:firstLine="480"/>
      </w:pPr>
      <w:r>
        <w:rPr/>
        <w:t>项目联系人：</w:t>
      </w:r>
      <w:r>
        <w:rPr/>
        <w:t>刘晓婷</w:t>
      </w:r>
    </w:p>
    <w:p>
      <w:pPr>
        <w:ind w:firstLine="480"/>
      </w:pPr>
      <w:r>
        <w:rPr/>
        <w:t>电话：</w:t>
      </w:r>
      <w:r>
        <w:rPr/>
        <w:t>0760-88889687</w:t>
      </w:r>
    </w:p>
    <w:p>
      <w:r>
        <w:rPr>
          <w:b/>
          <w:sz w:val="24"/>
        </w:rPr>
        <w:t>4.技术支持联系方式</w:t>
      </w:r>
    </w:p>
    <w:p>
      <w:pPr>
        <w:ind w:firstLine="480"/>
      </w:pPr>
      <w:r>
        <w:rPr/>
        <w:t>云平台联系方式：400-183-2999</w:t>
      </w:r>
    </w:p>
    <w:p>
      <w:pPr>
        <w:ind w:firstLine="480"/>
      </w:pPr>
      <w:r>
        <w:rPr/>
        <w:t>数字证书CA技术服务热线：400-887-6133</w:t>
      </w:r>
    </w:p>
    <w:p>
      <w:r>
        <w:rPr/>
        <w:t>采购代理机构：</w:t>
      </w:r>
      <w:r>
        <w:rPr/>
        <w:t>智林招标（广东）有限公司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r>
        <w:rPr>
          <w:sz w:val="21"/>
        </w:rPr>
        <w:t>1.</w:t>
      </w:r>
      <w:r>
        <w:rPr>
          <w:sz w:val="21"/>
        </w:rPr>
        <w:t>项目名称：中山市人民医院输液泵及注射泵采购项目</w:t>
      </w:r>
    </w:p>
    <w:p>
      <w:pPr>
        <w:jc w:val="both"/>
      </w:pPr>
      <w:r>
        <w:rPr>
          <w:sz w:val="21"/>
        </w:rPr>
        <w:t>2.</w:t>
      </w:r>
      <w:r>
        <w:rPr>
          <w:sz w:val="21"/>
        </w:rPr>
        <w:t>采购计划编号：</w:t>
      </w:r>
      <w:r>
        <w:rPr>
          <w:sz w:val="21"/>
        </w:rPr>
        <w:t>442000-2022-04769</w:t>
      </w:r>
    </w:p>
    <w:p>
      <w:pPr>
        <w:jc w:val="both"/>
      </w:pPr>
      <w:r>
        <w:rPr>
          <w:sz w:val="21"/>
        </w:rPr>
        <w:t>3.</w:t>
      </w:r>
      <w:r>
        <w:rPr>
          <w:sz w:val="21"/>
        </w:rPr>
        <w:t>采购项目编号：</w:t>
      </w:r>
      <w:r>
        <w:rPr>
          <w:sz w:val="21"/>
        </w:rPr>
        <w:t>442000-2022-04769</w:t>
      </w:r>
    </w:p>
    <w:p>
      <w:pPr>
        <w:jc w:val="both"/>
      </w:pPr>
      <w:r>
        <w:rPr>
          <w:sz w:val="21"/>
        </w:rPr>
        <w:t>4.</w:t>
      </w:r>
      <w:r>
        <w:rPr>
          <w:sz w:val="21"/>
        </w:rPr>
        <w:t>采购方式： 公开招标</w:t>
      </w:r>
    </w:p>
    <w:p>
      <w:pPr>
        <w:jc w:val="both"/>
      </w:pPr>
      <w:r>
        <w:rPr>
          <w:sz w:val="21"/>
        </w:rPr>
        <w:t>5.</w:t>
      </w:r>
      <w:r>
        <w:rPr>
          <w:sz w:val="21"/>
        </w:rPr>
        <w:t>预算金额：</w:t>
      </w:r>
      <w:r>
        <w:rPr>
          <w:sz w:val="21"/>
        </w:rPr>
        <w:t>2200000.00</w:t>
      </w:r>
      <w:r>
        <w:rPr>
          <w:sz w:val="21"/>
        </w:rPr>
        <w:t>元</w:t>
      </w:r>
    </w:p>
    <w:p>
      <w:pPr>
        <w:jc w:val="both"/>
      </w:pPr>
      <w:r>
        <w:rPr>
          <w:sz w:val="21"/>
        </w:rPr>
        <w:t>6.</w:t>
      </w:r>
      <w:r>
        <w:rPr>
          <w:sz w:val="21"/>
        </w:rPr>
        <w:t>投标上限价：</w:t>
      </w:r>
      <w:r>
        <w:rPr>
          <w:sz w:val="21"/>
        </w:rPr>
        <w:t>2200000.00</w:t>
      </w:r>
      <w:r>
        <w:rPr>
          <w:sz w:val="21"/>
        </w:rPr>
        <w:t>元</w:t>
      </w:r>
    </w:p>
    <w:p>
      <w:pPr>
        <w:jc w:val="both"/>
      </w:pPr>
      <w:r>
        <w:rPr>
          <w:sz w:val="21"/>
        </w:rPr>
        <w:t>7.</w:t>
      </w:r>
      <w:r>
        <w:rPr>
          <w:sz w:val="21"/>
        </w:rPr>
        <w:t>本项目不属于专门面向中小微企业项目。</w:t>
      </w:r>
    </w:p>
    <w:p>
      <w:pPr>
        <w:jc w:val="both"/>
      </w:pPr>
      <w:r>
        <w:rPr>
          <w:sz w:val="21"/>
        </w:rPr>
        <w:t>8.</w:t>
      </w:r>
      <w:r>
        <w:rPr>
          <w:sz w:val="21"/>
        </w:rPr>
        <w:t>采购标的对应的中小企业划分标准所属行业为：工业</w:t>
      </w:r>
    </w:p>
    <w:p>
      <w:pPr>
        <w:jc w:val="both"/>
      </w:pPr>
      <w:r>
        <w:rPr>
          <w:sz w:val="21"/>
        </w:rPr>
        <w:t>9.</w:t>
      </w:r>
      <w:r>
        <w:rPr>
          <w:sz w:val="21"/>
        </w:rPr>
        <w:t>本采购包不接受联合体投标。</w:t>
      </w:r>
    </w:p>
    <w:p>
      <w:pPr>
        <w:jc w:val="both"/>
      </w:pPr>
      <w:r>
        <w:rPr>
          <w:sz w:val="21"/>
        </w:rPr>
        <w:t>10.</w:t>
      </w:r>
      <w:r>
        <w:rPr>
          <w:sz w:val="21"/>
        </w:rPr>
        <w:t>合同履行期限：签订合同后</w:t>
      </w:r>
      <w:r>
        <w:rPr>
          <w:sz w:val="21"/>
        </w:rPr>
        <w:t>30</w:t>
      </w:r>
      <w:r>
        <w:rPr>
          <w:sz w:val="21"/>
        </w:rPr>
        <w:t>天内完成安装调试。</w:t>
      </w:r>
    </w:p>
    <w:p>
      <w:pPr>
        <w:jc w:val="both"/>
      </w:pPr>
      <w:r>
        <w:rPr>
          <w:b/>
          <w:sz w:val="21"/>
        </w:rPr>
        <w:t>11.</w:t>
      </w:r>
      <w:r>
        <w:rPr>
          <w:b/>
          <w:sz w:val="21"/>
        </w:rPr>
        <w:t>招标文件中凡有“★”标识的内容条款为关键条款，投标供应商必须对此作出回答并完全满足这些要求不可以出现任何负偏离，对这些关键条款的任何负偏离将视为无效投标。</w:t>
      </w:r>
    </w:p>
    <w:p>
      <w:pPr>
        <w:jc w:val="both"/>
      </w:pPr>
      <w:r>
        <w:rPr>
          <w:b/>
          <w:sz w:val="21"/>
        </w:rPr>
        <w:t>12.</w:t>
      </w:r>
      <w:r>
        <w:rPr>
          <w:b/>
          <w:sz w:val="21"/>
        </w:rPr>
        <w:t>本项目由中标人负责采购文件对中标人要求的一切事宜及责任。投标报价中不得包含采购文件要求以外的内容，否则，在评标时不予核减；若投标报价有缺漏项的，缺漏项部分的价格视为已包含在投标报价中，中标后不作任何调整，采购人将不再支付任何费用。</w:t>
      </w:r>
    </w:p>
    <w:p>
      <w:pPr>
        <w:jc w:val="both"/>
      </w:pPr>
      <w:r>
        <w:rPr>
          <w:b/>
          <w:sz w:val="21"/>
        </w:rPr>
        <w:t>13.</w:t>
      </w:r>
      <w:r>
        <w:rPr>
          <w:b/>
          <w:sz w:val="21"/>
        </w:rPr>
        <w:t>供应商必须对投标文件所提供的所有技术参数的真实性负责。采购人在验收货物时，有权要求中标人提供所投货物相应的官方有效的技术支持文件，一旦发现供应商有提供虚假材料谋取中标、成交的情况，采购人将上报财政监管部门按照法律法规进行处罚和追责。</w:t>
      </w:r>
    </w:p>
    <w:p/>
    <w:p>
      <w:pPr>
        <w:ind w:firstLine="480"/>
      </w:pPr>
    </w:p>
    <w:p/>
    <w:p>
      <w:r>
        <w:rPr/>
        <w:t>采购包1（输液泵及注射泵）：</w:t>
      </w:r>
    </w:p>
    <w:p>
      <w:r>
        <w:rPr>
          <w:b/>
          <w:sz w:val="24"/>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Pr>
              <w:jc w:val="left"/>
            </w:pPr>
          </w:p>
          <w:p>
            <w:r>
              <w:rPr/>
              <w:t>签订合同后30天内完成安装调试。</w:t>
            </w:r>
          </w:p>
        </w:tc>
      </w:tr>
      <w:tr>
        <w:tc>
          <w:tcPr>
            <w:tcW w:type="dxa" w:w="4153"/>
          </w:tcPr>
          <w:p>
            <w:r>
              <w:rPr/>
              <w:t>标的提供的地点</w:t>
            </w:r>
          </w:p>
        </w:tc>
        <w:tc>
          <w:tcPr>
            <w:tcW w:type="dxa" w:w="4153"/>
          </w:tcPr>
          <w:p>
            <w:pPr>
              <w:jc w:val="left"/>
            </w:pPr>
          </w:p>
          <w:p>
            <w:r>
              <w:rPr/>
              <w:t>中山市人民医院指定地点。</w:t>
            </w:r>
          </w:p>
        </w:tc>
      </w:tr>
      <w:tr>
        <w:tc>
          <w:tcPr>
            <w:tcW w:type="dxa" w:w="4153"/>
          </w:tcPr>
          <w:p>
            <w:r>
              <w:rPr/>
              <w:t>投标有效期</w:t>
            </w:r>
          </w:p>
        </w:tc>
        <w:tc>
          <w:tcPr>
            <w:tcW w:type="dxa" w:w="4153"/>
          </w:tcPr>
          <w:p>
            <w:pPr>
              <w:jc w:val="left"/>
            </w:pPr>
          </w:p>
          <w:p>
            <w:r>
              <w:rPr/>
              <w:t>从提交投标（响应）文件的截止之日起90日历天</w:t>
            </w:r>
          </w:p>
        </w:tc>
      </w:tr>
      <w:tr>
        <w:tc>
          <w:tcPr>
            <w:tcW w:type="dxa" w:w="4153"/>
          </w:tcPr>
          <w:p>
            <w:r>
              <w:rPr/>
              <w:t>付款方式</w:t>
            </w:r>
          </w:p>
        </w:tc>
        <w:tc>
          <w:tcPr>
            <w:tcW w:type="dxa" w:w="4153"/>
          </w:tcPr>
          <w:p>
            <w:pPr>
              <w:jc w:val="left"/>
            </w:pPr>
          </w:p>
          <w:p/>
          <w:p/>
          <w:p>
            <w:r>
              <w:rPr/>
              <w:t>1期：支付比例100%，采购人验收合格收到发票后，30天内支付合同货款总额的100%。</w:t>
            </w:r>
          </w:p>
        </w:tc>
      </w:tr>
      <w:tr>
        <w:tc>
          <w:tcPr>
            <w:tcW w:type="dxa" w:w="4153"/>
          </w:tcPr>
          <w:p>
            <w:r>
              <w:rPr/>
              <w:t>验收要求</w:t>
            </w:r>
          </w:p>
        </w:tc>
        <w:tc>
          <w:tcPr>
            <w:tcW w:type="dxa" w:w="4153"/>
          </w:tcPr>
          <w:p>
            <w:pPr>
              <w:jc w:val="left"/>
            </w:pPr>
          </w:p>
          <w:p/>
          <w:p/>
          <w:p>
            <w:r>
              <w:rPr/>
              <w:t>1期：合同设备安装调试完成并移交所有资料文档后7个工作日内验收，验收应在双方共同参加下进行，验收标准按照国家有关标准。</w:t>
            </w:r>
          </w:p>
        </w:tc>
      </w:tr>
      <w:tr>
        <w:tc>
          <w:tcPr>
            <w:tcW w:type="dxa" w:w="4153"/>
          </w:tcPr>
          <w:p>
            <w:r>
              <w:rPr/>
              <w:t>履约保证金</w:t>
            </w:r>
          </w:p>
        </w:tc>
        <w:tc>
          <w:tcPr>
            <w:tcW w:type="dxa" w:w="4153"/>
          </w:tcPr>
          <w:p>
            <w:pPr>
              <w:jc w:val="left"/>
            </w:pPr>
          </w:p>
          <w:p/>
          <w:p/>
          <w:p/>
          <w:p>
            <w:r>
              <w:rPr/>
              <w:t>收取比例：5%,说明：采购人在支付货款前需收到中标人合同总额5%的履约保证金或银行保函；质保期满，经考核合格，履约保证金不计利息一次性返还。</w:t>
            </w:r>
          </w:p>
        </w:tc>
      </w:tr>
      <w:tr>
        <w:tc>
          <w:tcPr>
            <w:tcW w:type="dxa" w:w="4153"/>
          </w:tcPr>
          <w:p>
            <w:r>
              <w:rPr/>
              <w:t>其他</w:t>
            </w:r>
          </w:p>
        </w:tc>
        <w:tc>
          <w:tcPr>
            <w:tcW w:type="dxa" w:w="4153"/>
          </w:tcPr>
          <w:p>
            <w:pPr>
              <w:jc w:val="left"/>
            </w:pPr>
          </w:p>
          <w:p/>
          <w:p>
            <w:r>
              <w:rPr/>
              <w:t>1.产品品牌:本项目所投输液泵和注射泵应为同一品牌。</w:t>
            </w:r>
          </w:p>
          <w:p/>
          <w:p>
            <w:r>
              <w:rPr/>
              <w:t>2.报价要求:报价以人民币报价。投标报价应包括硬件、软件对接服务费、技术培训费、安装调试费等杂费，含全额发票及合同实施过程中的应预见或不可预见费用等完成合同规定责任和义务、达到合同目的的一切费用及企业利润。</w:t>
            </w:r>
          </w:p>
          <w:p/>
          <w:p>
            <w:r>
              <w:rPr/>
              <w:t>3.质保期:3.1.设备安装调试验收合格之日起，保修期不少于5年； 3.2.保修期内免费维修。设备发生故障时，中标人在接到采购人的故障通知后2小时内响应，8小时内到达现场，48小时内处理完毕。若在小时内仍未能有效解决，中标人须免费提供同档次的货物予采购人临时使用； 3.3.保修期内厂家每年免费回访设备至少2次。</w:t>
            </w:r>
          </w:p>
          <w:p/>
          <w:p>
            <w:r>
              <w:rPr/>
              <w:t>4.技术服务承诺:4.1.提供技术资料，含使用说明书、图纸等； 4.2.中标人须在广东省珠三角设有（或提供承诺函承诺中标后满足）售后服务点（提供维修的详细地址及工程师联系方式），负责设备的安装调试；  4.3.有操作、维护、维修培训计划，每个设备至少两名以上医务人员熟练掌握使用设备为止； 4.4.保证供应设备的维修与配件。</w:t>
            </w:r>
          </w:p>
        </w:tc>
      </w:tr>
    </w:tbl>
    <w:p>
      <w:r>
        <w:rPr>
          <w:b/>
          <w:sz w:val="24"/>
        </w:rPr>
        <w:t>2.技术标准与要求</w:t>
      </w:r>
    </w:p>
    <w:tbl>
      <w:tblPr>
        <w:tblW w:w="0" w:type="auto"/>
        <w:tblBorders>
          <w:top w:val="single"/>
          <w:left w:val="single"/>
          <w:bottom w:val="single"/>
          <w:right w:val="single"/>
          <w:insideH w:val="single"/>
          <w:insideV w:val="single"/>
        </w:tblBorders>
      </w:tblPr>
      <w:tblGrid>
        <w:gridCol w:w="231"/>
        <w:gridCol w:w="385"/>
        <w:gridCol w:w="1923"/>
        <w:gridCol w:w="1923"/>
        <w:gridCol w:w="385"/>
        <w:gridCol w:w="769"/>
        <w:gridCol w:w="769"/>
        <w:gridCol w:w="769"/>
        <w:gridCol w:w="769"/>
        <w:gridCol w:w="385"/>
      </w:tblGrid>
      <w:tr>
        <w:tc>
          <w:tcPr>
            <w:tcW w:type="dxa" w:w="231"/>
          </w:tcPr>
          <w:p>
            <w:r>
              <w:rPr/>
              <w:t>序号</w:t>
            </w:r>
          </w:p>
        </w:tc>
        <w:tc>
          <w:tcPr>
            <w:tcW w:type="dxa" w:w="385"/>
          </w:tcPr>
          <w:p>
            <w:r>
              <w:rPr/>
              <w:t>核心产品（“△”）</w:t>
            </w:r>
          </w:p>
        </w:tc>
        <w:tc>
          <w:tcPr>
            <w:tcW w:type="dxa" w:w="1923"/>
          </w:tcPr>
          <w:p>
            <w:r>
              <w:rPr/>
              <w:t>品目名称</w:t>
            </w:r>
          </w:p>
        </w:tc>
        <w:tc>
          <w:tcPr>
            <w:tcW w:type="dxa" w:w="1923"/>
          </w:tcPr>
          <w:p>
            <w:r>
              <w:rPr/>
              <w:t>标的名称</w:t>
            </w:r>
          </w:p>
        </w:tc>
        <w:tc>
          <w:tcPr>
            <w:tcW w:type="dxa" w:w="385"/>
          </w:tcPr>
          <w:p>
            <w:r>
              <w:rPr/>
              <w:t>单位</w:t>
            </w:r>
          </w:p>
        </w:tc>
        <w:tc>
          <w:tcPr>
            <w:tcW w:type="dxa" w:w="769"/>
          </w:tcPr>
          <w:p>
            <w:r>
              <w:rPr/>
              <w:t>数量</w:t>
            </w:r>
          </w:p>
        </w:tc>
        <w:tc>
          <w:tcPr>
            <w:tcW w:type="dxa" w:w="769"/>
          </w:tcPr>
          <w:p>
            <w:r>
              <w:rPr/>
              <w:t>分项预算单价（元）</w:t>
            </w:r>
          </w:p>
        </w:tc>
        <w:tc>
          <w:tcPr>
            <w:tcW w:type="dxa" w:w="769"/>
          </w:tcPr>
          <w:p>
            <w:r>
              <w:rPr/>
              <w:t>分项预算总价（元）</w:t>
            </w:r>
          </w:p>
        </w:tc>
        <w:tc>
          <w:tcPr>
            <w:tcW w:type="dxa" w:w="769"/>
          </w:tcPr>
          <w:p>
            <w:r>
              <w:rPr/>
              <w:t>所属行业</w:t>
            </w:r>
          </w:p>
        </w:tc>
        <w:tc>
          <w:tcPr>
            <w:tcW w:type="dxa" w:w="385"/>
          </w:tcPr>
          <w:p>
            <w:r>
              <w:rPr/>
              <w:t>技术要求</w:t>
            </w:r>
          </w:p>
        </w:tc>
      </w:tr>
      <w:tr>
        <w:tc>
          <w:tcPr>
            <w:tcW w:type="dxa" w:w="231"/>
          </w:tcPr>
          <w:p>
            <w:r>
              <w:rPr/>
              <w:t>1</w:t>
            </w:r>
          </w:p>
        </w:tc>
        <w:tc>
          <w:tcPr>
            <w:tcW w:type="dxa" w:w="385"/>
          </w:tcPr>
          <w:p>
            <w:r>
              <w:rPr/>
              <w:t>△</w:t>
            </w:r>
          </w:p>
        </w:tc>
        <w:tc>
          <w:tcPr>
            <w:tcW w:type="dxa" w:w="1923"/>
          </w:tcPr>
          <w:p>
            <w:r>
              <w:rPr/>
              <w:t>病房护理及医院通用设备</w:t>
            </w:r>
          </w:p>
        </w:tc>
        <w:tc>
          <w:tcPr>
            <w:tcW w:type="dxa" w:w="1923"/>
          </w:tcPr>
          <w:p>
            <w:r>
              <w:rPr/>
              <w:t>输液泵</w:t>
            </w:r>
          </w:p>
        </w:tc>
        <w:tc>
          <w:tcPr>
            <w:tcW w:type="dxa" w:w="385"/>
          </w:tcPr>
          <w:p>
            <w:r>
              <w:rPr/>
              <w:t>台</w:t>
            </w:r>
          </w:p>
        </w:tc>
        <w:tc>
          <w:tcPr>
            <w:tcW w:type="dxa" w:w="769"/>
          </w:tcPr>
          <w:p>
            <w:pPr>
              <w:jc w:val="right"/>
            </w:pPr>
            <w:r>
              <w:rPr/>
              <w:t>79.0000</w:t>
            </w:r>
          </w:p>
        </w:tc>
        <w:tc>
          <w:tcPr>
            <w:tcW w:type="dxa" w:w="769"/>
          </w:tcPr>
          <w:p>
            <w:pPr>
              <w:jc w:val="right"/>
            </w:pPr>
            <w:r>
              <w:rPr/>
              <w:t>0.00</w:t>
            </w:r>
          </w:p>
        </w:tc>
        <w:tc>
          <w:tcPr>
            <w:tcW w:type="dxa" w:w="769"/>
          </w:tcPr>
          <w:p>
            <w:pPr>
              <w:jc w:val="right"/>
            </w:pPr>
            <w:r>
              <w:rPr/>
              <w:t>0.00</w:t>
            </w:r>
          </w:p>
        </w:tc>
        <w:tc>
          <w:tcPr>
            <w:tcW w:type="dxa" w:w="769"/>
          </w:tcPr>
          <w:p>
            <w:r>
              <w:rPr/>
              <w:t>工业</w:t>
            </w:r>
          </w:p>
        </w:tc>
        <w:tc>
          <w:tcPr>
            <w:tcW w:type="dxa" w:w="385"/>
          </w:tcPr>
          <w:p>
            <w:r>
              <w:rPr/>
              <w:t>详见附表一</w:t>
            </w:r>
          </w:p>
        </w:tc>
      </w:tr>
      <w:tr>
        <w:tc>
          <w:tcPr>
            <w:tcW w:type="dxa" w:w="231"/>
          </w:tcPr>
          <w:p>
            <w:r>
              <w:rPr/>
              <w:t>2</w:t>
            </w:r>
          </w:p>
        </w:tc>
        <w:tc>
          <w:tcPr>
            <w:tcW w:type="dxa" w:w="385"/>
          </w:tcPr>
          <w:p>
            <w:r>
              <w:rPr/>
              <w:t>△</w:t>
            </w:r>
          </w:p>
        </w:tc>
        <w:tc>
          <w:tcPr>
            <w:tcW w:type="dxa" w:w="1923"/>
          </w:tcPr>
          <w:p>
            <w:r>
              <w:rPr/>
              <w:t>病房护理及医院通用设备</w:t>
            </w:r>
          </w:p>
        </w:tc>
        <w:tc>
          <w:tcPr>
            <w:tcW w:type="dxa" w:w="1923"/>
          </w:tcPr>
          <w:p>
            <w:r>
              <w:rPr/>
              <w:t>注射泵</w:t>
            </w:r>
          </w:p>
        </w:tc>
        <w:tc>
          <w:tcPr>
            <w:tcW w:type="dxa" w:w="385"/>
          </w:tcPr>
          <w:p>
            <w:r>
              <w:rPr/>
              <w:t>台</w:t>
            </w:r>
          </w:p>
        </w:tc>
        <w:tc>
          <w:tcPr>
            <w:tcW w:type="dxa" w:w="769"/>
          </w:tcPr>
          <w:p>
            <w:pPr>
              <w:jc w:val="right"/>
            </w:pPr>
            <w:r>
              <w:rPr/>
              <w:t>121.0000</w:t>
            </w:r>
          </w:p>
        </w:tc>
        <w:tc>
          <w:tcPr>
            <w:tcW w:type="dxa" w:w="769"/>
          </w:tcPr>
          <w:p>
            <w:pPr>
              <w:jc w:val="right"/>
            </w:pPr>
            <w:r>
              <w:rPr/>
              <w:t>0.00</w:t>
            </w:r>
          </w:p>
        </w:tc>
        <w:tc>
          <w:tcPr>
            <w:tcW w:type="dxa" w:w="769"/>
          </w:tcPr>
          <w:p>
            <w:pPr>
              <w:jc w:val="right"/>
            </w:pPr>
            <w:r>
              <w:rPr/>
              <w:t>0.00</w:t>
            </w:r>
          </w:p>
        </w:tc>
        <w:tc>
          <w:tcPr>
            <w:tcW w:type="dxa" w:w="769"/>
          </w:tcPr>
          <w:p>
            <w:r>
              <w:rPr/>
              <w:t>工业</w:t>
            </w:r>
          </w:p>
        </w:tc>
        <w:tc>
          <w:tcPr>
            <w:tcW w:type="dxa" w:w="385"/>
          </w:tcPr>
          <w:p>
            <w:r>
              <w:rPr/>
              <w:t>详见附表二</w:t>
            </w:r>
          </w:p>
        </w:tc>
      </w:tr>
    </w:tbl>
    <w:p>
      <w:r>
        <w:rPr/>
        <w:t>注：若存在多项核心产品，当不同供应商提供的任意一项核心产品的品牌相同，则视同其是所响应核心产品品牌相同供应商。</w:t>
      </w:r>
    </w:p>
    <w:p/>
    <w:p/>
    <w:p>
      <w:r>
        <w:rPr>
          <w:b/>
          <w:sz w:val="24"/>
        </w:rPr>
        <w:t>附表</w:t>
      </w:r>
      <w:r>
        <w:rPr>
          <w:b/>
          <w:sz w:val="24"/>
        </w:rPr>
        <w:t>一</w:t>
      </w:r>
      <w:r>
        <w:rPr>
          <w:b/>
          <w:sz w:val="24"/>
        </w:rPr>
        <w:t>：</w:t>
      </w:r>
      <w:r>
        <w:rPr>
          <w:b/>
          <w:sz w:val="24"/>
        </w:rPr>
        <w:t>输液泵</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r>
              <w:rPr/>
              <w:t>★</w:t>
            </w:r>
          </w:p>
        </w:tc>
        <w:tc>
          <w:tcPr>
            <w:tcW w:type="dxa" w:w="415"/>
          </w:tcPr>
          <w:p>
            <w:r>
              <w:rPr/>
              <w:t>1</w:t>
            </w:r>
          </w:p>
        </w:tc>
        <w:tc>
          <w:tcPr>
            <w:tcW w:type="dxa" w:w="5814"/>
          </w:tcPr>
          <w:p>
            <w:pPr>
              <w:jc w:val="both"/>
            </w:pPr>
            <w:r>
              <w:rPr>
                <w:sz w:val="21"/>
              </w:rPr>
              <w:t>投标人所投设备如属于医疗器械设备，需提供医疗器械注册证或备案证明（提供证明材料复印件加盖公章），所投设备必须是在医疗器械注册证或备案证明有效期内生产的产品。不属于医疗器械设备无须提供。</w:t>
            </w:r>
          </w:p>
        </w:tc>
      </w:tr>
      <w:tr>
        <w:tc>
          <w:tcPr>
            <w:tcW w:type="dxa" w:w="2076"/>
          </w:tcPr>
          <w:p/>
        </w:tc>
        <w:tc>
          <w:tcPr>
            <w:tcW w:type="dxa" w:w="415"/>
          </w:tcPr>
          <w:p>
            <w:r>
              <w:rPr/>
              <w:t>2</w:t>
            </w:r>
          </w:p>
        </w:tc>
        <w:tc>
          <w:tcPr>
            <w:tcW w:type="dxa" w:w="5814"/>
          </w:tcPr>
          <w:p>
            <w:pPr>
              <w:jc w:val="both"/>
            </w:pPr>
            <w:r>
              <w:rPr>
                <w:b/>
                <w:sz w:val="21"/>
              </w:rPr>
              <w:t>输液泵79台</w:t>
            </w:r>
            <w:r>
              <w:br/>
            </w:r>
            <w:r>
              <w:rPr>
                <w:sz w:val="21"/>
              </w:rPr>
              <w:t>1.</w:t>
            </w:r>
            <w:r>
              <w:rPr>
                <w:sz w:val="21"/>
              </w:rPr>
              <w:t>支持输血功能，并提供证明文件复印件并加盖投标人公章。</w:t>
            </w:r>
          </w:p>
          <w:p>
            <w:pPr>
              <w:jc w:val="both"/>
            </w:pPr>
            <w:r>
              <w:rPr>
                <w:sz w:val="21"/>
              </w:rPr>
              <w:t>2.</w:t>
            </w:r>
            <w:r>
              <w:rPr>
                <w:sz w:val="21"/>
              </w:rPr>
              <w:t>支持临床常用输血管路，无需专用输血管路。</w:t>
            </w:r>
          </w:p>
          <w:p>
            <w:pPr>
              <w:jc w:val="both"/>
            </w:pPr>
            <w:r>
              <w:rPr>
                <w:sz w:val="21"/>
              </w:rPr>
              <w:t>3.</w:t>
            </w:r>
            <w:r>
              <w:rPr>
                <w:sz w:val="21"/>
              </w:rPr>
              <w:t>支持输肠内营养液，并提供证明文件复印件并加盖投标人公章。</w:t>
            </w:r>
          </w:p>
          <w:p>
            <w:pPr>
              <w:jc w:val="both"/>
            </w:pPr>
            <w:r>
              <w:rPr>
                <w:sz w:val="21"/>
              </w:rPr>
              <w:t>4.</w:t>
            </w:r>
            <w:r>
              <w:rPr>
                <w:sz w:val="21"/>
              </w:rPr>
              <w:t>输液精度</w:t>
            </w:r>
            <w:r>
              <w:rPr>
                <w:sz w:val="21"/>
              </w:rPr>
              <w:t>≤±5%</w:t>
            </w:r>
            <w:r>
              <w:rPr>
                <w:sz w:val="21"/>
              </w:rPr>
              <w:t>。</w:t>
            </w:r>
          </w:p>
          <w:p>
            <w:pPr>
              <w:jc w:val="both"/>
            </w:pPr>
            <w:r>
              <w:rPr>
                <w:sz w:val="21"/>
              </w:rPr>
              <w:t>5.</w:t>
            </w:r>
            <w:r>
              <w:rPr>
                <w:sz w:val="21"/>
              </w:rPr>
              <w:t>速率范围：</w:t>
            </w:r>
            <w:r>
              <w:rPr>
                <w:sz w:val="21"/>
              </w:rPr>
              <w:t>0.1-2300ml/h,</w:t>
            </w:r>
            <w:r>
              <w:rPr>
                <w:sz w:val="21"/>
              </w:rPr>
              <w:t>最小步进</w:t>
            </w:r>
            <w:r>
              <w:rPr>
                <w:sz w:val="21"/>
              </w:rPr>
              <w:t>0.01ml/h</w:t>
            </w:r>
            <w:r>
              <w:rPr>
                <w:sz w:val="21"/>
              </w:rPr>
              <w:t>。</w:t>
            </w:r>
          </w:p>
          <w:p>
            <w:pPr>
              <w:jc w:val="both"/>
            </w:pPr>
            <w:r>
              <w:rPr>
                <w:sz w:val="21"/>
              </w:rPr>
              <w:t>6.</w:t>
            </w:r>
            <w:r>
              <w:rPr>
                <w:sz w:val="21"/>
              </w:rPr>
              <w:t>预置输液总量范围：</w:t>
            </w:r>
            <w:r>
              <w:rPr>
                <w:sz w:val="21"/>
              </w:rPr>
              <w:t>0.1-9999.99ml</w:t>
            </w:r>
            <w:r>
              <w:rPr>
                <w:sz w:val="21"/>
              </w:rPr>
              <w:t>。</w:t>
            </w:r>
          </w:p>
          <w:p>
            <w:pPr>
              <w:jc w:val="both"/>
            </w:pPr>
            <w:r>
              <w:rPr>
                <w:sz w:val="21"/>
              </w:rPr>
              <w:t>7.</w:t>
            </w:r>
            <w:r>
              <w:rPr>
                <w:sz w:val="21"/>
              </w:rPr>
              <w:t>快进流速范围：</w:t>
            </w:r>
            <w:r>
              <w:rPr>
                <w:sz w:val="21"/>
              </w:rPr>
              <w:t>0.1-2300ml/h</w:t>
            </w:r>
            <w:r>
              <w:rPr>
                <w:sz w:val="21"/>
              </w:rPr>
              <w:t>，具有自动和手动快进可选。</w:t>
            </w:r>
          </w:p>
          <w:p>
            <w:pPr>
              <w:jc w:val="both"/>
            </w:pPr>
            <w:r>
              <w:rPr>
                <w:sz w:val="21"/>
              </w:rPr>
              <w:t>8.</w:t>
            </w:r>
            <w:r>
              <w:rPr>
                <w:sz w:val="21"/>
              </w:rPr>
              <w:t>可自动统计四种累计量：</w:t>
            </w:r>
            <w:r>
              <w:rPr>
                <w:sz w:val="21"/>
              </w:rPr>
              <w:t>24h</w:t>
            </w:r>
            <w:r>
              <w:rPr>
                <w:sz w:val="21"/>
              </w:rPr>
              <w:t>累计量、最近累计量、自定义时间段累计量、定时间隔累计量。</w:t>
            </w:r>
          </w:p>
          <w:p>
            <w:pPr>
              <w:jc w:val="both"/>
            </w:pPr>
            <w:r>
              <w:rPr>
                <w:sz w:val="21"/>
              </w:rPr>
              <w:t>9.</w:t>
            </w:r>
            <w:r>
              <w:rPr>
                <w:sz w:val="21"/>
              </w:rPr>
              <w:t>全自动止液夹，安装或取出输液管时，无需任何操作，止液夹可自动关闭或打开。</w:t>
            </w:r>
          </w:p>
          <w:p>
            <w:pPr>
              <w:jc w:val="both"/>
            </w:pPr>
            <w:r>
              <w:rPr>
                <w:sz w:val="21"/>
              </w:rPr>
              <w:t>10.</w:t>
            </w:r>
            <w:r>
              <w:rPr>
                <w:sz w:val="21"/>
              </w:rPr>
              <w:t>无需额外工具或设备，可直接在输液泵添加输液器品牌名称。</w:t>
            </w:r>
          </w:p>
          <w:p>
            <w:pPr>
              <w:jc w:val="both"/>
            </w:pPr>
            <w:r>
              <w:rPr>
                <w:sz w:val="21"/>
              </w:rPr>
              <w:t>11.9</w:t>
            </w:r>
            <w:r>
              <w:rPr>
                <w:sz w:val="21"/>
              </w:rPr>
              <w:t>种输液模式：速度模式、时间模式、体重模式、梯度模式、序列模式、剂量时间模式、微量模式、点滴模式和间断给药模式；具备联机功能。</w:t>
            </w:r>
          </w:p>
          <w:p>
            <w:pPr>
              <w:jc w:val="both"/>
            </w:pPr>
            <w:r>
              <w:rPr>
                <w:sz w:val="21"/>
              </w:rPr>
              <w:t>12.</w:t>
            </w:r>
            <w:r>
              <w:rPr>
                <w:sz w:val="21"/>
              </w:rPr>
              <w:t>不小于</w:t>
            </w:r>
            <w:r>
              <w:rPr>
                <w:sz w:val="21"/>
              </w:rPr>
              <w:t>7</w:t>
            </w:r>
            <w:r>
              <w:rPr>
                <w:sz w:val="21"/>
              </w:rPr>
              <w:t>英寸彩色医用显示屏，电容触摸屏技术，支持上下左右滑动操作。</w:t>
            </w:r>
          </w:p>
          <w:p>
            <w:pPr>
              <w:jc w:val="both"/>
            </w:pPr>
            <w:r>
              <w:rPr>
                <w:sz w:val="21"/>
              </w:rPr>
              <w:t>13.</w:t>
            </w:r>
            <w:r>
              <w:rPr>
                <w:sz w:val="21"/>
              </w:rPr>
              <w:t>全中文软件操作界面。</w:t>
            </w:r>
          </w:p>
          <w:p>
            <w:pPr>
              <w:jc w:val="both"/>
            </w:pPr>
            <w:r>
              <w:rPr>
                <w:sz w:val="21"/>
              </w:rPr>
              <w:t>14.</w:t>
            </w:r>
            <w:r>
              <w:rPr>
                <w:sz w:val="21"/>
              </w:rPr>
              <w:t>锁屏功能：支持自动锁屏，自动锁屏时间可调。</w:t>
            </w:r>
          </w:p>
          <w:p>
            <w:pPr>
              <w:jc w:val="both"/>
            </w:pPr>
            <w:r>
              <w:rPr>
                <w:sz w:val="21"/>
              </w:rPr>
              <w:t>15.</w:t>
            </w:r>
            <w:r>
              <w:rPr>
                <w:sz w:val="21"/>
              </w:rPr>
              <w:t>支持药物库，可储存</w:t>
            </w:r>
            <w:r>
              <w:rPr>
                <w:sz w:val="21"/>
              </w:rPr>
              <w:t>5000</w:t>
            </w:r>
            <w:r>
              <w:rPr>
                <w:sz w:val="21"/>
              </w:rPr>
              <w:t>种药物信息。</w:t>
            </w:r>
          </w:p>
          <w:p>
            <w:pPr>
              <w:jc w:val="both"/>
            </w:pPr>
            <w:r>
              <w:rPr>
                <w:sz w:val="21"/>
              </w:rPr>
              <w:t>16.</w:t>
            </w:r>
            <w:r>
              <w:rPr>
                <w:sz w:val="21"/>
              </w:rPr>
              <w:t>具备药物剂量纠错功能，可设置不同药物的流速上、下软硬限值，在参数超限时给予提示。</w:t>
            </w:r>
          </w:p>
          <w:p>
            <w:pPr>
              <w:jc w:val="both"/>
            </w:pPr>
            <w:r>
              <w:rPr>
                <w:sz w:val="21"/>
              </w:rPr>
              <w:t>17.</w:t>
            </w:r>
            <w:r>
              <w:rPr>
                <w:sz w:val="21"/>
              </w:rPr>
              <w:t>支持药物色彩标识，选择不同类型药物时对应的药物色彩标识自动显示在屏幕上，支持</w:t>
            </w:r>
            <w:r>
              <w:rPr>
                <w:sz w:val="21"/>
              </w:rPr>
              <w:t>10</w:t>
            </w:r>
            <w:r>
              <w:rPr>
                <w:sz w:val="21"/>
              </w:rPr>
              <w:t>种以上颜色。</w:t>
            </w:r>
          </w:p>
          <w:p>
            <w:pPr>
              <w:jc w:val="both"/>
            </w:pPr>
            <w:r>
              <w:rPr>
                <w:sz w:val="21"/>
              </w:rPr>
              <w:t>18.</w:t>
            </w:r>
            <w:r>
              <w:rPr>
                <w:sz w:val="21"/>
              </w:rPr>
              <w:t>报警时可通过示意图片直观提示报警信息。</w:t>
            </w:r>
          </w:p>
          <w:p>
            <w:pPr>
              <w:jc w:val="both"/>
            </w:pPr>
            <w:r>
              <w:rPr>
                <w:sz w:val="21"/>
              </w:rPr>
              <w:t>19.</w:t>
            </w:r>
            <w:r>
              <w:rPr>
                <w:sz w:val="21"/>
              </w:rPr>
              <w:t>在线动态压力监测，可实时显示当前压力数值。</w:t>
            </w:r>
          </w:p>
          <w:p>
            <w:pPr>
              <w:jc w:val="both"/>
            </w:pPr>
            <w:r>
              <w:rPr>
                <w:sz w:val="21"/>
              </w:rPr>
              <w:t>20.</w:t>
            </w:r>
            <w:r>
              <w:rPr>
                <w:sz w:val="21"/>
              </w:rPr>
              <w:t>压力报警阈值至少</w:t>
            </w:r>
            <w:r>
              <w:rPr>
                <w:sz w:val="21"/>
              </w:rPr>
              <w:t>15</w:t>
            </w:r>
            <w:r>
              <w:rPr>
                <w:sz w:val="21"/>
              </w:rPr>
              <w:t>档可调，最低</w:t>
            </w:r>
            <w:r>
              <w:rPr>
                <w:sz w:val="21"/>
              </w:rPr>
              <w:t>50mmHg</w:t>
            </w:r>
            <w:r>
              <w:rPr>
                <w:sz w:val="21"/>
              </w:rPr>
              <w:t>。</w:t>
            </w:r>
          </w:p>
          <w:p>
            <w:pPr>
              <w:jc w:val="both"/>
            </w:pPr>
            <w:r>
              <w:rPr>
                <w:sz w:val="21"/>
              </w:rPr>
              <w:t>21.</w:t>
            </w:r>
            <w:r>
              <w:rPr>
                <w:sz w:val="21"/>
              </w:rPr>
              <w:t>具备阻塞前预警提示功能，当管路压力未触发阻塞报警时，泵可自动识别压力上升并在屏幕上进行提示。</w:t>
            </w:r>
          </w:p>
          <w:p>
            <w:pPr>
              <w:jc w:val="both"/>
            </w:pPr>
            <w:r>
              <w:rPr>
                <w:sz w:val="21"/>
              </w:rPr>
              <w:t>22.</w:t>
            </w:r>
            <w:r>
              <w:rPr>
                <w:sz w:val="21"/>
              </w:rPr>
              <w:t>具备阻塞后自动重启输液功能，短暂性阻塞触发报警后，泵检测到阻塞压力缓解时，无需人为干预，泵自动重新启动输液。</w:t>
            </w:r>
          </w:p>
          <w:p>
            <w:pPr>
              <w:jc w:val="both"/>
            </w:pPr>
            <w:r>
              <w:rPr>
                <w:sz w:val="21"/>
              </w:rPr>
              <w:t>23.</w:t>
            </w:r>
            <w:r>
              <w:rPr>
                <w:sz w:val="21"/>
              </w:rPr>
              <w:t>具备双压力传感器，可检测管路上下端的压力变化。</w:t>
            </w:r>
          </w:p>
          <w:p>
            <w:pPr>
              <w:jc w:val="both"/>
            </w:pPr>
            <w:r>
              <w:rPr>
                <w:sz w:val="21"/>
              </w:rPr>
              <w:t>24.</w:t>
            </w:r>
            <w:r>
              <w:rPr>
                <w:sz w:val="21"/>
              </w:rPr>
              <w:t>具备双超声气泡检测技术，双重保障，防止气泡漏检漏报问题。</w:t>
            </w:r>
          </w:p>
          <w:p>
            <w:pPr>
              <w:jc w:val="both"/>
            </w:pPr>
            <w:r>
              <w:rPr>
                <w:sz w:val="21"/>
              </w:rPr>
              <w:t>25.</w:t>
            </w:r>
            <w:r>
              <w:rPr>
                <w:sz w:val="21"/>
              </w:rPr>
              <w:t>具备单个气泡和累积气泡报警功能，支持最小</w:t>
            </w:r>
            <w:r>
              <w:rPr>
                <w:sz w:val="21"/>
              </w:rPr>
              <w:t>15μL</w:t>
            </w:r>
            <w:r>
              <w:rPr>
                <w:sz w:val="21"/>
              </w:rPr>
              <w:t>的单个气泡报警。</w:t>
            </w:r>
          </w:p>
          <w:p>
            <w:pPr>
              <w:jc w:val="both"/>
            </w:pPr>
            <w:r>
              <w:rPr>
                <w:sz w:val="21"/>
              </w:rPr>
              <w:t>26.</w:t>
            </w:r>
            <w:r>
              <w:rPr>
                <w:sz w:val="21"/>
              </w:rPr>
              <w:t>无需滴数传感器，泵可自动识别空瓶状态并报警。</w:t>
            </w:r>
          </w:p>
          <w:p>
            <w:pPr>
              <w:jc w:val="both"/>
            </w:pPr>
            <w:r>
              <w:rPr>
                <w:sz w:val="21"/>
              </w:rPr>
              <w:t>27.</w:t>
            </w:r>
            <w:r>
              <w:rPr>
                <w:sz w:val="21"/>
              </w:rPr>
              <w:t>信息储存：可存储</w:t>
            </w:r>
            <w:r>
              <w:rPr>
                <w:sz w:val="21"/>
              </w:rPr>
              <w:t>3500</w:t>
            </w:r>
            <w:r>
              <w:rPr>
                <w:sz w:val="21"/>
              </w:rPr>
              <w:t>条的历史记录。</w:t>
            </w:r>
          </w:p>
          <w:p>
            <w:pPr>
              <w:jc w:val="both"/>
            </w:pPr>
            <w:r>
              <w:rPr>
                <w:sz w:val="21"/>
              </w:rPr>
              <w:t>28.</w:t>
            </w:r>
            <w:r>
              <w:rPr>
                <w:sz w:val="21"/>
              </w:rPr>
              <w:t>电池工作时间</w:t>
            </w:r>
            <w:r>
              <w:rPr>
                <w:sz w:val="21"/>
              </w:rPr>
              <w:t>≥5</w:t>
            </w:r>
            <w:r>
              <w:rPr>
                <w:sz w:val="21"/>
              </w:rPr>
              <w:t>小时</w:t>
            </w:r>
            <w:r>
              <w:rPr>
                <w:sz w:val="21"/>
              </w:rPr>
              <w:t>@5ml/h</w:t>
            </w:r>
            <w:r>
              <w:rPr>
                <w:sz w:val="21"/>
              </w:rPr>
              <w:t>。</w:t>
            </w:r>
          </w:p>
          <w:p>
            <w:pPr>
              <w:jc w:val="both"/>
            </w:pPr>
            <w:r>
              <w:rPr>
                <w:sz w:val="21"/>
              </w:rPr>
              <w:t>29.</w:t>
            </w:r>
            <w:r>
              <w:rPr>
                <w:sz w:val="21"/>
              </w:rPr>
              <w:t>防异物及进液等级</w:t>
            </w:r>
            <w:r>
              <w:rPr>
                <w:sz w:val="21"/>
              </w:rPr>
              <w:t>IP33</w:t>
            </w:r>
            <w:r>
              <w:rPr>
                <w:sz w:val="21"/>
              </w:rPr>
              <w:t>。</w:t>
            </w:r>
          </w:p>
          <w:p>
            <w:pPr>
              <w:jc w:val="both"/>
            </w:pPr>
          </w:p>
          <w:p>
            <w:pPr>
              <w:jc w:val="both"/>
            </w:pPr>
            <w:r>
              <w:rPr>
                <w:b/>
                <w:sz w:val="20"/>
              </w:rPr>
              <w:t>输液泵配置清单</w:t>
            </w:r>
          </w:p>
          <w:tbl>
            <w:tblPr>
              <w:tblInd w:type="dxa" w:w="105"/>
              <w:tblBorders>
                <w:top w:val="none" w:color="000000" w:sz="4"/>
                <w:left w:val="none" w:color="000000" w:sz="4"/>
                <w:bottom w:val="none" w:color="000000" w:sz="4"/>
                <w:right w:val="none" w:color="000000" w:sz="4"/>
                <w:insideH w:val="none"/>
                <w:insideV w:val="none"/>
              </w:tblBorders>
            </w:tblPr>
            <w:tblGrid>
              <w:gridCol w:w="2912"/>
              <w:gridCol w:w="2686"/>
            </w:tblGrid>
            <w:tr>
              <w:tc>
                <w:tcPr>
                  <w:tcW w:type="dxa" w:w="2912"/>
                  <w:tcBorders>
                    <w:top w:val="single" w:color="000000" w:sz="4"/>
                    <w:left w:val="single" w:color="000000" w:sz="4"/>
                    <w:bottom w:val="single" w:color="000000" w:sz="4"/>
                    <w:right w:val="single" w:color="000000" w:sz="4"/>
                  </w:tcBorders>
                  <w:vAlign w:val="top"/>
                </w:tcPr>
                <w:p>
                  <w:pPr>
                    <w:jc w:val="center"/>
                  </w:pPr>
                  <w:r>
                    <w:rPr>
                      <w:b/>
                      <w:sz w:val="20"/>
                    </w:rPr>
                    <w:t>分项配件</w:t>
                  </w:r>
                </w:p>
              </w:tc>
              <w:tc>
                <w:tcPr>
                  <w:tcW w:type="dxa" w:w="2686"/>
                  <w:tcBorders>
                    <w:top w:val="single" w:color="000000" w:sz="4"/>
                    <w:left w:val="none" w:color="000000" w:sz="4"/>
                    <w:bottom w:val="single" w:color="000000" w:sz="4"/>
                    <w:right w:val="single" w:color="000000" w:sz="4"/>
                  </w:tcBorders>
                  <w:vAlign w:val="top"/>
                </w:tcPr>
                <w:p>
                  <w:pPr>
                    <w:jc w:val="center"/>
                  </w:pPr>
                  <w:r>
                    <w:rPr>
                      <w:b/>
                      <w:sz w:val="20"/>
                    </w:rPr>
                    <w:t>数量</w:t>
                  </w:r>
                </w:p>
              </w:tc>
            </w:tr>
            <w:tr>
              <w:tc>
                <w:tcPr>
                  <w:tcW w:type="dxa" w:w="2912"/>
                  <w:tcBorders>
                    <w:top w:val="none" w:color="000000" w:sz="4"/>
                    <w:left w:val="single" w:color="000000" w:sz="4"/>
                    <w:bottom w:val="single" w:color="000000" w:sz="4"/>
                    <w:right w:val="single" w:color="000000" w:sz="4"/>
                  </w:tcBorders>
                  <w:vAlign w:val="top"/>
                </w:tcPr>
                <w:p>
                  <w:pPr>
                    <w:jc w:val="center"/>
                  </w:pPr>
                  <w:r>
                    <w:rPr>
                      <w:sz w:val="20"/>
                    </w:rPr>
                    <w:t>输液泵</w:t>
                  </w:r>
                </w:p>
              </w:tc>
              <w:tc>
                <w:tcPr>
                  <w:tcW w:type="dxa" w:w="2686"/>
                  <w:tcBorders>
                    <w:top w:val="none" w:color="000000" w:sz="4"/>
                    <w:left w:val="none" w:color="000000" w:sz="4"/>
                    <w:bottom w:val="single" w:color="000000" w:sz="4"/>
                    <w:right w:val="single" w:color="000000" w:sz="4"/>
                  </w:tcBorders>
                  <w:vAlign w:val="top"/>
                </w:tcPr>
                <w:p>
                  <w:pPr>
                    <w:jc w:val="center"/>
                  </w:pPr>
                  <w:r>
                    <w:rPr>
                      <w:sz w:val="20"/>
                    </w:rPr>
                    <w:t>1</w:t>
                  </w:r>
                  <w:r>
                    <w:rPr>
                      <w:sz w:val="20"/>
                    </w:rPr>
                    <w:t>台</w:t>
                  </w:r>
                </w:p>
              </w:tc>
            </w:tr>
            <w:tr>
              <w:tc>
                <w:tcPr>
                  <w:tcW w:type="dxa" w:w="2912"/>
                  <w:tcBorders>
                    <w:top w:val="none" w:color="000000" w:sz="4"/>
                    <w:left w:val="single" w:color="000000" w:sz="4"/>
                    <w:bottom w:val="single" w:color="000000" w:sz="4"/>
                    <w:right w:val="single" w:color="000000" w:sz="4"/>
                  </w:tcBorders>
                  <w:vAlign w:val="top"/>
                </w:tcPr>
                <w:p>
                  <w:pPr>
                    <w:jc w:val="center"/>
                  </w:pPr>
                  <w:r>
                    <w:rPr>
                      <w:sz w:val="20"/>
                    </w:rPr>
                    <w:t>电源线</w:t>
                  </w:r>
                </w:p>
              </w:tc>
              <w:tc>
                <w:tcPr>
                  <w:tcW w:type="dxa" w:w="2686"/>
                  <w:tcBorders>
                    <w:top w:val="none" w:color="000000" w:sz="4"/>
                    <w:left w:val="none" w:color="000000" w:sz="4"/>
                    <w:bottom w:val="single" w:color="000000" w:sz="4"/>
                    <w:right w:val="single" w:color="000000" w:sz="4"/>
                  </w:tcBorders>
                  <w:vAlign w:val="top"/>
                </w:tcPr>
                <w:p>
                  <w:pPr>
                    <w:jc w:val="center"/>
                  </w:pPr>
                  <w:r>
                    <w:rPr>
                      <w:sz w:val="20"/>
                    </w:rPr>
                    <w:t>1</w:t>
                  </w:r>
                  <w:r>
                    <w:rPr>
                      <w:sz w:val="20"/>
                    </w:rPr>
                    <w:t>根</w:t>
                  </w:r>
                </w:p>
              </w:tc>
            </w:tr>
            <w:tr>
              <w:tc>
                <w:tcPr>
                  <w:tcW w:type="dxa" w:w="2912"/>
                  <w:tcBorders>
                    <w:top w:val="none" w:color="000000" w:sz="4"/>
                    <w:left w:val="single" w:color="000000" w:sz="4"/>
                    <w:bottom w:val="single" w:color="000000" w:sz="4"/>
                    <w:right w:val="single" w:color="000000" w:sz="4"/>
                  </w:tcBorders>
                  <w:vAlign w:val="top"/>
                </w:tcPr>
                <w:p>
                  <w:pPr>
                    <w:jc w:val="center"/>
                  </w:pPr>
                  <w:r>
                    <w:rPr>
                      <w:sz w:val="20"/>
                    </w:rPr>
                    <w:t>紧固夹</w:t>
                  </w:r>
                </w:p>
              </w:tc>
              <w:tc>
                <w:tcPr>
                  <w:tcW w:type="dxa" w:w="2686"/>
                  <w:tcBorders>
                    <w:top w:val="none" w:color="000000" w:sz="4"/>
                    <w:left w:val="none" w:color="000000" w:sz="4"/>
                    <w:bottom w:val="single" w:color="000000" w:sz="4"/>
                    <w:right w:val="single" w:color="000000" w:sz="4"/>
                  </w:tcBorders>
                  <w:vAlign w:val="top"/>
                </w:tcPr>
                <w:p>
                  <w:pPr>
                    <w:jc w:val="center"/>
                  </w:pPr>
                  <w:r>
                    <w:rPr>
                      <w:sz w:val="20"/>
                    </w:rPr>
                    <w:t>1</w:t>
                  </w:r>
                  <w:r>
                    <w:rPr>
                      <w:sz w:val="20"/>
                    </w:rPr>
                    <w:t>个</w:t>
                  </w:r>
                </w:p>
              </w:tc>
            </w:tr>
            <w:tr>
              <w:tc>
                <w:tcPr>
                  <w:tcW w:type="dxa" w:w="2912"/>
                  <w:tcBorders>
                    <w:top w:val="none" w:color="000000" w:sz="4"/>
                    <w:left w:val="single" w:color="000000" w:sz="4"/>
                    <w:bottom w:val="single" w:color="000000" w:sz="4"/>
                    <w:right w:val="single" w:color="000000" w:sz="4"/>
                  </w:tcBorders>
                  <w:vAlign w:val="top"/>
                </w:tcPr>
                <w:p>
                  <w:pPr>
                    <w:jc w:val="center"/>
                  </w:pPr>
                  <w:r>
                    <w:rPr>
                      <w:sz w:val="20"/>
                    </w:rPr>
                    <w:t>合格证</w:t>
                  </w:r>
                </w:p>
              </w:tc>
              <w:tc>
                <w:tcPr>
                  <w:tcW w:type="dxa" w:w="2686"/>
                  <w:tcBorders>
                    <w:top w:val="none" w:color="000000" w:sz="4"/>
                    <w:left w:val="none" w:color="000000" w:sz="4"/>
                    <w:bottom w:val="single" w:color="000000" w:sz="4"/>
                    <w:right w:val="single" w:color="000000" w:sz="4"/>
                  </w:tcBorders>
                  <w:vAlign w:val="top"/>
                </w:tcPr>
                <w:p>
                  <w:pPr>
                    <w:jc w:val="center"/>
                  </w:pPr>
                  <w:r>
                    <w:rPr>
                      <w:sz w:val="20"/>
                    </w:rPr>
                    <w:t>1</w:t>
                  </w:r>
                  <w:r>
                    <w:rPr>
                      <w:sz w:val="20"/>
                    </w:rPr>
                    <w:t>份</w:t>
                  </w:r>
                </w:p>
              </w:tc>
            </w:tr>
            <w:tr>
              <w:tc>
                <w:tcPr>
                  <w:tcW w:type="dxa" w:w="2912"/>
                  <w:tcBorders>
                    <w:top w:val="none" w:color="000000" w:sz="4"/>
                    <w:left w:val="single" w:color="000000" w:sz="4"/>
                    <w:bottom w:val="single" w:color="000000" w:sz="4"/>
                    <w:right w:val="single" w:color="000000" w:sz="4"/>
                  </w:tcBorders>
                  <w:vAlign w:val="top"/>
                </w:tcPr>
                <w:p>
                  <w:pPr>
                    <w:jc w:val="center"/>
                  </w:pPr>
                  <w:r>
                    <w:rPr>
                      <w:sz w:val="20"/>
                    </w:rPr>
                    <w:t>保修卡</w:t>
                  </w:r>
                </w:p>
              </w:tc>
              <w:tc>
                <w:tcPr>
                  <w:tcW w:type="dxa" w:w="2686"/>
                  <w:tcBorders>
                    <w:top w:val="none" w:color="000000" w:sz="4"/>
                    <w:left w:val="none" w:color="000000" w:sz="4"/>
                    <w:bottom w:val="single" w:color="000000" w:sz="4"/>
                    <w:right w:val="single" w:color="000000" w:sz="4"/>
                  </w:tcBorders>
                  <w:vAlign w:val="top"/>
                </w:tcPr>
                <w:p>
                  <w:pPr>
                    <w:jc w:val="center"/>
                  </w:pPr>
                  <w:r>
                    <w:rPr>
                      <w:sz w:val="20"/>
                    </w:rPr>
                    <w:t>1</w:t>
                  </w:r>
                  <w:r>
                    <w:rPr>
                      <w:sz w:val="20"/>
                    </w:rPr>
                    <w:t>个</w:t>
                  </w:r>
                </w:p>
              </w:tc>
            </w:tr>
            <w:tr>
              <w:tc>
                <w:tcPr>
                  <w:tcW w:type="dxa" w:w="2912"/>
                  <w:tcBorders>
                    <w:top w:val="none" w:color="000000" w:sz="4"/>
                    <w:left w:val="single" w:color="000000" w:sz="4"/>
                    <w:bottom w:val="single" w:color="000000" w:sz="4"/>
                    <w:right w:val="single" w:color="000000" w:sz="4"/>
                  </w:tcBorders>
                  <w:vAlign w:val="top"/>
                </w:tcPr>
                <w:p>
                  <w:pPr>
                    <w:jc w:val="center"/>
                  </w:pPr>
                  <w:r>
                    <w:rPr>
                      <w:sz w:val="20"/>
                    </w:rPr>
                    <w:t>说明书</w:t>
                  </w:r>
                </w:p>
              </w:tc>
              <w:tc>
                <w:tcPr>
                  <w:tcW w:type="dxa" w:w="2686"/>
                  <w:tcBorders>
                    <w:top w:val="none" w:color="000000" w:sz="4"/>
                    <w:left w:val="none" w:color="000000" w:sz="4"/>
                    <w:bottom w:val="single" w:color="000000" w:sz="4"/>
                    <w:right w:val="single" w:color="000000" w:sz="4"/>
                  </w:tcBorders>
                  <w:vAlign w:val="top"/>
                </w:tcPr>
                <w:p>
                  <w:pPr>
                    <w:jc w:val="center"/>
                  </w:pPr>
                  <w:r>
                    <w:rPr>
                      <w:sz w:val="20"/>
                    </w:rPr>
                    <w:t>1</w:t>
                  </w:r>
                  <w:r>
                    <w:rPr>
                      <w:sz w:val="20"/>
                    </w:rPr>
                    <w:t>份</w:t>
                  </w:r>
                </w:p>
              </w:tc>
            </w:tr>
            <w:tr>
              <w:tc>
                <w:tcPr>
                  <w:tcW w:type="dxa" w:w="2912"/>
                  <w:tcBorders>
                    <w:top w:val="none" w:color="000000" w:sz="4"/>
                    <w:left w:val="single" w:color="000000" w:sz="4"/>
                    <w:bottom w:val="single" w:color="000000" w:sz="4"/>
                    <w:right w:val="single" w:color="000000" w:sz="4"/>
                  </w:tcBorders>
                  <w:vAlign w:val="top"/>
                </w:tcPr>
                <w:p>
                  <w:pPr>
                    <w:jc w:val="center"/>
                  </w:pPr>
                  <w:r>
                    <w:rPr>
                      <w:sz w:val="20"/>
                    </w:rPr>
                    <w:t>快速操作卡</w:t>
                  </w:r>
                </w:p>
              </w:tc>
              <w:tc>
                <w:tcPr>
                  <w:tcW w:type="dxa" w:w="2686"/>
                  <w:tcBorders>
                    <w:top w:val="none" w:color="000000" w:sz="4"/>
                    <w:left w:val="none" w:color="000000" w:sz="4"/>
                    <w:bottom w:val="single" w:color="000000" w:sz="4"/>
                    <w:right w:val="single" w:color="000000" w:sz="4"/>
                  </w:tcBorders>
                  <w:vAlign w:val="top"/>
                </w:tcPr>
                <w:p>
                  <w:pPr>
                    <w:jc w:val="center"/>
                  </w:pPr>
                  <w:r>
                    <w:rPr>
                      <w:sz w:val="20"/>
                    </w:rPr>
                    <w:t>1</w:t>
                  </w:r>
                  <w:r>
                    <w:rPr>
                      <w:sz w:val="20"/>
                    </w:rPr>
                    <w:t>份</w:t>
                  </w:r>
                </w:p>
              </w:tc>
            </w:tr>
          </w:tbl>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r>
        <w:rPr>
          <w:b/>
          <w:sz w:val="24"/>
        </w:rPr>
        <w:t>附表</w:t>
      </w:r>
      <w:r>
        <w:rPr>
          <w:b/>
          <w:sz w:val="24"/>
        </w:rPr>
        <w:t>二</w:t>
      </w:r>
      <w:r>
        <w:rPr>
          <w:b/>
          <w:sz w:val="24"/>
        </w:rPr>
        <w:t>：</w:t>
      </w:r>
      <w:r>
        <w:rPr>
          <w:b/>
          <w:sz w:val="24"/>
        </w:rPr>
        <w:t>注射泵</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r>
              <w:rPr/>
              <w:t>★</w:t>
            </w:r>
          </w:p>
        </w:tc>
        <w:tc>
          <w:tcPr>
            <w:tcW w:type="dxa" w:w="415"/>
          </w:tcPr>
          <w:p>
            <w:r>
              <w:rPr/>
              <w:t>1</w:t>
            </w:r>
          </w:p>
        </w:tc>
        <w:tc>
          <w:tcPr>
            <w:tcW w:type="dxa" w:w="5814"/>
          </w:tcPr>
          <w:p>
            <w:pPr>
              <w:jc w:val="both"/>
            </w:pPr>
            <w:r>
              <w:rPr>
                <w:sz w:val="21"/>
              </w:rPr>
              <w:t>投标人所投设备如属于医疗器械设备，需提供医疗器械注册证或备案证明（提供证明材料复印件加盖公章），所投设备必须是在医疗器械注册证或备案证明有效期内生产的产品。不属于医疗器械设备无须提供。</w:t>
            </w:r>
          </w:p>
        </w:tc>
      </w:tr>
      <w:tr>
        <w:tc>
          <w:tcPr>
            <w:tcW w:type="dxa" w:w="2076"/>
          </w:tcPr>
          <w:p/>
        </w:tc>
        <w:tc>
          <w:tcPr>
            <w:tcW w:type="dxa" w:w="415"/>
          </w:tcPr>
          <w:p>
            <w:r>
              <w:rPr/>
              <w:t>2</w:t>
            </w:r>
          </w:p>
        </w:tc>
        <w:tc>
          <w:tcPr>
            <w:tcW w:type="dxa" w:w="5814"/>
          </w:tcPr>
          <w:p>
            <w:pPr>
              <w:jc w:val="both"/>
            </w:pPr>
            <w:r>
              <w:rPr>
                <w:b/>
                <w:sz w:val="21"/>
              </w:rPr>
              <w:t>注射泵</w:t>
            </w:r>
            <w:r>
              <w:rPr>
                <w:b/>
                <w:sz w:val="21"/>
              </w:rPr>
              <w:t>121</w:t>
            </w:r>
            <w:r>
              <w:rPr>
                <w:b/>
                <w:sz w:val="21"/>
              </w:rPr>
              <w:t>台</w:t>
            </w:r>
          </w:p>
          <w:p>
            <w:pPr>
              <w:jc w:val="both"/>
            </w:pPr>
            <w:r>
              <w:rPr>
                <w:sz w:val="21"/>
              </w:rPr>
              <w:t>1.</w:t>
            </w:r>
            <w:r>
              <w:rPr>
                <w:sz w:val="21"/>
              </w:rPr>
              <w:t>注射精度</w:t>
            </w:r>
            <w:r>
              <w:rPr>
                <w:sz w:val="21"/>
              </w:rPr>
              <w:t>≤±1.8%</w:t>
            </w:r>
            <w:r>
              <w:rPr>
                <w:sz w:val="21"/>
              </w:rPr>
              <w:t>，机械精度</w:t>
            </w:r>
            <w:r>
              <w:rPr>
                <w:sz w:val="21"/>
              </w:rPr>
              <w:t>≤±0.5%</w:t>
            </w:r>
            <w:r>
              <w:rPr>
                <w:sz w:val="21"/>
              </w:rPr>
              <w:t>。</w:t>
            </w:r>
          </w:p>
          <w:p>
            <w:pPr>
              <w:jc w:val="both"/>
            </w:pPr>
            <w:r>
              <w:rPr>
                <w:sz w:val="21"/>
              </w:rPr>
              <w:t>2.</w:t>
            </w:r>
            <w:r>
              <w:rPr>
                <w:sz w:val="21"/>
              </w:rPr>
              <w:t>速率范围：</w:t>
            </w:r>
            <w:r>
              <w:rPr>
                <w:sz w:val="21"/>
              </w:rPr>
              <w:t>0.01-2300ml/h,</w:t>
            </w:r>
            <w:r>
              <w:rPr>
                <w:sz w:val="21"/>
              </w:rPr>
              <w:t>最小步进</w:t>
            </w:r>
            <w:r>
              <w:rPr>
                <w:sz w:val="21"/>
              </w:rPr>
              <w:t>0.01ml/h</w:t>
            </w:r>
            <w:r>
              <w:rPr>
                <w:sz w:val="21"/>
              </w:rPr>
              <w:t>。</w:t>
            </w:r>
          </w:p>
          <w:p>
            <w:pPr>
              <w:jc w:val="both"/>
            </w:pPr>
            <w:r>
              <w:rPr>
                <w:sz w:val="21"/>
              </w:rPr>
              <w:t>3.</w:t>
            </w:r>
            <w:r>
              <w:rPr>
                <w:sz w:val="21"/>
              </w:rPr>
              <w:t>预置输液总量范围：</w:t>
            </w:r>
            <w:r>
              <w:rPr>
                <w:sz w:val="21"/>
              </w:rPr>
              <w:t>0.01-9999.99ml</w:t>
            </w:r>
            <w:r>
              <w:rPr>
                <w:sz w:val="21"/>
              </w:rPr>
              <w:t>。</w:t>
            </w:r>
          </w:p>
          <w:p>
            <w:pPr>
              <w:jc w:val="both"/>
            </w:pPr>
            <w:r>
              <w:rPr>
                <w:sz w:val="21"/>
              </w:rPr>
              <w:t>4.</w:t>
            </w:r>
            <w:r>
              <w:rPr>
                <w:sz w:val="21"/>
              </w:rPr>
              <w:t>快进流速范围：</w:t>
            </w:r>
            <w:r>
              <w:rPr>
                <w:sz w:val="21"/>
              </w:rPr>
              <w:t>0.01-2300ml/h</w:t>
            </w:r>
            <w:r>
              <w:rPr>
                <w:sz w:val="21"/>
              </w:rPr>
              <w:t>，具有自动和手动快进可选；</w:t>
            </w:r>
          </w:p>
          <w:p>
            <w:pPr>
              <w:jc w:val="both"/>
            </w:pPr>
            <w:r>
              <w:rPr>
                <w:sz w:val="21"/>
              </w:rPr>
              <w:t>5.</w:t>
            </w:r>
            <w:r>
              <w:rPr>
                <w:sz w:val="21"/>
              </w:rPr>
              <w:t>可自动统计四种累计量：</w:t>
            </w:r>
            <w:r>
              <w:rPr>
                <w:sz w:val="21"/>
              </w:rPr>
              <w:t>24h</w:t>
            </w:r>
            <w:r>
              <w:rPr>
                <w:sz w:val="21"/>
              </w:rPr>
              <w:t>累计量、最近累计量、自定义时间段累计量、定时间隔累计量。</w:t>
            </w:r>
          </w:p>
          <w:p>
            <w:pPr>
              <w:jc w:val="both"/>
            </w:pPr>
            <w:r>
              <w:rPr>
                <w:sz w:val="21"/>
              </w:rPr>
              <w:t>6.</w:t>
            </w:r>
            <w:r>
              <w:rPr>
                <w:sz w:val="21"/>
              </w:rPr>
              <w:t>支持注射器规格：</w:t>
            </w:r>
            <w:r>
              <w:rPr>
                <w:sz w:val="21"/>
              </w:rPr>
              <w:t>1ml</w:t>
            </w:r>
            <w:r>
              <w:rPr>
                <w:sz w:val="21"/>
              </w:rPr>
              <w:t>、</w:t>
            </w:r>
            <w:r>
              <w:rPr>
                <w:sz w:val="21"/>
              </w:rPr>
              <w:t>2ml</w:t>
            </w:r>
            <w:r>
              <w:rPr>
                <w:sz w:val="21"/>
              </w:rPr>
              <w:t>、</w:t>
            </w:r>
            <w:r>
              <w:rPr>
                <w:sz w:val="21"/>
              </w:rPr>
              <w:t>3ml</w:t>
            </w:r>
            <w:r>
              <w:rPr>
                <w:sz w:val="21"/>
              </w:rPr>
              <w:t>、</w:t>
            </w:r>
            <w:r>
              <w:rPr>
                <w:sz w:val="21"/>
              </w:rPr>
              <w:t>5ml</w:t>
            </w:r>
            <w:r>
              <w:rPr>
                <w:sz w:val="21"/>
              </w:rPr>
              <w:t>、</w:t>
            </w:r>
            <w:r>
              <w:rPr>
                <w:sz w:val="21"/>
              </w:rPr>
              <w:t>10ml</w:t>
            </w:r>
            <w:r>
              <w:rPr>
                <w:sz w:val="21"/>
              </w:rPr>
              <w:t>、</w:t>
            </w:r>
            <w:r>
              <w:rPr>
                <w:sz w:val="21"/>
              </w:rPr>
              <w:t>20ml</w:t>
            </w:r>
            <w:r>
              <w:rPr>
                <w:sz w:val="21"/>
              </w:rPr>
              <w:t>、</w:t>
            </w:r>
            <w:r>
              <w:rPr>
                <w:sz w:val="21"/>
              </w:rPr>
              <w:t>30ml</w:t>
            </w:r>
            <w:r>
              <w:rPr>
                <w:sz w:val="21"/>
              </w:rPr>
              <w:t>、</w:t>
            </w:r>
            <w:r>
              <w:rPr>
                <w:sz w:val="21"/>
              </w:rPr>
              <w:t>50/60ml</w:t>
            </w:r>
            <w:r>
              <w:rPr>
                <w:sz w:val="21"/>
              </w:rPr>
              <w:t>。</w:t>
            </w:r>
          </w:p>
          <w:p>
            <w:pPr>
              <w:jc w:val="both"/>
            </w:pPr>
            <w:r>
              <w:rPr>
                <w:sz w:val="21"/>
              </w:rPr>
              <w:t>7.</w:t>
            </w:r>
            <w:r>
              <w:rPr>
                <w:sz w:val="21"/>
              </w:rPr>
              <w:t>注射器安装后，推拉盒可自动定位并固定注射器尾夹。</w:t>
            </w:r>
          </w:p>
          <w:p>
            <w:pPr>
              <w:jc w:val="both"/>
            </w:pPr>
            <w:r>
              <w:rPr>
                <w:sz w:val="21"/>
              </w:rPr>
              <w:t>8.</w:t>
            </w:r>
            <w:r>
              <w:rPr>
                <w:sz w:val="21"/>
              </w:rPr>
              <w:t>无需额外工具或设备，可直接在注射泵上添加注射器品牌名称。</w:t>
            </w:r>
          </w:p>
          <w:p>
            <w:pPr>
              <w:jc w:val="both"/>
            </w:pPr>
            <w:r>
              <w:rPr>
                <w:sz w:val="21"/>
              </w:rPr>
              <w:t>9. 8</w:t>
            </w:r>
            <w:r>
              <w:rPr>
                <w:sz w:val="21"/>
              </w:rPr>
              <w:t>种注射模式：速度模式、时间模式、体重模式、梯度模式、序列模式、剂量时间模式、微量模式和间断给药模式；具备联机功能。</w:t>
            </w:r>
          </w:p>
          <w:p>
            <w:pPr>
              <w:jc w:val="both"/>
            </w:pPr>
            <w:r>
              <w:rPr>
                <w:sz w:val="21"/>
              </w:rPr>
              <w:t>10.</w:t>
            </w:r>
            <w:r>
              <w:rPr>
                <w:sz w:val="21"/>
              </w:rPr>
              <w:t>不小于</w:t>
            </w:r>
            <w:r>
              <w:rPr>
                <w:sz w:val="21"/>
              </w:rPr>
              <w:t>7</w:t>
            </w:r>
            <w:r>
              <w:rPr>
                <w:sz w:val="21"/>
              </w:rPr>
              <w:t>英寸彩色医用显示屏，电容触摸屏技术，支持上下左右滑动操作。</w:t>
            </w:r>
          </w:p>
          <w:p>
            <w:pPr>
              <w:jc w:val="both"/>
            </w:pPr>
            <w:r>
              <w:rPr>
                <w:sz w:val="21"/>
              </w:rPr>
              <w:t>11.</w:t>
            </w:r>
            <w:r>
              <w:rPr>
                <w:sz w:val="21"/>
              </w:rPr>
              <w:t>全中文软件操作界面。</w:t>
            </w:r>
          </w:p>
          <w:p>
            <w:pPr>
              <w:jc w:val="both"/>
            </w:pPr>
            <w:r>
              <w:rPr>
                <w:sz w:val="21"/>
              </w:rPr>
              <w:t>12.</w:t>
            </w:r>
            <w:r>
              <w:rPr>
                <w:sz w:val="21"/>
              </w:rPr>
              <w:t>锁屏功能：支持自动锁屏，自动锁屏时间可调。</w:t>
            </w:r>
          </w:p>
          <w:p>
            <w:pPr>
              <w:jc w:val="both"/>
            </w:pPr>
            <w:r>
              <w:rPr>
                <w:sz w:val="21"/>
              </w:rPr>
              <w:t>13.</w:t>
            </w:r>
            <w:r>
              <w:rPr>
                <w:sz w:val="21"/>
              </w:rPr>
              <w:t>支持药物库，可储存</w:t>
            </w:r>
            <w:r>
              <w:rPr>
                <w:sz w:val="21"/>
              </w:rPr>
              <w:t>5000</w:t>
            </w:r>
            <w:r>
              <w:rPr>
                <w:sz w:val="21"/>
              </w:rPr>
              <w:t>种药物信息。</w:t>
            </w:r>
          </w:p>
          <w:p>
            <w:pPr>
              <w:jc w:val="both"/>
            </w:pPr>
            <w:r>
              <w:rPr>
                <w:sz w:val="21"/>
              </w:rPr>
              <w:t>14.</w:t>
            </w:r>
            <w:r>
              <w:rPr>
                <w:sz w:val="21"/>
              </w:rPr>
              <w:t>具备药物剂量纠错功能，可设置不同药物的流速上、下软硬限值，在参数超限时给予提示。</w:t>
            </w:r>
          </w:p>
          <w:p>
            <w:pPr>
              <w:jc w:val="both"/>
            </w:pPr>
            <w:r>
              <w:rPr>
                <w:sz w:val="21"/>
              </w:rPr>
              <w:t>15.</w:t>
            </w:r>
            <w:r>
              <w:rPr>
                <w:sz w:val="21"/>
              </w:rPr>
              <w:t>支持药物色彩标识，选择不同类型药物时对应的药物色彩标识自动显示在屏幕上，支持</w:t>
            </w:r>
            <w:r>
              <w:rPr>
                <w:sz w:val="21"/>
              </w:rPr>
              <w:t>10</w:t>
            </w:r>
            <w:r>
              <w:rPr>
                <w:sz w:val="21"/>
              </w:rPr>
              <w:t>种以上颜色。</w:t>
            </w:r>
          </w:p>
          <w:p>
            <w:pPr>
              <w:jc w:val="both"/>
            </w:pPr>
            <w:r>
              <w:rPr>
                <w:sz w:val="21"/>
              </w:rPr>
              <w:t>16.</w:t>
            </w:r>
            <w:r>
              <w:rPr>
                <w:sz w:val="21"/>
              </w:rPr>
              <w:t>报警时可通过示意图片直观提示报警信息。</w:t>
            </w:r>
          </w:p>
          <w:p>
            <w:pPr>
              <w:jc w:val="both"/>
            </w:pPr>
            <w:r>
              <w:rPr>
                <w:sz w:val="21"/>
              </w:rPr>
              <w:t>17.</w:t>
            </w:r>
            <w:r>
              <w:rPr>
                <w:sz w:val="21"/>
              </w:rPr>
              <w:t>在线动态压力监测，可实时显示当前压力数值。</w:t>
            </w:r>
          </w:p>
          <w:p>
            <w:pPr>
              <w:jc w:val="both"/>
            </w:pPr>
            <w:r>
              <w:rPr>
                <w:sz w:val="21"/>
              </w:rPr>
              <w:t>18.</w:t>
            </w:r>
            <w:r>
              <w:rPr>
                <w:sz w:val="21"/>
              </w:rPr>
              <w:t>压力报警阈值至少</w:t>
            </w:r>
            <w:r>
              <w:rPr>
                <w:sz w:val="21"/>
              </w:rPr>
              <w:t>15</w:t>
            </w:r>
            <w:r>
              <w:rPr>
                <w:sz w:val="21"/>
              </w:rPr>
              <w:t>档可调，最低</w:t>
            </w:r>
            <w:r>
              <w:rPr>
                <w:sz w:val="21"/>
              </w:rPr>
              <w:t>50mmHg</w:t>
            </w:r>
            <w:r>
              <w:rPr>
                <w:sz w:val="21"/>
              </w:rPr>
              <w:t>。</w:t>
            </w:r>
          </w:p>
          <w:p>
            <w:pPr>
              <w:jc w:val="both"/>
            </w:pPr>
            <w:r>
              <w:rPr>
                <w:sz w:val="21"/>
              </w:rPr>
              <w:t>19.</w:t>
            </w:r>
            <w:r>
              <w:rPr>
                <w:sz w:val="21"/>
              </w:rPr>
              <w:t>具备阻塞前预警提示功能，当管路压力未触发阻塞报警时，泵可自动识别压力上升并在屏幕上进行提示。</w:t>
            </w:r>
          </w:p>
          <w:p>
            <w:pPr>
              <w:jc w:val="both"/>
            </w:pPr>
            <w:r>
              <w:rPr>
                <w:sz w:val="21"/>
              </w:rPr>
              <w:t>20.</w:t>
            </w:r>
            <w:r>
              <w:rPr>
                <w:sz w:val="21"/>
              </w:rPr>
              <w:t>具备阻塞后自动重启输液功能，短暂性阻塞触发报警后，泵检测到阻塞压力缓解时，无需人为干预，泵自动重新启动输液。</w:t>
            </w:r>
          </w:p>
          <w:p>
            <w:pPr>
              <w:jc w:val="both"/>
            </w:pPr>
            <w:r>
              <w:rPr>
                <w:sz w:val="21"/>
              </w:rPr>
              <w:t>21.</w:t>
            </w:r>
            <w:r>
              <w:rPr>
                <w:sz w:val="21"/>
              </w:rPr>
              <w:t>信息储存：可存储</w:t>
            </w:r>
            <w:r>
              <w:rPr>
                <w:sz w:val="21"/>
              </w:rPr>
              <w:t>3500</w:t>
            </w:r>
            <w:r>
              <w:rPr>
                <w:sz w:val="21"/>
              </w:rPr>
              <w:t>条的历史记录。</w:t>
            </w:r>
          </w:p>
          <w:p>
            <w:pPr>
              <w:jc w:val="both"/>
            </w:pPr>
            <w:r>
              <w:rPr>
                <w:sz w:val="21"/>
              </w:rPr>
              <w:t>22.</w:t>
            </w:r>
            <w:r>
              <w:rPr>
                <w:sz w:val="21"/>
              </w:rPr>
              <w:t>电池工作时间</w:t>
            </w:r>
            <w:r>
              <w:rPr>
                <w:sz w:val="21"/>
              </w:rPr>
              <w:t>≥5</w:t>
            </w:r>
            <w:r>
              <w:rPr>
                <w:sz w:val="21"/>
              </w:rPr>
              <w:t>小时</w:t>
            </w:r>
            <w:r>
              <w:rPr>
                <w:sz w:val="21"/>
              </w:rPr>
              <w:t>@5ml/h</w:t>
            </w:r>
            <w:r>
              <w:rPr>
                <w:sz w:val="21"/>
              </w:rPr>
              <w:t>。</w:t>
            </w:r>
          </w:p>
          <w:p>
            <w:pPr>
              <w:jc w:val="both"/>
            </w:pPr>
            <w:r>
              <w:rPr>
                <w:sz w:val="21"/>
              </w:rPr>
              <w:t>23.</w:t>
            </w:r>
            <w:r>
              <w:rPr>
                <w:sz w:val="21"/>
              </w:rPr>
              <w:t>防异物及进液等级</w:t>
            </w:r>
            <w:r>
              <w:rPr>
                <w:sz w:val="21"/>
              </w:rPr>
              <w:t>IP33</w:t>
            </w:r>
            <w:r>
              <w:rPr>
                <w:sz w:val="21"/>
              </w:rPr>
              <w:t>。</w:t>
            </w:r>
          </w:p>
          <w:p>
            <w:pPr>
              <w:jc w:val="both"/>
            </w:pPr>
          </w:p>
          <w:p>
            <w:pPr>
              <w:jc w:val="both"/>
            </w:pPr>
          </w:p>
          <w:p>
            <w:pPr>
              <w:jc w:val="both"/>
            </w:pPr>
            <w:r>
              <w:rPr>
                <w:b/>
                <w:sz w:val="21"/>
              </w:rPr>
              <w:t>注射泵配置清单</w:t>
            </w:r>
          </w:p>
          <w:tbl>
            <w:tblPr>
              <w:tblInd w:type="dxa" w:w="330"/>
              <w:tblBorders>
                <w:top w:val="none" w:color="000000" w:sz="4"/>
                <w:left w:val="none" w:color="000000" w:sz="4"/>
                <w:bottom w:val="none" w:color="000000" w:sz="4"/>
                <w:right w:val="none" w:color="000000" w:sz="4"/>
                <w:insideH w:val="none"/>
                <w:insideV w:val="none"/>
              </w:tblBorders>
            </w:tblPr>
            <w:tblGrid>
              <w:gridCol w:w="2912"/>
              <w:gridCol w:w="2686"/>
            </w:tblGrid>
            <w:tr>
              <w:tc>
                <w:tcPr>
                  <w:tcW w:type="dxa" w:w="2912"/>
                  <w:tcBorders>
                    <w:top w:val="single" w:color="000000" w:sz="4"/>
                    <w:left w:val="single" w:color="000000" w:sz="4"/>
                    <w:bottom w:val="single" w:color="000000" w:sz="4"/>
                    <w:right w:val="single" w:color="000000" w:sz="4"/>
                  </w:tcBorders>
                  <w:vAlign w:val="top"/>
                </w:tcPr>
                <w:p>
                  <w:pPr>
                    <w:jc w:val="center"/>
                  </w:pPr>
                  <w:r>
                    <w:rPr>
                      <w:b/>
                      <w:sz w:val="21"/>
                    </w:rPr>
                    <w:t>分项配件</w:t>
                  </w:r>
                </w:p>
              </w:tc>
              <w:tc>
                <w:tcPr>
                  <w:tcW w:type="dxa" w:w="2686"/>
                  <w:tcBorders>
                    <w:top w:val="single" w:color="000000" w:sz="4"/>
                    <w:left w:val="none" w:color="000000" w:sz="4"/>
                    <w:bottom w:val="single" w:color="000000" w:sz="4"/>
                    <w:right w:val="single" w:color="000000" w:sz="4"/>
                  </w:tcBorders>
                  <w:vAlign w:val="top"/>
                </w:tcPr>
                <w:p>
                  <w:pPr>
                    <w:jc w:val="center"/>
                  </w:pPr>
                  <w:r>
                    <w:rPr>
                      <w:b/>
                      <w:sz w:val="21"/>
                    </w:rPr>
                    <w:t>数量</w:t>
                  </w:r>
                </w:p>
              </w:tc>
            </w:tr>
            <w:tr>
              <w:tc>
                <w:tcPr>
                  <w:tcW w:type="dxa" w:w="2912"/>
                  <w:tcBorders>
                    <w:top w:val="none" w:color="000000" w:sz="4"/>
                    <w:left w:val="single" w:color="000000" w:sz="4"/>
                    <w:bottom w:val="single" w:color="000000" w:sz="4"/>
                    <w:right w:val="single" w:color="000000" w:sz="4"/>
                  </w:tcBorders>
                  <w:vAlign w:val="top"/>
                </w:tcPr>
                <w:p>
                  <w:pPr>
                    <w:jc w:val="center"/>
                  </w:pPr>
                  <w:r>
                    <w:rPr>
                      <w:sz w:val="21"/>
                    </w:rPr>
                    <w:t>注射泵</w:t>
                  </w:r>
                </w:p>
              </w:tc>
              <w:tc>
                <w:tcPr>
                  <w:tcW w:type="dxa" w:w="2686"/>
                  <w:tcBorders>
                    <w:top w:val="none" w:color="000000" w:sz="4"/>
                    <w:left w:val="none" w:color="000000" w:sz="4"/>
                    <w:bottom w:val="single" w:color="000000" w:sz="4"/>
                    <w:right w:val="single" w:color="000000" w:sz="4"/>
                  </w:tcBorders>
                  <w:vAlign w:val="top"/>
                </w:tcPr>
                <w:p>
                  <w:pPr>
                    <w:jc w:val="center"/>
                  </w:pPr>
                  <w:r>
                    <w:rPr>
                      <w:sz w:val="21"/>
                    </w:rPr>
                    <w:t>1</w:t>
                  </w:r>
                  <w:r>
                    <w:rPr>
                      <w:sz w:val="21"/>
                    </w:rPr>
                    <w:t>台</w:t>
                  </w:r>
                </w:p>
              </w:tc>
            </w:tr>
            <w:tr>
              <w:tc>
                <w:tcPr>
                  <w:tcW w:type="dxa" w:w="2912"/>
                  <w:tcBorders>
                    <w:top w:val="none" w:color="000000" w:sz="4"/>
                    <w:left w:val="single" w:color="000000" w:sz="4"/>
                    <w:bottom w:val="single" w:color="000000" w:sz="4"/>
                    <w:right w:val="single" w:color="000000" w:sz="4"/>
                  </w:tcBorders>
                  <w:vAlign w:val="top"/>
                </w:tcPr>
                <w:p>
                  <w:pPr>
                    <w:jc w:val="center"/>
                  </w:pPr>
                  <w:r>
                    <w:rPr>
                      <w:sz w:val="21"/>
                    </w:rPr>
                    <w:t>电源线</w:t>
                  </w:r>
                </w:p>
              </w:tc>
              <w:tc>
                <w:tcPr>
                  <w:tcW w:type="dxa" w:w="2686"/>
                  <w:tcBorders>
                    <w:top w:val="none" w:color="000000" w:sz="4"/>
                    <w:left w:val="none" w:color="000000" w:sz="4"/>
                    <w:bottom w:val="single" w:color="000000" w:sz="4"/>
                    <w:right w:val="single" w:color="000000" w:sz="4"/>
                  </w:tcBorders>
                  <w:vAlign w:val="top"/>
                </w:tcPr>
                <w:p>
                  <w:pPr>
                    <w:jc w:val="center"/>
                  </w:pPr>
                  <w:r>
                    <w:rPr>
                      <w:sz w:val="21"/>
                    </w:rPr>
                    <w:t>1</w:t>
                  </w:r>
                  <w:r>
                    <w:rPr>
                      <w:sz w:val="21"/>
                    </w:rPr>
                    <w:t>根</w:t>
                  </w:r>
                </w:p>
              </w:tc>
            </w:tr>
            <w:tr>
              <w:tc>
                <w:tcPr>
                  <w:tcW w:type="dxa" w:w="2912"/>
                  <w:tcBorders>
                    <w:top w:val="none" w:color="000000" w:sz="4"/>
                    <w:left w:val="single" w:color="000000" w:sz="4"/>
                    <w:bottom w:val="single" w:color="000000" w:sz="4"/>
                    <w:right w:val="single" w:color="000000" w:sz="4"/>
                  </w:tcBorders>
                  <w:vAlign w:val="top"/>
                </w:tcPr>
                <w:p>
                  <w:pPr>
                    <w:jc w:val="center"/>
                  </w:pPr>
                  <w:r>
                    <w:rPr>
                      <w:sz w:val="21"/>
                    </w:rPr>
                    <w:t>紧固夹</w:t>
                  </w:r>
                </w:p>
              </w:tc>
              <w:tc>
                <w:tcPr>
                  <w:tcW w:type="dxa" w:w="2686"/>
                  <w:tcBorders>
                    <w:top w:val="none" w:color="000000" w:sz="4"/>
                    <w:left w:val="none" w:color="000000" w:sz="4"/>
                    <w:bottom w:val="single" w:color="000000" w:sz="4"/>
                    <w:right w:val="single" w:color="000000" w:sz="4"/>
                  </w:tcBorders>
                  <w:vAlign w:val="top"/>
                </w:tcPr>
                <w:p>
                  <w:pPr>
                    <w:jc w:val="center"/>
                  </w:pPr>
                  <w:r>
                    <w:rPr>
                      <w:sz w:val="21"/>
                    </w:rPr>
                    <w:t>1</w:t>
                  </w:r>
                  <w:r>
                    <w:rPr>
                      <w:sz w:val="21"/>
                    </w:rPr>
                    <w:t>个</w:t>
                  </w:r>
                </w:p>
              </w:tc>
            </w:tr>
            <w:tr>
              <w:tc>
                <w:tcPr>
                  <w:tcW w:type="dxa" w:w="2912"/>
                  <w:tcBorders>
                    <w:top w:val="none" w:color="000000" w:sz="4"/>
                    <w:left w:val="single" w:color="000000" w:sz="4"/>
                    <w:bottom w:val="single" w:color="000000" w:sz="4"/>
                    <w:right w:val="single" w:color="000000" w:sz="4"/>
                  </w:tcBorders>
                  <w:vAlign w:val="top"/>
                </w:tcPr>
                <w:p>
                  <w:pPr>
                    <w:jc w:val="center"/>
                  </w:pPr>
                  <w:r>
                    <w:rPr>
                      <w:sz w:val="21"/>
                    </w:rPr>
                    <w:t>合格证</w:t>
                  </w:r>
                </w:p>
              </w:tc>
              <w:tc>
                <w:tcPr>
                  <w:tcW w:type="dxa" w:w="2686"/>
                  <w:tcBorders>
                    <w:top w:val="none" w:color="000000" w:sz="4"/>
                    <w:left w:val="none" w:color="000000" w:sz="4"/>
                    <w:bottom w:val="single" w:color="000000" w:sz="4"/>
                    <w:right w:val="single" w:color="000000" w:sz="4"/>
                  </w:tcBorders>
                  <w:vAlign w:val="top"/>
                </w:tcPr>
                <w:p>
                  <w:pPr>
                    <w:jc w:val="center"/>
                  </w:pPr>
                  <w:r>
                    <w:rPr>
                      <w:sz w:val="21"/>
                    </w:rPr>
                    <w:t>1</w:t>
                  </w:r>
                  <w:r>
                    <w:rPr>
                      <w:sz w:val="21"/>
                    </w:rPr>
                    <w:t>份</w:t>
                  </w:r>
                </w:p>
              </w:tc>
            </w:tr>
            <w:tr>
              <w:tc>
                <w:tcPr>
                  <w:tcW w:type="dxa" w:w="2912"/>
                  <w:tcBorders>
                    <w:top w:val="none" w:color="000000" w:sz="4"/>
                    <w:left w:val="single" w:color="000000" w:sz="4"/>
                    <w:bottom w:val="single" w:color="000000" w:sz="4"/>
                    <w:right w:val="single" w:color="000000" w:sz="4"/>
                  </w:tcBorders>
                  <w:vAlign w:val="top"/>
                </w:tcPr>
                <w:p>
                  <w:pPr>
                    <w:jc w:val="center"/>
                  </w:pPr>
                  <w:r>
                    <w:rPr>
                      <w:sz w:val="21"/>
                    </w:rPr>
                    <w:t>保修卡</w:t>
                  </w:r>
                </w:p>
              </w:tc>
              <w:tc>
                <w:tcPr>
                  <w:tcW w:type="dxa" w:w="2686"/>
                  <w:tcBorders>
                    <w:top w:val="none" w:color="000000" w:sz="4"/>
                    <w:left w:val="none" w:color="000000" w:sz="4"/>
                    <w:bottom w:val="single" w:color="000000" w:sz="4"/>
                    <w:right w:val="single" w:color="000000" w:sz="4"/>
                  </w:tcBorders>
                  <w:vAlign w:val="top"/>
                </w:tcPr>
                <w:p>
                  <w:pPr>
                    <w:jc w:val="center"/>
                  </w:pPr>
                  <w:r>
                    <w:rPr>
                      <w:sz w:val="21"/>
                    </w:rPr>
                    <w:t>1</w:t>
                  </w:r>
                  <w:r>
                    <w:rPr>
                      <w:sz w:val="21"/>
                    </w:rPr>
                    <w:t>个</w:t>
                  </w:r>
                </w:p>
              </w:tc>
            </w:tr>
            <w:tr>
              <w:tc>
                <w:tcPr>
                  <w:tcW w:type="dxa" w:w="2912"/>
                  <w:tcBorders>
                    <w:top w:val="none" w:color="000000" w:sz="4"/>
                    <w:left w:val="single" w:color="000000" w:sz="4"/>
                    <w:bottom w:val="single" w:color="000000" w:sz="4"/>
                    <w:right w:val="single" w:color="000000" w:sz="4"/>
                  </w:tcBorders>
                  <w:vAlign w:val="top"/>
                </w:tcPr>
                <w:p>
                  <w:pPr>
                    <w:jc w:val="center"/>
                  </w:pPr>
                  <w:r>
                    <w:rPr>
                      <w:sz w:val="21"/>
                    </w:rPr>
                    <w:t>说明书</w:t>
                  </w:r>
                </w:p>
              </w:tc>
              <w:tc>
                <w:tcPr>
                  <w:tcW w:type="dxa" w:w="2686"/>
                  <w:tcBorders>
                    <w:top w:val="none" w:color="000000" w:sz="4"/>
                    <w:left w:val="none" w:color="000000" w:sz="4"/>
                    <w:bottom w:val="single" w:color="000000" w:sz="4"/>
                    <w:right w:val="single" w:color="000000" w:sz="4"/>
                  </w:tcBorders>
                  <w:vAlign w:val="top"/>
                </w:tcPr>
                <w:p>
                  <w:pPr>
                    <w:jc w:val="center"/>
                  </w:pPr>
                  <w:r>
                    <w:rPr>
                      <w:sz w:val="21"/>
                    </w:rPr>
                    <w:t>1</w:t>
                  </w:r>
                  <w:r>
                    <w:rPr>
                      <w:sz w:val="21"/>
                    </w:rPr>
                    <w:t>份</w:t>
                  </w:r>
                </w:p>
              </w:tc>
            </w:tr>
            <w:tr>
              <w:tc>
                <w:tcPr>
                  <w:tcW w:type="dxa" w:w="2912"/>
                  <w:tcBorders>
                    <w:top w:val="none" w:color="000000" w:sz="4"/>
                    <w:left w:val="single" w:color="000000" w:sz="4"/>
                    <w:bottom w:val="single" w:color="000000" w:sz="4"/>
                    <w:right w:val="single" w:color="000000" w:sz="4"/>
                  </w:tcBorders>
                  <w:vAlign w:val="top"/>
                </w:tcPr>
                <w:p>
                  <w:pPr>
                    <w:jc w:val="center"/>
                  </w:pPr>
                  <w:r>
                    <w:rPr>
                      <w:sz w:val="21"/>
                    </w:rPr>
                    <w:t>快速操作卡</w:t>
                  </w:r>
                </w:p>
              </w:tc>
              <w:tc>
                <w:tcPr>
                  <w:tcW w:type="dxa" w:w="2686"/>
                  <w:tcBorders>
                    <w:top w:val="none" w:color="000000" w:sz="4"/>
                    <w:left w:val="none" w:color="000000" w:sz="4"/>
                    <w:bottom w:val="single" w:color="000000" w:sz="4"/>
                    <w:right w:val="single" w:color="000000" w:sz="4"/>
                  </w:tcBorders>
                  <w:vAlign w:val="top"/>
                </w:tcPr>
                <w:p>
                  <w:pPr>
                    <w:jc w:val="center"/>
                  </w:pPr>
                  <w:r>
                    <w:rPr>
                      <w:sz w:val="21"/>
                    </w:rPr>
                    <w:t>1</w:t>
                  </w:r>
                  <w:r>
                    <w:rPr>
                      <w:sz w:val="21"/>
                    </w:rPr>
                    <w:t>份</w:t>
                  </w:r>
                </w:p>
              </w:tc>
            </w:tr>
          </w:tbl>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1.采购代理机构：本项目是指智林招标（广东）有限公司，负责整个采购活动的组织，依法负责编制和发布招标文件，对招标文件拥有最终的解释权，不以任何身份出任评标委员会成员。</w:t>
      </w:r>
    </w:p>
    <w:p>
      <w:pPr>
        <w:ind w:firstLine="480"/>
      </w:pPr>
      <w:r>
        <w:rPr/>
        <w:t>2.采购人：本项目是指</w:t>
      </w:r>
      <w:r>
        <w:rPr/>
        <w:t>中山市人民医院</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t>一、电子投标文件：</w:t>
            </w:r>
          </w:p>
          <w:p>
            <w:pPr>
              <w:ind w:firstLine="480"/>
            </w:pPr>
            <w:r>
              <w:rPr/>
              <w:t>（1）加密的电子投标文件 1 份（需在递交投标文件截止时间前成功上传至“云平台项目采购系统”）。</w:t>
            </w:r>
          </w:p>
          <w:p>
            <w:pPr>
              <w:ind w:firstLine="480"/>
            </w:pPr>
            <w:r>
              <w:rPr/>
              <w:t>供应商应保证该优先步骤</w:t>
            </w:r>
          </w:p>
          <w:p>
            <w:pPr>
              <w:ind w:firstLine="480"/>
            </w:pPr>
            <w:r>
              <w:rPr/>
              <w:t>（2）若现场无法使用系统进行电子开评标的，供应商须在开标现场递交非加密电子版投标文件U盘（或光盘）</w:t>
            </w:r>
            <w:r>
              <w:rPr/>
              <w:t>0</w:t>
            </w:r>
            <w:r>
              <w:rPr/>
              <w:t>份。</w:t>
            </w:r>
          </w:p>
          <w:p>
            <w:pPr>
              <w:ind w:firstLine="480"/>
            </w:pPr>
            <w:r>
              <w:rPr/>
              <w:t>供应商保证该后备步骤。</w:t>
            </w:r>
          </w:p>
          <w:p>
            <w:pPr>
              <w:ind w:firstLine="480"/>
            </w:pPr>
            <w:r>
              <w:rPr/>
              <w:t>二、纸质投标文件：</w:t>
            </w:r>
          </w:p>
          <w:p>
            <w:pPr>
              <w:ind w:firstLine="480"/>
            </w:pPr>
            <w:r>
              <w:rPr/>
              <w:t>（3）纸质投标文件正本</w:t>
            </w:r>
            <w:r>
              <w:rPr/>
              <w:t>0</w:t>
            </w:r>
            <w:r>
              <w:rPr/>
              <w:t>份，纸质投标文件副本</w:t>
            </w:r>
            <w:r>
              <w:rPr/>
              <w:t>0</w:t>
            </w:r>
            <w:r>
              <w:rPr/>
              <w:t>份。</w:t>
            </w:r>
          </w:p>
          <w:p>
            <w:pPr>
              <w:ind w:firstLine="480"/>
            </w:pPr>
            <w:r>
              <w:rPr/>
              <w:t>供应商须满足上述事项“一、电子投标文件”中（1）或（2）的要求，和“二、纸质投标文件”的要求。请保证电子投标文件应与纸质投标文件（如有）一致，如不一致时以电子投标文件为准。</w:t>
            </w:r>
          </w:p>
        </w:tc>
      </w:tr>
      <w:tr>
        <w:tc>
          <w:tcPr>
            <w:tcW w:type="dxa" w:w="1051"/>
          </w:tcPr>
          <w:p>
            <w:r>
              <w:rPr/>
              <w:t>11</w:t>
            </w:r>
          </w:p>
        </w:tc>
        <w:tc>
          <w:tcPr>
            <w:tcW w:type="dxa" w:w="2252"/>
          </w:tcPr>
          <w:p>
            <w:r>
              <w:rPr/>
              <w:t>中标候选供应商推荐家数</w:t>
            </w:r>
          </w:p>
        </w:tc>
        <w:tc>
          <w:tcPr>
            <w:tcW w:type="dxa" w:w="5004"/>
          </w:tcPr>
          <w:p>
            <w:r>
              <w:rPr/>
              <w:t>采购包1：</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无：兼投兼中：本项目兼投兼中。</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采购机构代理服务收费标准：参照国家发展计划委员会颁发的[2002]1980号文《招标代理服务 收费管理暂行办法》及发改价[2011]534号文的规定收取。</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Pr>
              <w:jc w:val="left"/>
            </w:pPr>
            <w:r>
              <w:rPr/>
              <w:t>一、代理服务费收取方式，招标代理服务费以银行付款的形式以人民币一次性支付至以下账户 （ 请在汇款单上写明本项目的项目名称+中标服务费）：开户银行：中国银行股份有限公司中山中山五路支行 ，帐号：695172408489 ，收款人：智林招标（广东）有限公司。 二、需落实的政府采购政策， 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jc w:val="left"/>
            </w:pPr>
            <w:r>
              <w:rPr/>
              <w:t>三、采购标的对应的中小企业划分标准所属行业，工业。</w:t>
            </w:r>
          </w:p>
          <w:p>
            <w:pPr>
              <w:jc w:val="left"/>
            </w:pPr>
            <w:r>
              <w:rPr/>
              <w:t>四、关于贯彻落实《中国人民银行中山市中心支行中山市财政局中山市经济和信息化局中山市 人民政府金融工作局关于印发的通知》的告知，1、根据《中国人民银行中山市中心支行中山市财政局中山市经济和信息化局 中山市 人民政府金融工作局关于印发的通知》（中人银发【2017 】82号）规定，凡通过政府采购法定程序取得我市政府采购合同的中小微企业，均可向辖 区内开 展政府采购质押融资业务的银行机构申请办理融资业务。 2、截至当前，辖区内开展政 府采购质 押融资业务的银行机构报备的联系方式如下：政府采购质押融资业务的银行机构联系 人名单 序号 银行机构 经办部门联系人联系方式 1） 中国农业发展银行中山市分行客户业务部 邹可仕 188025 98981 信贷与风险管理部 陈小龙 15889891688 2） 中国工商 银行中山分行普 惠金融事业部 陈炳 菁 18928108782 普惠金融事业部 杨培鹏 15900085352 3）中国农业银行 中山分行 普惠金融事 业部 赖思韵 22644682 4）广发银行中山分行 普惠 金融部 林光宇 888 6 2643 5）中国邮政储蓄银 行中山市分行小企业金融部 黄嘉霖138247207 41 6）中山农村商业银行总行公司业务部 杜保 森 88884181 7）平安银行中山分行 普惠金融部 林晓冰 13823931 817 8）兴业银行中山分行企业金融部 刘中芳 0760-88368666-203172 9）招商银行中山分行 公司金融事业部 唐庆颖 13924 998608 10）中国光大银行中山分行 公司业 务管理部 张梓颖 076 0-88858067 11）广州银行中 山分行 公司金融部 杨顺龙 88776919 12）中信银行中山分行 普惠金融部 陈廷忠 15113386853 普惠金融部 余超贤 15918291829 13）渤海银行中山分行 公司金融部 李建夏 13631124024 0760-87911816 分行营业部 徐艺 13928142042、07 60-87911808 14）华夏银行中山分行 营 销管理部 叶怡 28137 855 15）东莞银行中山分行 业务部赵荣耀 13042854636/86939959 16）东亚银行（中国）有限公司中山支行 中山支行 王 涛89986282/18926998881 17）浦发银行中山 分行 交易银行部 付涛 0760-89982303 3、 中小微企业有融资需求的，可通过应收账款融资服务 平台（网址： www.crcrfsp.com）和中 山市社会征信和金融服务一体化系统（网址：www.zsyt hxt.zs.gov.cn）向辖区内特定或非特 定银行机构咨询并提出融资申请。4、采购人应当及时在应 收账款融资服务平台（网址：www. crcrf sp.com）确认债权债务关系，支持中小微企业融资。5 、中小微企业与银行机构签订政 府采购质押融资合同的，由采购人牵头与中小微企业和银行机构 三方签署《政府采购合同项下 政府采购资金唯一回款账户确认函》，确保合同款支付到中小微企 业在融资银行机构开立的回 款账号。 6、财政部门根据《政府采购法》等相关法规、规章规定， 对参加政府采购活动的供 应商的不良行为予以记录，并纳入中山市社会征信和金融服务一体化系 统，供银行机构融资授 信时审慎性参考。</w:t>
            </w:r>
          </w:p>
        </w:tc>
      </w:tr>
      <w:tr>
        <w:tc>
          <w:tcPr>
            <w:tcW w:type="dxa" w:w="1051"/>
          </w:tcPr>
          <w:p>
            <w:r>
              <w:rPr/>
              <w:t>19</w:t>
            </w:r>
          </w:p>
        </w:tc>
        <w:tc>
          <w:tcPr>
            <w:tcW w:type="dxa" w:w="2252"/>
          </w:tcPr>
          <w:p>
            <w:r>
              <w:rPr/>
              <w:t>开标解密时长</w:t>
            </w:r>
          </w:p>
        </w:tc>
        <w:tc>
          <w:tcPr>
            <w:tcW w:type="dxa" w:w="5004"/>
          </w:tcPr>
          <w:p>
            <w:r>
              <w:rPr/>
              <w:t>120分钟。</w:t>
            </w: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采购包1：否</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编制投标文件同时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（3）如需使用备用电子投标文件解密时，在规定的解密时间内无法提供备用电子投标文件或提供的备用电子投标文件与加密的电子投标文件版本不一致（即两份文件不是投标客户端编制同时生成的）。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中山市政府采购网(http://120.234.108.5:8088/zfcgback/），广东省公共资源交易平台 （https://www.gdzwfw.gov.cn/ggzy-portal/index.html#/442000/index），智林招标（广东）有限公司官网（ http://www.智林招标.com/)。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w:t>
      </w:r>
      <w:r>
        <w:rPr/>
        <w:t>中山市政府采购网(http://120.234.108.5:8088/zfcgback/），广东省公共资源交易平台 （https://www.gdzwfw.gov.cn/ggzy-portal/index.html#/442000/index），智林招标（广东）有限公司官网（ http://www.智林招标.com/)。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黄文强</w:t>
      </w:r>
    </w:p>
    <w:p>
      <w:pPr>
        <w:ind w:firstLine="480"/>
      </w:pPr>
      <w:r>
        <w:rPr/>
        <w:t>电话：</w:t>
      </w:r>
      <w:r>
        <w:rPr/>
        <w:t>13232352888</w:t>
      </w:r>
    </w:p>
    <w:p>
      <w:pPr>
        <w:ind w:firstLine="480"/>
      </w:pPr>
      <w:r>
        <w:rPr/>
        <w:t>传真：</w:t>
      </w:r>
      <w:r>
        <w:rPr/>
        <w:t>0760-88889687</w:t>
      </w:r>
    </w:p>
    <w:p>
      <w:pPr>
        <w:ind w:firstLine="480"/>
      </w:pPr>
      <w:r>
        <w:rPr/>
        <w:t>邮箱：</w:t>
      </w:r>
      <w:r>
        <w:rPr/>
        <w:t>zhilinzb@163.com</w:t>
      </w:r>
    </w:p>
    <w:p>
      <w:pPr>
        <w:ind w:firstLine="480"/>
      </w:pPr>
      <w:r>
        <w:rPr/>
        <w:t>地址：</w:t>
      </w:r>
      <w:r>
        <w:rPr/>
        <w:t>广东省中山市东区中山五路82号紫岭国际二期2座513房之一</w:t>
      </w:r>
    </w:p>
    <w:p>
      <w:pPr>
        <w:ind w:firstLine="480"/>
      </w:pPr>
      <w:r>
        <w:rPr/>
        <w:t>邮编：</w:t>
      </w:r>
      <w:r>
        <w:rPr/>
        <w:t>528400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政府采购监督管理机构名称：中山市财政局政府采购监管科</w:t>
      </w:r>
    </w:p>
    <w:p>
      <w:r>
        <w:rPr/>
        <w:t>地  址：广东省中山市兴中道63号101室</w:t>
      </w:r>
    </w:p>
    <w:p>
      <w:r>
        <w:rPr/>
        <w:t>电  话：0760-88266155、88266862、88266299</w:t>
      </w:r>
    </w:p>
    <w:p>
      <w:r>
        <w:rPr/>
        <w:t>邮  编：528400</w:t>
      </w:r>
    </w:p>
    <w:p>
      <w:r>
        <w:rPr/>
        <w:t>传  真：0760-88266215</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采购包1(输液泵及注射泵)：综合评分法,是指投标文件满足招标文件全部实质性要求，且按照评审因素的量化指标评审得分最高的投标人为中标候选人的评标方法。（最低报价不是中标的唯一依据。）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智林招标（广东）有限公司</w:t>
      </w:r>
      <w:r>
        <w:rPr/>
        <w:t>统一对外发布。</w:t>
      </w:r>
    </w:p>
    <w:p>
      <w:pPr>
        <w:ind w:firstLine="480"/>
      </w:pPr>
      <w:r>
        <w:rPr/>
        <w:t>（2）对</w:t>
      </w:r>
      <w:r>
        <w:rPr/>
        <w:t>智林招标（广东）有限公司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采购包1（输液泵及注射泵）：</w:t>
      </w:r>
    </w:p>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货物由小微企业制造</w:t>
            </w:r>
          </w:p>
        </w:tc>
        <w:tc>
          <w:tcPr>
            <w:tcW w:type="dxa" w:w="1246"/>
          </w:tcPr>
          <w:p>
            <w:r>
              <w:rPr/>
              <w:t>10%</w:t>
            </w:r>
          </w:p>
        </w:tc>
        <w:tc>
          <w:tcPr>
            <w:tcW w:type="dxa" w:w="2160"/>
          </w:tcPr>
          <w:p>
            <w:pPr>
              <w:jc w:val="left"/>
            </w:pPr>
            <w:r>
              <w:rPr/>
              <w:t>货物由小微企业制造，即货物由小微企业生产且使用该小微企业商号或者注册商标时，给予10%的价格扣除C1，即：评标价=核实价×（1-C1）;监狱企业与残疾人福利性单位视同小型、微型企业，享受同等价格扣除，当企业属性重复时，不重复价格扣除。</w:t>
            </w:r>
          </w:p>
        </w:tc>
      </w:tr>
      <w:tr>
        <w:tc>
          <w:tcPr>
            <w:tcW w:type="dxa" w:w="581"/>
          </w:tcPr>
          <w:p>
            <w:r>
              <w:rPr/>
              <w:t>2</w:t>
            </w:r>
          </w:p>
        </w:tc>
        <w:tc>
          <w:tcPr>
            <w:tcW w:type="dxa" w:w="2160"/>
          </w:tcPr>
          <w:p>
            <w:pPr>
              <w:jc w:val="left"/>
            </w:pPr>
            <w:r>
              <w:rPr/>
              <w:t>节能、环保产品</w:t>
            </w:r>
          </w:p>
        </w:tc>
        <w:tc>
          <w:tcPr>
            <w:tcW w:type="dxa" w:w="2160"/>
          </w:tcPr>
          <w:p>
            <w:r>
              <w:rPr/>
              <w:t>——</w:t>
            </w:r>
          </w:p>
        </w:tc>
        <w:tc>
          <w:tcPr>
            <w:tcW w:type="dxa" w:w="1246"/>
          </w:tcPr>
          <w:p>
            <w:r>
              <w:rPr/>
              <w:t>5%</w:t>
            </w:r>
          </w:p>
        </w:tc>
        <w:tc>
          <w:tcPr>
            <w:tcW w:type="dxa" w:w="2160"/>
          </w:tcPr>
          <w:p>
            <w:pPr>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采购包1（输液泵及注射泵）：</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提供投标截止日前12个月内任意1个月依法缴纳税收和社会保障资金的相关材料。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供应商必须具有良好的商业信誉和健全的财务会计制度（提供2020年度或2021年度财务状况报告或投标截止日前12个月内任意1个月的财务报表复印件，财务报表须包含资产负债表、利润表或 银行出具的资信证明材料复印件） 。</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本项目特定资格要求</w:t>
            </w:r>
          </w:p>
        </w:tc>
        <w:tc>
          <w:tcPr>
            <w:tcW w:type="dxa" w:w="4238"/>
          </w:tcPr>
          <w:p>
            <w:r>
              <w:rPr/>
              <w:t>供应商须具有其中一项有效的许可证明：《医疗器械生产许可证》、《医疗器械生产备案证》、《医疗器械经营许可证》、《医疗器械经营备案证》、《食品药品经营许可证》（提供相应证明文件复印件并加盖投标人公章）。</w:t>
            </w:r>
          </w:p>
        </w:tc>
      </w:tr>
      <w:tr>
        <w:tc>
          <w:tcPr>
            <w:tcW w:type="dxa" w:w="890"/>
          </w:tcPr>
          <w:p>
            <w:r>
              <w:rPr/>
              <w:t>9</w:t>
            </w:r>
          </w:p>
        </w:tc>
        <w:tc>
          <w:tcPr>
            <w:tcW w:type="dxa" w:w="3178"/>
          </w:tcPr>
          <w:p>
            <w:r>
              <w:rPr/>
              <w:t>落实政府采购政策需满足的资格要求</w:t>
            </w:r>
          </w:p>
        </w:tc>
        <w:tc>
          <w:tcPr>
            <w:tcW w:type="dxa" w:w="4238"/>
          </w:tcPr>
          <w:p>
            <w:r>
              <w:rPr/>
              <w:t>本项目不属于专门面向中小微企业项目。</w:t>
            </w:r>
          </w:p>
        </w:tc>
      </w:tr>
    </w:tbl>
    <w:p/>
    <w:p>
      <w:pPr>
        <w:ind w:firstLine="480"/>
      </w:pPr>
      <w:r>
        <w:rPr/>
        <w:t>表二符合性审查表：</w:t>
      </w:r>
    </w:p>
    <w:p>
      <w:pPr>
        <w:ind w:firstLine="480"/>
      </w:pPr>
    </w:p>
    <w:p/>
    <w:p>
      <w:r>
        <w:rPr/>
        <w:t>采购包1（输液泵及注射泵）：</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投标文件格式</w:t>
            </w:r>
          </w:p>
        </w:tc>
        <w:tc>
          <w:tcPr>
            <w:tcW w:type="dxa" w:w="4238"/>
          </w:tcPr>
          <w:p>
            <w:r>
              <w:rPr/>
              <w:t>按投标文件格式规定盖章和签署。</w:t>
            </w:r>
          </w:p>
        </w:tc>
      </w:tr>
      <w:tr>
        <w:tc>
          <w:tcPr>
            <w:tcW w:type="dxa" w:w="890"/>
          </w:tcPr>
          <w:p>
            <w:r>
              <w:rPr/>
              <w:t>2</w:t>
            </w:r>
          </w:p>
        </w:tc>
        <w:tc>
          <w:tcPr>
            <w:tcW w:type="dxa" w:w="3178"/>
          </w:tcPr>
          <w:p>
            <w:r>
              <w:rPr/>
              <w:t>投标承诺函及投标有效期</w:t>
            </w:r>
          </w:p>
        </w:tc>
        <w:tc>
          <w:tcPr>
            <w:tcW w:type="dxa" w:w="4238"/>
          </w:tcPr>
          <w:p>
            <w:r>
              <w:rPr/>
              <w:t>投标承诺函及投标有效期符合要求（90天）。</w:t>
            </w:r>
          </w:p>
        </w:tc>
      </w:tr>
      <w:tr>
        <w:tc>
          <w:tcPr>
            <w:tcW w:type="dxa" w:w="890"/>
          </w:tcPr>
          <w:p>
            <w:r>
              <w:rPr/>
              <w:t>3</w:t>
            </w:r>
          </w:p>
        </w:tc>
        <w:tc>
          <w:tcPr>
            <w:tcW w:type="dxa" w:w="3178"/>
          </w:tcPr>
          <w:p>
            <w:r>
              <w:rPr/>
              <w:t>法定代表人授权委托书</w:t>
            </w:r>
          </w:p>
        </w:tc>
        <w:tc>
          <w:tcPr>
            <w:tcW w:type="dxa" w:w="4238"/>
          </w:tcPr>
          <w:p>
            <w:r>
              <w:rPr/>
              <w:t>已提交有效的法定代表人授权书（投标代表为授权代表时）。</w:t>
            </w:r>
          </w:p>
        </w:tc>
      </w:tr>
      <w:tr>
        <w:tc>
          <w:tcPr>
            <w:tcW w:type="dxa" w:w="890"/>
          </w:tcPr>
          <w:p>
            <w:r>
              <w:rPr/>
              <w:t>4</w:t>
            </w:r>
          </w:p>
        </w:tc>
        <w:tc>
          <w:tcPr>
            <w:tcW w:type="dxa" w:w="3178"/>
          </w:tcPr>
          <w:p>
            <w:r>
              <w:rPr/>
              <w:t>投标报价</w:t>
            </w:r>
          </w:p>
        </w:tc>
        <w:tc>
          <w:tcPr>
            <w:tcW w:type="dxa" w:w="4238"/>
          </w:tcPr>
          <w:p>
            <w:r>
              <w:rPr/>
              <w:t>投标（报价）总金额是固定价且是唯一的，未超过本项目采购预算总金额。</w:t>
            </w:r>
          </w:p>
        </w:tc>
      </w:tr>
      <w:tr>
        <w:tc>
          <w:tcPr>
            <w:tcW w:type="dxa" w:w="890"/>
          </w:tcPr>
          <w:p>
            <w:r>
              <w:rPr/>
              <w:t>5</w:t>
            </w:r>
          </w:p>
        </w:tc>
        <w:tc>
          <w:tcPr>
            <w:tcW w:type="dxa" w:w="3178"/>
          </w:tcPr>
          <w:p>
            <w:r>
              <w:rPr/>
              <w:t>带“★”号条款要求</w:t>
            </w:r>
          </w:p>
        </w:tc>
        <w:tc>
          <w:tcPr>
            <w:tcW w:type="dxa" w:w="4238"/>
          </w:tcPr>
          <w:p>
            <w:r>
              <w:rPr/>
              <w:t>实质性满足采购需求中的带“★”号条款要求。</w:t>
            </w:r>
          </w:p>
        </w:tc>
      </w:tr>
      <w:tr>
        <w:tc>
          <w:tcPr>
            <w:tcW w:type="dxa" w:w="890"/>
          </w:tcPr>
          <w:p>
            <w:r>
              <w:rPr/>
              <w:t>6</w:t>
            </w:r>
          </w:p>
        </w:tc>
        <w:tc>
          <w:tcPr>
            <w:tcW w:type="dxa" w:w="3178"/>
          </w:tcPr>
          <w:p>
            <w:r>
              <w:rPr/>
              <w:t>其他情形</w:t>
            </w:r>
          </w:p>
        </w:tc>
        <w:tc>
          <w:tcPr>
            <w:tcW w:type="dxa" w:w="4238"/>
          </w:tcPr>
          <w:p>
            <w:r>
              <w:rPr/>
              <w:t>无磋商文件或法规明确规定可以废标的其他情形。</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输液泵及注射泵</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商务部分15.0分</w:t>
            </w:r>
          </w:p>
          <w:p>
            <w:r>
              <w:rPr/>
              <w:t>技术部分55.0分</w:t>
            </w:r>
          </w:p>
          <w:p>
            <w:r>
              <w:rPr/>
              <w:t>报价得分30.0分</w:t>
            </w:r>
          </w:p>
        </w:tc>
      </w:tr>
      <w:tr>
        <w:tc>
          <w:tcPr>
            <w:tcW w:type="dxa" w:w="922"/>
            <w:gridSpan w:val="2"/>
            <w:vMerge w:val="restart"/>
          </w:tcPr>
          <w:p>
            <w:pPr>
              <w:jc w:val="center"/>
            </w:pPr>
            <w:r>
              <w:rPr/>
              <w:t>技术部分</w:t>
            </w:r>
          </w:p>
        </w:tc>
        <w:tc>
          <w:tcPr>
            <w:tcW w:type="dxa" w:w="2307"/>
          </w:tcPr>
          <w:p>
            <w:pPr>
              <w:jc w:val="left"/>
            </w:pPr>
            <w:r>
              <w:rPr/>
              <w:t>对招标文件第二章《采购需求》 中“技术标准与要求”条款的 响应情况 (20.0分)</w:t>
            </w:r>
          </w:p>
        </w:tc>
        <w:tc>
          <w:tcPr>
            <w:tcW w:type="dxa" w:w="5076"/>
          </w:tcPr>
          <w:p>
            <w:pPr>
              <w:jc w:val="left"/>
            </w:pPr>
            <w:r>
              <w:rPr/>
              <w:t>考核投标人对招标文件第二章《采购需求》中的“技术标准与要求”中“附表一”和“附表二”所有条款的响应程度（每条条款最小一级序号均以一项计算）： 1、完全响应技术要求的得20分；每一个负偏离扣1分，本项20分，扣完为止。 注：如采购需求中有明确需要提供证明资料的，以采购需求中要求的为准，无或未按要求提供证明材料的不得分；如采购需求中无明确证明材料的，则以投标人投标文件中技术部分的条款响应表中的响应情况按要求填写内容为准，未填写的视为负偏离。）</w:t>
            </w:r>
          </w:p>
        </w:tc>
      </w:tr>
      <w:tr>
        <w:tc>
          <w:tcPr>
            <w:tcW w:type="dxa" w:w="922"/>
            <w:gridSpan w:val="2"/>
            <w:vMerge/>
          </w:tcPr>
          <w:p/>
        </w:tc>
        <w:tc>
          <w:tcPr>
            <w:tcW w:type="dxa" w:w="2307"/>
          </w:tcPr>
          <w:p>
            <w:pPr>
              <w:jc w:val="left"/>
            </w:pPr>
            <w:r>
              <w:rPr/>
              <w:t>安装、检测、验收、操作及培训计划  (15.0分)</w:t>
            </w:r>
            <w:r>
              <w:rPr/>
              <w:t>，（等次分值选择：</w:t>
            </w:r>
            <w:r>
              <w:rPr/>
              <w:t>0.0;</w:t>
            </w:r>
            <w:r>
              <w:rPr/>
              <w:t>3.0;</w:t>
            </w:r>
            <w:r>
              <w:rPr/>
              <w:t>7.0;</w:t>
            </w:r>
            <w:r>
              <w:rPr/>
              <w:t>11.0;</w:t>
            </w:r>
            <w:r>
              <w:rPr/>
              <w:t>15.0;</w:t>
            </w:r>
            <w:r>
              <w:rPr/>
              <w:t>）</w:t>
            </w:r>
          </w:p>
        </w:tc>
        <w:tc>
          <w:tcPr>
            <w:tcW w:type="dxa" w:w="5076"/>
          </w:tcPr>
          <w:p>
            <w:pPr>
              <w:jc w:val="left"/>
            </w:pPr>
            <w:r>
              <w:rPr/>
              <w:t>评委对各投标人提供的安装、检测、验收、操作及培训计划进行评审 。 1、安装、检测、验收、培训计划条理清晰，脉络分明，操作性强，人性化，能体现以人为本、服务至上的售后理念，得15 分； 2、安装、检测、验收、培训计划条理较清晰，脉络较分明，操作性较强，能体现以人为本、服务至上的售后理念，得11分； 3、安装、检测、验收、培训计划条理模糊，脉络较分明，操作性一般，不能体现以人为本、 服务至上的售后理念，得7分； 4、安装、检测、验收、培训计划条理模糊 ，脉络不分明，操作性差，不能体现以人为本、服务至上的售后理念，得 3分； 不提供计划得0分。</w:t>
            </w:r>
          </w:p>
        </w:tc>
      </w:tr>
      <w:tr>
        <w:tc>
          <w:tcPr>
            <w:tcW w:type="dxa" w:w="922"/>
            <w:gridSpan w:val="2"/>
            <w:vMerge/>
          </w:tcPr>
          <w:p/>
        </w:tc>
        <w:tc>
          <w:tcPr>
            <w:tcW w:type="dxa" w:w="2307"/>
          </w:tcPr>
          <w:p>
            <w:pPr>
              <w:jc w:val="left"/>
            </w:pPr>
            <w:r>
              <w:rPr/>
              <w:t>产品的配置、选型及性能  (5.0分)</w:t>
            </w:r>
            <w:r>
              <w:rPr/>
              <w:t>，（等次分值选择：</w:t>
            </w:r>
            <w:r>
              <w:rPr/>
              <w:t>0.0;</w:t>
            </w:r>
            <w:r>
              <w:rPr/>
              <w:t>0.5;</w:t>
            </w:r>
            <w:r>
              <w:rPr/>
              <w:t>2.0;</w:t>
            </w:r>
            <w:r>
              <w:rPr/>
              <w:t>3.5;</w:t>
            </w:r>
            <w:r>
              <w:rPr/>
              <w:t>5.0;</w:t>
            </w:r>
            <w:r>
              <w:rPr/>
              <w:t>）</w:t>
            </w:r>
          </w:p>
        </w:tc>
        <w:tc>
          <w:tcPr>
            <w:tcW w:type="dxa" w:w="5076"/>
          </w:tcPr>
          <w:p>
            <w:pPr>
              <w:jc w:val="left"/>
            </w:pPr>
            <w:r>
              <w:rPr/>
              <w:t>评委综合各投标人提供的产品配置、选型及性能进行评审。 1、所投产品的配置完全满足或优于招标文件要求，选型及性能非常好，完全能满足采购人需求，得 5 分； 2、所投产品的配置基本满足招标文件要求，选型及性能比较好，比较能满足采购人需求，得 3.5 分；  2、所投产品的配置勉强满足招标文件要求，选型及性能一般，勉强能满足采购人需求，得 2 分；  3、所投产品的配置不能满足招标文件要求，选型及性能不太好，不能满足采购人需求，得0.5 分；  不提供得0分。</w:t>
            </w:r>
          </w:p>
        </w:tc>
      </w:tr>
      <w:tr>
        <w:tc>
          <w:tcPr>
            <w:tcW w:type="dxa" w:w="922"/>
            <w:gridSpan w:val="2"/>
            <w:vMerge/>
          </w:tcPr>
          <w:p/>
        </w:tc>
        <w:tc>
          <w:tcPr>
            <w:tcW w:type="dxa" w:w="2307"/>
          </w:tcPr>
          <w:p>
            <w:pPr>
              <w:jc w:val="left"/>
            </w:pPr>
            <w:r>
              <w:rPr/>
              <w:t>服务响应、维护保养及应急措施方案 (15.0分)</w:t>
            </w:r>
            <w:r>
              <w:rPr/>
              <w:t>，（等次分值选择：</w:t>
            </w:r>
            <w:r>
              <w:rPr/>
              <w:t>0.0;</w:t>
            </w:r>
            <w:r>
              <w:rPr/>
              <w:t>3.0;</w:t>
            </w:r>
            <w:r>
              <w:rPr/>
              <w:t>7.0;</w:t>
            </w:r>
            <w:r>
              <w:rPr/>
              <w:t>11.0;</w:t>
            </w:r>
            <w:r>
              <w:rPr/>
              <w:t>15.0;</w:t>
            </w:r>
            <w:r>
              <w:rPr/>
              <w:t>）</w:t>
            </w:r>
          </w:p>
        </w:tc>
        <w:tc>
          <w:tcPr>
            <w:tcW w:type="dxa" w:w="5076"/>
          </w:tcPr>
          <w:p>
            <w:pPr>
              <w:jc w:val="left"/>
            </w:pPr>
            <w:r>
              <w:rPr/>
              <w:t>评委对各投标人服务响应、维护保养及应急措施方案进行评审。 1、服务响应时间优于招标文件要求，处理问题能力强，质保期、维护保养方案优，应急预案好，考虑情况全面，处理措施完善，得15分； 2、服务响应时间满足招标文件要求，处理问题能力较强，质保期、维护保养方案较好，应急预案较好，考虑情况较全面，处理措施较好，得11分；  3、服务响应时间满足招标文件要求，处理问题能力一般；质保期、维护保养方案一般，应急预案一般，考虑情况一般，处理措施一般 ，得7分；  4、服务响应时间未能满足招标文件要求，处理问题能力较弱，质保期、维护保养方案不够具体，应急预案考虑情况不太周全，处理措施不够完善，得3分；  不提供方案得0分。</w:t>
            </w:r>
          </w:p>
        </w:tc>
      </w:tr>
      <w:tr>
        <w:tc>
          <w:tcPr>
            <w:tcW w:type="dxa" w:w="922"/>
            <w:gridSpan w:val="2"/>
            <w:vMerge w:val="restart"/>
          </w:tcPr>
          <w:p>
            <w:pPr>
              <w:jc w:val="center"/>
            </w:pPr>
            <w:r>
              <w:rPr/>
              <w:t>商务部分</w:t>
            </w:r>
          </w:p>
        </w:tc>
        <w:tc>
          <w:tcPr>
            <w:tcW w:type="dxa" w:w="2307"/>
          </w:tcPr>
          <w:p>
            <w:pPr>
              <w:jc w:val="left"/>
            </w:pPr>
            <w:r>
              <w:rPr/>
              <w:t>采购需求中“主要商务要求”的响应情况  (8.0分)</w:t>
            </w:r>
          </w:p>
        </w:tc>
        <w:tc>
          <w:tcPr>
            <w:tcW w:type="dxa" w:w="5076"/>
          </w:tcPr>
          <w:p>
            <w:pPr>
              <w:jc w:val="left"/>
            </w:pPr>
            <w:r>
              <w:rPr/>
              <w:t>考核对采购需求中“主要商务要求”所有小点的响应程度。 完全响应要求的得 8 分； 每负偏离一项扣1分，本项8分，扣完为止。</w:t>
            </w:r>
          </w:p>
        </w:tc>
      </w:tr>
      <w:tr>
        <w:tc>
          <w:tcPr>
            <w:tcW w:type="dxa" w:w="922"/>
            <w:gridSpan w:val="2"/>
            <w:vMerge/>
          </w:tcPr>
          <w:p/>
        </w:tc>
        <w:tc>
          <w:tcPr>
            <w:tcW w:type="dxa" w:w="2307"/>
          </w:tcPr>
          <w:p>
            <w:pPr>
              <w:jc w:val="left"/>
            </w:pPr>
            <w:r>
              <w:rPr/>
              <w:t>企业资质 (3.0分)</w:t>
            </w:r>
          </w:p>
        </w:tc>
        <w:tc>
          <w:tcPr>
            <w:tcW w:type="dxa" w:w="5076"/>
          </w:tcPr>
          <w:p>
            <w:pPr>
              <w:jc w:val="left"/>
            </w:pPr>
            <w:r>
              <w:rPr/>
              <w:t>①质量管理体系认证证书（1分）；  ②环境管理体系认证证书（1分）；  ③职业健康安全管理体系证书（1分）。  注：投标人或所投设备生产厂家具备以上证书，每提供一个证书得1分，满分3分。 提供有效期内的证书复印件并加盖投标人的公章，不按要求提供的得0分。</w:t>
            </w:r>
          </w:p>
        </w:tc>
      </w:tr>
      <w:tr>
        <w:tc>
          <w:tcPr>
            <w:tcW w:type="dxa" w:w="922"/>
            <w:gridSpan w:val="2"/>
            <w:vMerge/>
          </w:tcPr>
          <w:p/>
        </w:tc>
        <w:tc>
          <w:tcPr>
            <w:tcW w:type="dxa" w:w="2307"/>
          </w:tcPr>
          <w:p>
            <w:pPr>
              <w:jc w:val="left"/>
            </w:pPr>
            <w:r>
              <w:rPr/>
              <w:t>同类项目业绩  (4.0分)</w:t>
            </w:r>
          </w:p>
        </w:tc>
        <w:tc>
          <w:tcPr>
            <w:tcW w:type="dxa" w:w="5076"/>
          </w:tcPr>
          <w:p>
            <w:pPr>
              <w:jc w:val="left"/>
            </w:pPr>
            <w:r>
              <w:rPr/>
              <w:t>评标委员会应根据投标人提供的业绩情况进行评审： 2019年1月1日以来 （以合同签订日期为准）投标人承接的同类项目业绩，每提供一个项目业绩得1分，最多得4分。 注：按招标文件格式填写《投标人业绩情况表 》并提供加盖投标人公章的业绩合同关键页复印件（《投标人业绩情况表 》里客户名称、项目名称及合同金额、签订合同时间为必填项；关键页内容必须清晰阐明项目名称、双方单位名称、合同签订日期、合同履行主要内容），未按要求提供的得0分。</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4.1.按照评标程序、评分标准以及权重分配的规定，评标委员会各成员分别首先就各个投标人的技术商务状况及其对招标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Pr>
        <w:jc w:val="center"/>
      </w:pPr>
      <w:r>
        <w:rPr>
          <w:b/>
          <w:sz w:val="48"/>
        </w:rPr>
        <w:t xml:space="preserve"> </w:t>
      </w:r>
    </w:p>
    <w:p>
      <w:pPr>
        <w:jc w:val="center"/>
      </w:pPr>
      <w:r>
        <w:rPr>
          <w:b/>
          <w:sz w:val="48"/>
        </w:rPr>
        <w:t xml:space="preserve"> </w:t>
      </w:r>
    </w:p>
    <w:p>
      <w:pPr>
        <w:jc w:val="center"/>
      </w:pPr>
      <w:r>
        <w:rPr>
          <w:b/>
          <w:sz w:val="48"/>
        </w:rPr>
        <w:t xml:space="preserve"> </w:t>
      </w:r>
    </w:p>
    <w:p>
      <w:pPr>
        <w:jc w:val="center"/>
      </w:pPr>
      <w:r>
        <w:rPr>
          <w:b/>
          <w:sz w:val="48"/>
        </w:rPr>
        <w:t>广东省政府采购</w:t>
      </w:r>
    </w:p>
    <w:p>
      <w:pPr>
        <w:jc w:val="both"/>
      </w:pPr>
      <w:r>
        <w:rPr>
          <w:b/>
          <w:sz w:val="48"/>
        </w:rPr>
        <w:t xml:space="preserve"> </w:t>
      </w:r>
    </w:p>
    <w:p>
      <w:pPr>
        <w:jc w:val="center"/>
      </w:pPr>
      <w:r>
        <w:rPr>
          <w:b/>
          <w:sz w:val="48"/>
        </w:rPr>
        <w:t>合　同　书</w:t>
      </w:r>
    </w:p>
    <w:p>
      <w:pPr>
        <w:jc w:val="center"/>
      </w:pPr>
      <w:r>
        <w:rPr>
          <w:color w:val="000000"/>
          <w:sz w:val="16"/>
        </w:rPr>
        <w:t>(</w:t>
      </w:r>
      <w:r>
        <w:rPr>
          <w:color w:val="000000"/>
          <w:sz w:val="16"/>
        </w:rPr>
        <w:t>本合同范本仅供参考，中标人与采购人可根据双方的具体要求进行修订，双方所签订的合同不得对招标文件确定的事项和中标人投标文件</w:t>
      </w:r>
    </w:p>
    <w:p>
      <w:pPr>
        <w:jc w:val="center"/>
      </w:pPr>
      <w:r>
        <w:rPr>
          <w:color w:val="000000"/>
          <w:sz w:val="16"/>
        </w:rPr>
        <w:t>作实质性修改。）</w:t>
      </w:r>
    </w:p>
    <w:p>
      <w:pPr>
        <w:jc w:val="center"/>
      </w:pPr>
      <w:r>
        <w:br/>
      </w:r>
      <w:r>
        <w:br/>
      </w:r>
      <w:r>
        <w:br/>
      </w:r>
      <w:r>
        <w:rPr>
          <w:color w:val="222222"/>
          <w:sz w:val="27"/>
        </w:rPr>
        <w:t xml:space="preserve"> </w:t>
      </w:r>
    </w:p>
    <w:p>
      <w:pPr>
        <w:jc w:val="center"/>
      </w:pPr>
      <w:r>
        <w:rPr>
          <w:color w:val="222222"/>
          <w:sz w:val="28"/>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left"/>
      </w:pPr>
      <w:r>
        <w:rPr>
          <w:b/>
          <w:sz w:val="28"/>
        </w:rPr>
        <w:t>合同编号：</w:t>
      </w:r>
      <w:r>
        <w:rPr>
          <w:b/>
          <w:sz w:val="21"/>
        </w:rPr>
        <w:t xml:space="preserve"> </w:t>
      </w:r>
    </w:p>
    <w:p>
      <w:pPr>
        <w:jc w:val="center"/>
      </w:pPr>
    </w:p>
    <w:p>
      <w:pPr>
        <w:jc w:val="center"/>
      </w:pPr>
      <w:r>
        <w:rPr>
          <w:b/>
          <w:sz w:val="52"/>
        </w:rPr>
        <w:t>中山市人民医院医疗设备采购合同</w:t>
      </w:r>
    </w:p>
    <w:p>
      <w:pPr>
        <w:jc w:val="center"/>
      </w:pPr>
    </w:p>
    <w:p>
      <w:pPr>
        <w:jc w:val="center"/>
      </w:pPr>
    </w:p>
    <w:p>
      <w:pPr>
        <w:jc w:val="both"/>
      </w:pPr>
      <w:r>
        <w:rPr>
          <w:b/>
          <w:sz w:val="21"/>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left"/>
      </w:pPr>
    </w:p>
    <w:p>
      <w:pPr>
        <w:jc w:val="left"/>
      </w:pPr>
    </w:p>
    <w:p>
      <w:pPr>
        <w:jc w:val="left"/>
      </w:pPr>
    </w:p>
    <w:p>
      <w:pPr>
        <w:jc w:val="left"/>
      </w:pPr>
    </w:p>
    <w:p>
      <w:pPr>
        <w:jc w:val="left"/>
      </w:pPr>
    </w:p>
    <w:p>
      <w:pPr>
        <w:jc w:val="left"/>
      </w:pPr>
    </w:p>
    <w:p>
      <w:pPr>
        <w:jc w:val="left"/>
      </w:pPr>
    </w:p>
    <w:p>
      <w:pPr>
        <w:jc w:val="left"/>
      </w:pPr>
    </w:p>
    <w:p>
      <w:pPr>
        <w:jc w:val="left"/>
      </w:pPr>
    </w:p>
    <w:p>
      <w:pPr>
        <w:ind w:firstLine="1687"/>
        <w:jc w:val="left"/>
      </w:pPr>
      <w:r>
        <w:rPr>
          <w:b/>
          <w:sz w:val="24"/>
        </w:rPr>
        <w:t>项目名称：</w:t>
      </w:r>
      <w:r>
        <w:rPr>
          <w:b/>
          <w:sz w:val="21"/>
          <w:u w:val="single"/>
        </w:rPr>
        <w:t xml:space="preserve">                     </w:t>
      </w:r>
    </w:p>
    <w:p>
      <w:pPr>
        <w:ind w:firstLine="1687"/>
        <w:jc w:val="left"/>
      </w:pPr>
      <w:r>
        <w:rPr>
          <w:b/>
          <w:sz w:val="24"/>
        </w:rPr>
        <w:t>甲方：</w:t>
      </w:r>
      <w:r>
        <w:rPr>
          <w:b/>
          <w:sz w:val="21"/>
          <w:u w:val="single"/>
        </w:rPr>
        <w:t xml:space="preserve">                        </w:t>
      </w:r>
    </w:p>
    <w:p>
      <w:pPr>
        <w:ind w:firstLine="1687"/>
        <w:jc w:val="left"/>
      </w:pPr>
      <w:r>
        <w:rPr>
          <w:b/>
          <w:sz w:val="24"/>
        </w:rPr>
        <w:t>乙方：</w:t>
      </w:r>
      <w:r>
        <w:rPr>
          <w:b/>
          <w:sz w:val="21"/>
          <w:u w:val="single"/>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b/>
          <w:sz w:val="44"/>
        </w:rPr>
        <w:t>中山市人民医院医疗设备采购合同</w:t>
      </w:r>
    </w:p>
    <w:p>
      <w:pPr>
        <w:jc w:val="both"/>
      </w:pPr>
    </w:p>
    <w:p>
      <w:pPr>
        <w:jc w:val="both"/>
      </w:pPr>
      <w:r>
        <w:rPr>
          <w:b/>
          <w:sz w:val="30"/>
        </w:rPr>
        <w:t>甲方：中山市人民医院</w:t>
      </w:r>
      <w:r>
        <w:rPr>
          <w:b/>
          <w:sz w:val="30"/>
        </w:rPr>
        <w:t xml:space="preserve">              </w:t>
      </w:r>
      <w:r>
        <w:rPr>
          <w:b/>
          <w:sz w:val="30"/>
        </w:rPr>
        <w:t>合同签订地：</w:t>
      </w:r>
    </w:p>
    <w:p>
      <w:pPr>
        <w:jc w:val="both"/>
      </w:pPr>
      <w:r>
        <w:rPr>
          <w:b/>
          <w:sz w:val="30"/>
        </w:rPr>
        <w:t>乙方：</w:t>
      </w:r>
      <w:r>
        <w:rPr>
          <w:b/>
          <w:sz w:val="30"/>
        </w:rPr>
        <w:t xml:space="preserve">                                 </w:t>
      </w:r>
    </w:p>
    <w:p>
      <w:pPr>
        <w:ind w:firstLine="480"/>
        <w:jc w:val="left"/>
      </w:pPr>
      <w:r>
        <w:rPr>
          <w:color w:val="000000"/>
          <w:sz w:val="24"/>
        </w:rPr>
        <w:t>为保护甲乙双方合法权益，根据</w:t>
      </w:r>
      <w:r>
        <w:rPr>
          <w:sz w:val="21"/>
          <w:u w:val="single"/>
        </w:rPr>
        <w:t xml:space="preserve">         </w:t>
      </w:r>
      <w:r>
        <w:rPr>
          <w:color w:val="000000"/>
          <w:sz w:val="24"/>
        </w:rPr>
        <w:t>采购项目（项目编号：</w:t>
      </w:r>
      <w:r>
        <w:rPr>
          <w:sz w:val="21"/>
          <w:u w:val="single"/>
        </w:rPr>
        <w:t xml:space="preserve">          </w:t>
      </w:r>
      <w:r>
        <w:rPr>
          <w:color w:val="000000"/>
          <w:sz w:val="24"/>
        </w:rPr>
        <w:t>）的采购结果，以及《中华人民共和国民法典》、《中华人民共和国政府采购法》等相关法律、法规，以及广东省定点采购相关规定，签订本合同，并共同遵守。</w:t>
      </w:r>
    </w:p>
    <w:p>
      <w:pPr>
        <w:jc w:val="both"/>
      </w:pPr>
    </w:p>
    <w:p>
      <w:pPr>
        <w:jc w:val="both"/>
      </w:pPr>
      <w:r>
        <w:rPr>
          <w:b/>
          <w:sz w:val="24"/>
        </w:rPr>
        <w:t>第一条</w:t>
      </w:r>
      <w:r>
        <w:rPr>
          <w:b/>
          <w:sz w:val="24"/>
        </w:rPr>
        <w:t>合同设备</w:t>
      </w:r>
    </w:p>
    <w:p>
      <w:pPr>
        <w:ind w:firstLine="480"/>
        <w:jc w:val="both"/>
      </w:pPr>
      <w:r>
        <w:rPr>
          <w:sz w:val="24"/>
        </w:rPr>
        <w:t>乙方负责向甲方供应下表中所列设备及负责安装调试。</w:t>
      </w:r>
    </w:p>
    <w:p>
      <w:pPr>
        <w:ind w:firstLine="200"/>
        <w:jc w:val="both"/>
      </w:pPr>
    </w:p>
    <w:p>
      <w:pPr>
        <w:ind w:firstLine="200"/>
        <w:jc w:val="center"/>
      </w:pPr>
      <w:r>
        <w:rPr>
          <w:b/>
          <w:sz w:val="24"/>
        </w:rPr>
        <w:t>设备采购明细表</w:t>
      </w:r>
    </w:p>
    <w:p>
      <w:pPr>
        <w:ind w:firstLine="200"/>
        <w:jc w:val="center"/>
      </w:pPr>
    </w:p>
    <w:tbl>
      <w:tblPr>
        <w:tblW w:w="0" w:type="auto"/>
        <w:tblBorders>
          <w:top w:val="none" w:color="000000" w:sz="4"/>
          <w:left w:val="none" w:color="000000" w:sz="4"/>
          <w:bottom w:val="none" w:color="000000" w:sz="4"/>
          <w:right w:val="none" w:color="000000" w:sz="4"/>
          <w:insideH w:val="none"/>
          <w:insideV w:val="none"/>
        </w:tblBorders>
      </w:tblPr>
      <w:tblGrid>
        <w:gridCol w:w="1155"/>
        <w:gridCol w:w="1155"/>
        <w:gridCol w:w="780"/>
        <w:gridCol w:w="840"/>
        <w:gridCol w:w="840"/>
        <w:gridCol w:w="1215"/>
        <w:gridCol w:w="1215"/>
        <w:gridCol w:w="885"/>
      </w:tblGrid>
      <w:tr>
        <w:tc>
          <w:tcPr>
            <w:tcW w:type="dxa" w:w="1155"/>
            <w:tcBorders>
              <w:top w:val="single" w:color="000000" w:sz="4"/>
              <w:left w:val="single" w:color="000000" w:sz="4"/>
              <w:bottom w:val="single" w:color="000000" w:sz="4"/>
              <w:right w:val="single" w:color="000000" w:sz="4"/>
            </w:tcBorders>
            <w:vAlign w:val="top"/>
          </w:tcPr>
          <w:p>
            <w:pPr>
              <w:jc w:val="center"/>
            </w:pPr>
            <w:r>
              <w:rPr>
                <w:sz w:val="21"/>
              </w:rPr>
              <w:t>设备名称</w:t>
            </w:r>
          </w:p>
        </w:tc>
        <w:tc>
          <w:tcPr>
            <w:tcW w:type="dxa" w:w="1155"/>
            <w:tcBorders>
              <w:top w:val="single" w:color="000000" w:sz="4"/>
              <w:left w:val="single" w:color="000000" w:sz="4"/>
              <w:bottom w:val="single" w:color="000000" w:sz="4"/>
              <w:right w:val="single" w:color="000000" w:sz="4"/>
            </w:tcBorders>
            <w:vAlign w:val="top"/>
          </w:tcPr>
          <w:p>
            <w:pPr>
              <w:jc w:val="center"/>
            </w:pPr>
            <w:r>
              <w:rPr>
                <w:sz w:val="21"/>
              </w:rPr>
              <w:t>规格型号</w:t>
            </w:r>
          </w:p>
        </w:tc>
        <w:tc>
          <w:tcPr>
            <w:tcW w:type="dxa" w:w="780"/>
            <w:tcBorders>
              <w:top w:val="single" w:color="000000" w:sz="4"/>
              <w:left w:val="single" w:color="000000" w:sz="4"/>
              <w:bottom w:val="single" w:color="000000" w:sz="4"/>
              <w:right w:val="single" w:color="000000" w:sz="4"/>
            </w:tcBorders>
            <w:vAlign w:val="top"/>
          </w:tcPr>
          <w:p>
            <w:pPr>
              <w:jc w:val="center"/>
            </w:pPr>
            <w:r>
              <w:rPr>
                <w:sz w:val="21"/>
              </w:rPr>
              <w:t>产地</w:t>
            </w:r>
          </w:p>
        </w:tc>
        <w:tc>
          <w:tcPr>
            <w:tcW w:type="dxa" w:w="840"/>
            <w:tcBorders>
              <w:top w:val="single" w:color="000000" w:sz="4"/>
              <w:left w:val="single" w:color="000000" w:sz="4"/>
              <w:bottom w:val="single" w:color="000000" w:sz="4"/>
              <w:right w:val="single" w:color="000000" w:sz="4"/>
            </w:tcBorders>
            <w:vAlign w:val="top"/>
          </w:tcPr>
          <w:p>
            <w:pPr>
              <w:jc w:val="center"/>
            </w:pPr>
            <w:r>
              <w:rPr>
                <w:sz w:val="21"/>
              </w:rPr>
              <w:t>单位</w:t>
            </w:r>
          </w:p>
        </w:tc>
        <w:tc>
          <w:tcPr>
            <w:tcW w:type="dxa" w:w="840"/>
            <w:tcBorders>
              <w:top w:val="single" w:color="000000" w:sz="4"/>
              <w:left w:val="single" w:color="000000" w:sz="4"/>
              <w:bottom w:val="single" w:color="000000" w:sz="4"/>
              <w:right w:val="single" w:color="000000" w:sz="4"/>
            </w:tcBorders>
            <w:vAlign w:val="top"/>
          </w:tcPr>
          <w:p>
            <w:pPr>
              <w:jc w:val="center"/>
            </w:pPr>
            <w:r>
              <w:rPr>
                <w:sz w:val="21"/>
              </w:rPr>
              <w:t>数量</w:t>
            </w:r>
          </w:p>
        </w:tc>
        <w:tc>
          <w:tcPr>
            <w:tcW w:type="dxa" w:w="1215"/>
            <w:tcBorders>
              <w:top w:val="single" w:color="000000" w:sz="4"/>
              <w:left w:val="single" w:color="000000" w:sz="4"/>
              <w:bottom w:val="single" w:color="000000" w:sz="4"/>
              <w:right w:val="single" w:color="000000" w:sz="4"/>
            </w:tcBorders>
            <w:vAlign w:val="top"/>
          </w:tcPr>
          <w:p>
            <w:pPr>
              <w:jc w:val="center"/>
            </w:pPr>
            <w:r>
              <w:rPr>
                <w:sz w:val="21"/>
              </w:rPr>
              <w:t>单价（元）</w:t>
            </w:r>
          </w:p>
        </w:tc>
        <w:tc>
          <w:tcPr>
            <w:tcW w:type="dxa" w:w="1215"/>
            <w:tcBorders>
              <w:top w:val="single" w:color="000000" w:sz="4"/>
              <w:left w:val="single" w:color="000000" w:sz="4"/>
              <w:bottom w:val="single" w:color="000000" w:sz="4"/>
              <w:right w:val="single" w:color="000000" w:sz="4"/>
            </w:tcBorders>
            <w:vAlign w:val="top"/>
          </w:tcPr>
          <w:p>
            <w:r>
              <w:rPr>
                <w:sz w:val="21"/>
              </w:rPr>
              <w:t>总价（元）</w:t>
            </w:r>
          </w:p>
        </w:tc>
        <w:tc>
          <w:tcPr>
            <w:tcW w:type="dxa" w:w="885"/>
            <w:tcBorders>
              <w:top w:val="single" w:color="000000" w:sz="4"/>
              <w:left w:val="single" w:color="000000" w:sz="4"/>
              <w:bottom w:val="single" w:color="000000" w:sz="4"/>
              <w:right w:val="single" w:color="000000" w:sz="4"/>
            </w:tcBorders>
            <w:vAlign w:val="top"/>
          </w:tcPr>
          <w:p>
            <w:pPr>
              <w:jc w:val="center"/>
            </w:pPr>
            <w:r>
              <w:rPr>
                <w:sz w:val="21"/>
              </w:rPr>
              <w:t>备注</w:t>
            </w:r>
          </w:p>
        </w:tc>
      </w:tr>
      <w:tr>
        <w:tc>
          <w:tcPr>
            <w:tcW w:type="dxa" w:w="1155"/>
            <w:tcBorders>
              <w:top w:val="none" w:color="000000" w:sz="4"/>
              <w:left w:val="single" w:color="000000" w:sz="4"/>
              <w:bottom w:val="single" w:color="000000" w:sz="4"/>
              <w:right w:val="single" w:color="000000" w:sz="4"/>
            </w:tcBorders>
            <w:vAlign w:val="top"/>
          </w:tcPr>
          <w:p>
            <w:pPr>
              <w:jc w:val="both"/>
            </w:pPr>
          </w:p>
        </w:tc>
        <w:tc>
          <w:tcPr>
            <w:tcW w:type="dxa" w:w="1155"/>
            <w:tcBorders>
              <w:top w:val="none" w:color="000000" w:sz="4"/>
              <w:left w:val="single" w:color="000000" w:sz="4"/>
              <w:bottom w:val="single" w:color="000000" w:sz="4"/>
              <w:right w:val="single" w:color="000000" w:sz="4"/>
            </w:tcBorders>
            <w:vAlign w:val="top"/>
          </w:tcPr>
          <w:p>
            <w:pPr>
              <w:ind w:firstLine="200"/>
              <w:jc w:val="both"/>
            </w:pPr>
          </w:p>
        </w:tc>
        <w:tc>
          <w:tcPr>
            <w:tcW w:type="dxa" w:w="780"/>
            <w:tcBorders>
              <w:top w:val="none" w:color="000000" w:sz="4"/>
              <w:left w:val="single" w:color="000000" w:sz="4"/>
              <w:bottom w:val="single" w:color="000000" w:sz="4"/>
              <w:right w:val="single" w:color="000000" w:sz="4"/>
            </w:tcBorders>
            <w:vAlign w:val="top"/>
          </w:tcPr>
          <w:p>
            <w:pPr>
              <w:ind w:firstLine="200"/>
              <w:jc w:val="both"/>
            </w:pPr>
          </w:p>
        </w:tc>
        <w:tc>
          <w:tcPr>
            <w:tcW w:type="dxa" w:w="840"/>
            <w:tcBorders>
              <w:top w:val="none" w:color="000000" w:sz="4"/>
              <w:left w:val="single" w:color="000000" w:sz="4"/>
              <w:bottom w:val="single" w:color="000000" w:sz="4"/>
              <w:right w:val="single" w:color="000000" w:sz="4"/>
            </w:tcBorders>
            <w:vAlign w:val="top"/>
          </w:tcPr>
          <w:p>
            <w:pPr>
              <w:ind w:firstLine="200"/>
              <w:jc w:val="both"/>
            </w:pPr>
          </w:p>
        </w:tc>
        <w:tc>
          <w:tcPr>
            <w:tcW w:type="dxa" w:w="840"/>
            <w:tcBorders>
              <w:top w:val="none" w:color="000000" w:sz="4"/>
              <w:left w:val="single" w:color="000000" w:sz="4"/>
              <w:bottom w:val="single" w:color="000000" w:sz="4"/>
              <w:right w:val="single" w:color="000000" w:sz="4"/>
            </w:tcBorders>
            <w:vAlign w:val="top"/>
          </w:tcPr>
          <w:p>
            <w:pPr>
              <w:ind w:firstLine="200"/>
              <w:jc w:val="both"/>
            </w:pPr>
          </w:p>
        </w:tc>
        <w:tc>
          <w:tcPr>
            <w:tcW w:type="dxa" w:w="1215"/>
            <w:tcBorders>
              <w:top w:val="none" w:color="000000" w:sz="4"/>
              <w:left w:val="single" w:color="000000" w:sz="4"/>
              <w:bottom w:val="single" w:color="000000" w:sz="4"/>
              <w:right w:val="single" w:color="000000" w:sz="4"/>
            </w:tcBorders>
            <w:vAlign w:val="top"/>
          </w:tcPr>
          <w:p>
            <w:pPr>
              <w:ind w:firstLine="200"/>
              <w:jc w:val="both"/>
            </w:pPr>
          </w:p>
        </w:tc>
        <w:tc>
          <w:tcPr>
            <w:tcW w:type="dxa" w:w="1215"/>
            <w:tcBorders>
              <w:top w:val="none" w:color="000000" w:sz="4"/>
              <w:left w:val="single" w:color="000000" w:sz="4"/>
              <w:bottom w:val="single" w:color="000000" w:sz="4"/>
              <w:right w:val="single" w:color="000000" w:sz="4"/>
            </w:tcBorders>
            <w:vAlign w:val="top"/>
          </w:tcPr>
          <w:p>
            <w:pPr>
              <w:ind w:firstLine="200"/>
              <w:jc w:val="both"/>
            </w:pPr>
          </w:p>
        </w:tc>
        <w:tc>
          <w:tcPr>
            <w:tcW w:type="dxa" w:w="885"/>
            <w:tcBorders>
              <w:top w:val="none" w:color="000000" w:sz="4"/>
              <w:left w:val="single" w:color="000000" w:sz="4"/>
              <w:bottom w:val="single" w:color="000000" w:sz="4"/>
              <w:right w:val="single" w:color="000000" w:sz="4"/>
            </w:tcBorders>
            <w:vAlign w:val="top"/>
          </w:tcPr>
          <w:p>
            <w:pPr>
              <w:ind w:firstLine="200"/>
              <w:jc w:val="both"/>
            </w:pPr>
          </w:p>
        </w:tc>
      </w:tr>
      <w:tr>
        <w:tc>
          <w:tcPr>
            <w:tcW w:type="dxa" w:w="1155"/>
            <w:tcBorders>
              <w:top w:val="none" w:color="000000" w:sz="4"/>
              <w:left w:val="single" w:color="000000" w:sz="4"/>
              <w:bottom w:val="single" w:color="000000" w:sz="4"/>
              <w:right w:val="single" w:color="000000" w:sz="4"/>
            </w:tcBorders>
            <w:vAlign w:val="top"/>
          </w:tcPr>
          <w:p>
            <w:pPr>
              <w:ind w:firstLine="200"/>
              <w:jc w:val="both"/>
            </w:pPr>
            <w:r>
              <w:rPr>
                <w:sz w:val="24"/>
              </w:rPr>
              <w:t>总价</w:t>
            </w:r>
            <w:r>
              <w:rPr>
                <w:sz w:val="24"/>
              </w:rPr>
              <w:t>（元）</w:t>
            </w:r>
          </w:p>
        </w:tc>
        <w:tc>
          <w:tcPr>
            <w:tcW w:type="dxa" w:w="6930"/>
            <w:gridSpan w:val="7"/>
            <w:tcBorders>
              <w:top w:val="none" w:color="000000" w:sz="4"/>
              <w:left w:val="single" w:color="000000" w:sz="4"/>
              <w:bottom w:val="single" w:color="000000" w:sz="4"/>
              <w:right w:val="single" w:color="000000" w:sz="4"/>
            </w:tcBorders>
            <w:vAlign w:val="top"/>
          </w:tcPr>
          <w:p>
            <w:pPr>
              <w:ind w:firstLine="200"/>
              <w:jc w:val="both"/>
            </w:pPr>
            <w:r>
              <w:rPr>
                <w:sz w:val="24"/>
              </w:rPr>
              <w:t>（大写）人民币</w:t>
            </w:r>
            <w:r>
              <w:rPr>
                <w:sz w:val="21"/>
                <w:u w:val="single"/>
              </w:rPr>
              <w:t xml:space="preserve">                  </w:t>
            </w:r>
            <w:r>
              <w:rPr>
                <w:sz w:val="24"/>
              </w:rPr>
              <w:t>，</w:t>
            </w:r>
          </w:p>
          <w:p>
            <w:pPr>
              <w:ind w:firstLine="200"/>
              <w:jc w:val="both"/>
            </w:pPr>
            <w:r>
              <w:rPr>
                <w:sz w:val="24"/>
              </w:rPr>
              <w:t>（小写）￥</w:t>
            </w:r>
            <w:r>
              <w:rPr>
                <w:sz w:val="21"/>
                <w:u w:val="single"/>
              </w:rPr>
              <w:t xml:space="preserve">                     </w:t>
            </w:r>
          </w:p>
        </w:tc>
      </w:tr>
    </w:tbl>
    <w:p>
      <w:pPr>
        <w:jc w:val="both"/>
      </w:pPr>
    </w:p>
    <w:p>
      <w:pPr>
        <w:jc w:val="both"/>
      </w:pPr>
      <w:r>
        <w:rPr>
          <w:b/>
          <w:sz w:val="24"/>
        </w:rPr>
        <w:t>第二条</w:t>
      </w:r>
      <w:r>
        <w:rPr>
          <w:b/>
          <w:sz w:val="24"/>
        </w:rPr>
        <w:t>合同总</w:t>
      </w:r>
      <w:r>
        <w:rPr>
          <w:b/>
          <w:sz w:val="24"/>
        </w:rPr>
        <w:t>额</w:t>
      </w:r>
    </w:p>
    <w:p>
      <w:pPr>
        <w:ind w:firstLine="480"/>
        <w:jc w:val="both"/>
      </w:pPr>
      <w:r>
        <w:rPr>
          <w:sz w:val="24"/>
        </w:rPr>
        <w:t>总价为（大写）：人民币</w:t>
      </w:r>
      <w:r>
        <w:rPr>
          <w:sz w:val="21"/>
          <w:u w:val="single"/>
        </w:rPr>
        <w:t xml:space="preserve">          </w:t>
      </w:r>
      <w:r>
        <w:rPr>
          <w:sz w:val="24"/>
        </w:rPr>
        <w:t>，即（小写）￥</w:t>
      </w:r>
      <w:r>
        <w:rPr>
          <w:sz w:val="21"/>
          <w:u w:val="single"/>
        </w:rPr>
        <w:t xml:space="preserve">         </w:t>
      </w:r>
      <w:r>
        <w:rPr>
          <w:sz w:val="24"/>
        </w:rPr>
        <w:t>元，该合同总金额是设计、设备制造、包装、仓储、运输、装卸、安装及验收合格之前和保修期内与备品备件发生的所有含税费用，含医院网络连接与调试。本合同执行期间合同总金额不变。</w:t>
      </w:r>
    </w:p>
    <w:p>
      <w:pPr>
        <w:jc w:val="both"/>
      </w:pPr>
    </w:p>
    <w:p>
      <w:pPr>
        <w:jc w:val="both"/>
      </w:pPr>
      <w:r>
        <w:rPr>
          <w:b/>
          <w:sz w:val="24"/>
        </w:rPr>
        <w:t>第三条</w:t>
      </w:r>
      <w:r>
        <w:rPr>
          <w:b/>
          <w:sz w:val="24"/>
        </w:rPr>
        <w:t>合同组成</w:t>
      </w:r>
    </w:p>
    <w:p>
      <w:pPr>
        <w:ind w:firstLine="480"/>
        <w:jc w:val="both"/>
      </w:pPr>
      <w:r>
        <w:rPr>
          <w:sz w:val="24"/>
        </w:rPr>
        <w:t>详细价格、技术说明及其它有关合同设备的特定信息由合同附件说明。所有附件及本项目的招投标文件、会议纪要、协议等均为本合同不可分割之一部分。</w:t>
      </w:r>
    </w:p>
    <w:p>
      <w:pPr>
        <w:jc w:val="both"/>
      </w:pPr>
    </w:p>
    <w:p>
      <w:pPr>
        <w:jc w:val="both"/>
      </w:pPr>
      <w:r>
        <w:rPr>
          <w:b/>
          <w:sz w:val="24"/>
        </w:rPr>
        <w:t>第四条</w:t>
      </w:r>
      <w:r>
        <w:rPr>
          <w:b/>
          <w:sz w:val="24"/>
        </w:rPr>
        <w:t>技术要求</w:t>
      </w:r>
    </w:p>
    <w:p>
      <w:pPr>
        <w:ind w:firstLine="480"/>
        <w:jc w:val="both"/>
      </w:pPr>
      <w:r>
        <w:rPr>
          <w:sz w:val="24"/>
        </w:rPr>
        <w:t>乙方所提供设备，必须符合国家有关规范和环保要求及甲方的技术要求，并提供设备的出厂试测验报告。所有货物及服务不得侵犯第三方版权、专利等。</w:t>
      </w:r>
    </w:p>
    <w:p>
      <w:pPr>
        <w:jc w:val="both"/>
      </w:pPr>
    </w:p>
    <w:p>
      <w:pPr>
        <w:jc w:val="both"/>
      </w:pPr>
      <w:r>
        <w:rPr>
          <w:b/>
          <w:sz w:val="24"/>
        </w:rPr>
        <w:t>第五条</w:t>
      </w:r>
      <w:r>
        <w:rPr>
          <w:b/>
          <w:sz w:val="24"/>
        </w:rPr>
        <w:t xml:space="preserve"> </w:t>
      </w:r>
      <w:r>
        <w:rPr>
          <w:b/>
          <w:sz w:val="24"/>
        </w:rPr>
        <w:t>合同设备包装、交货、安装、调试及验收</w:t>
      </w:r>
    </w:p>
    <w:p>
      <w:pPr>
        <w:ind w:firstLine="480"/>
        <w:jc w:val="both"/>
      </w:pPr>
      <w:r>
        <w:rPr>
          <w:sz w:val="24"/>
        </w:rPr>
        <w:t>1</w:t>
      </w:r>
      <w:r>
        <w:rPr>
          <w:sz w:val="24"/>
        </w:rPr>
        <w:t>.合同设备的包装</w:t>
      </w:r>
    </w:p>
    <w:p>
      <w:pPr>
        <w:ind w:firstLine="480"/>
        <w:jc w:val="both"/>
      </w:pPr>
      <w:r>
        <w:rPr>
          <w:sz w:val="24"/>
        </w:rPr>
        <w:t>设备的包装均应有良好的防湿、防锈、防潮、防雨、防腐及防碰撞的措施。凡由于包装不良造成的损失和由此产生的费用均由乙方承担。</w:t>
      </w:r>
    </w:p>
    <w:p>
      <w:pPr>
        <w:ind w:firstLine="480"/>
        <w:jc w:val="both"/>
      </w:pPr>
      <w:r>
        <w:rPr>
          <w:sz w:val="24"/>
        </w:rPr>
        <w:t>2</w:t>
      </w:r>
      <w:r>
        <w:rPr>
          <w:sz w:val="24"/>
        </w:rPr>
        <w:t>.合同设备的交货</w:t>
      </w:r>
    </w:p>
    <w:p>
      <w:pPr>
        <w:ind w:firstLine="480"/>
        <w:jc w:val="both"/>
      </w:pPr>
      <w:r>
        <w:rPr>
          <w:sz w:val="24"/>
        </w:rPr>
        <w:t>（</w:t>
      </w:r>
      <w:r>
        <w:rPr>
          <w:sz w:val="24"/>
        </w:rPr>
        <w:t>1）</w:t>
      </w:r>
      <w:r>
        <w:rPr>
          <w:sz w:val="21"/>
        </w:rPr>
        <w:t xml:space="preserve"> </w:t>
      </w:r>
      <w:r>
        <w:rPr>
          <w:sz w:val="24"/>
        </w:rPr>
        <w:t>乙方交货时间：签订合同后</w:t>
      </w:r>
      <w:r>
        <w:rPr>
          <w:sz w:val="21"/>
          <w:u w:val="single"/>
        </w:rPr>
        <w:t xml:space="preserve">    </w:t>
      </w:r>
      <w:r>
        <w:rPr>
          <w:sz w:val="24"/>
        </w:rPr>
        <w:t>天内。</w:t>
      </w:r>
    </w:p>
    <w:p>
      <w:pPr>
        <w:ind w:firstLine="480"/>
        <w:jc w:val="both"/>
      </w:pPr>
      <w:r>
        <w:rPr>
          <w:sz w:val="24"/>
        </w:rPr>
        <w:t>（</w:t>
      </w:r>
      <w:r>
        <w:rPr>
          <w:sz w:val="24"/>
        </w:rPr>
        <w:t>2）</w:t>
      </w:r>
      <w:r>
        <w:rPr>
          <w:sz w:val="21"/>
        </w:rPr>
        <w:t xml:space="preserve"> </w:t>
      </w:r>
      <w:r>
        <w:rPr>
          <w:sz w:val="24"/>
        </w:rPr>
        <w:t>乙方交货地点：甲方指定地点。</w:t>
      </w:r>
    </w:p>
    <w:p>
      <w:pPr>
        <w:ind w:firstLine="480"/>
        <w:jc w:val="both"/>
      </w:pPr>
      <w:r>
        <w:rPr>
          <w:sz w:val="24"/>
        </w:rPr>
        <w:t>3.合同设备的安装调试</w:t>
      </w:r>
    </w:p>
    <w:p>
      <w:pPr>
        <w:ind w:firstLine="480"/>
        <w:jc w:val="both"/>
      </w:pPr>
      <w:r>
        <w:rPr>
          <w:sz w:val="24"/>
        </w:rPr>
        <w:t>（</w:t>
      </w:r>
      <w:r>
        <w:rPr>
          <w:sz w:val="24"/>
        </w:rPr>
        <w:t>1）</w:t>
      </w:r>
      <w:r>
        <w:rPr>
          <w:sz w:val="21"/>
        </w:rPr>
        <w:t xml:space="preserve"> </w:t>
      </w:r>
      <w:r>
        <w:rPr>
          <w:sz w:val="24"/>
        </w:rPr>
        <w:t>乙方负责合同项下的安装调试，一切费用由乙方负责。</w:t>
      </w:r>
    </w:p>
    <w:p>
      <w:pPr>
        <w:ind w:firstLine="480"/>
        <w:jc w:val="both"/>
      </w:pPr>
      <w:r>
        <w:rPr>
          <w:sz w:val="24"/>
        </w:rPr>
        <w:t>（</w:t>
      </w:r>
      <w:r>
        <w:rPr>
          <w:sz w:val="24"/>
        </w:rPr>
        <w:t>2）</w:t>
      </w:r>
      <w:r>
        <w:rPr>
          <w:sz w:val="21"/>
        </w:rPr>
        <w:t xml:space="preserve"> </w:t>
      </w:r>
      <w:r>
        <w:rPr>
          <w:sz w:val="24"/>
        </w:rPr>
        <w:t>乙方安装时须对各安装场地内的其它设备、设施有良好保护措施。</w:t>
      </w:r>
    </w:p>
    <w:p>
      <w:pPr>
        <w:ind w:firstLine="480"/>
        <w:jc w:val="both"/>
      </w:pPr>
      <w:r>
        <w:rPr>
          <w:sz w:val="24"/>
        </w:rPr>
        <w:t>4.设备的验收</w:t>
      </w:r>
    </w:p>
    <w:p>
      <w:pPr>
        <w:ind w:firstLine="480"/>
        <w:jc w:val="both"/>
      </w:pPr>
      <w:r>
        <w:rPr>
          <w:sz w:val="24"/>
        </w:rPr>
        <w:t>（</w:t>
      </w:r>
      <w:r>
        <w:rPr>
          <w:sz w:val="24"/>
        </w:rPr>
        <w:t>1）合同设备安装调试完成并移交所有资料文档后，经临床科室试用</w:t>
      </w:r>
      <w:r>
        <w:rPr>
          <w:sz w:val="21"/>
          <w:u w:val="single"/>
        </w:rPr>
        <w:t xml:space="preserve">   </w:t>
      </w:r>
      <w:r>
        <w:rPr>
          <w:sz w:val="24"/>
        </w:rPr>
        <w:t>个工作日后验收，验收应在甲乙双方共同参加下进行，验收标准按照国家有关标准。</w:t>
      </w:r>
    </w:p>
    <w:p>
      <w:pPr>
        <w:ind w:firstLine="480"/>
        <w:jc w:val="both"/>
      </w:pPr>
      <w:r>
        <w:rPr>
          <w:sz w:val="24"/>
        </w:rPr>
        <w:t>（</w:t>
      </w:r>
      <w:r>
        <w:rPr>
          <w:sz w:val="24"/>
        </w:rPr>
        <w:t>2）</w:t>
      </w:r>
      <w:r>
        <w:rPr>
          <w:sz w:val="21"/>
        </w:rPr>
        <w:t xml:space="preserve"> </w:t>
      </w:r>
      <w:r>
        <w:rPr>
          <w:sz w:val="24"/>
        </w:rPr>
        <w:t>验收按国家有关的规定、规范进行。验收时如发现所交付的设备有短装、次品、损坏或其它不符合本合同规定之情形者，甲方应做出详尽的现场记录，或由甲乙双方签署备忘录。此现场记录或备忘录可用作补充、缺失和更换损坏部件的有效证据。由此产生的有关费用由乙方承担，验收期限相应后延。</w:t>
      </w:r>
    </w:p>
    <w:p>
      <w:pPr>
        <w:ind w:firstLine="480"/>
        <w:jc w:val="both"/>
      </w:pPr>
      <w:r>
        <w:rPr>
          <w:sz w:val="24"/>
        </w:rPr>
        <w:t>（</w:t>
      </w:r>
      <w:r>
        <w:rPr>
          <w:sz w:val="24"/>
        </w:rPr>
        <w:t>3）如果合同设备运输和安装调试过程中因事故造成货物短缺、损坏，乙方应及时安排换装，以保证合同设备安装调试的成功完成。换货的相关费用由乙方承担。</w:t>
      </w:r>
    </w:p>
    <w:p>
      <w:pPr>
        <w:ind w:firstLine="480"/>
        <w:jc w:val="both"/>
      </w:pPr>
      <w:r>
        <w:rPr>
          <w:sz w:val="24"/>
        </w:rPr>
        <w:t>（</w:t>
      </w:r>
      <w:r>
        <w:rPr>
          <w:sz w:val="24"/>
        </w:rPr>
        <w:t>4）国内产品或合资厂的产品必须具备出厂合格证。</w:t>
      </w:r>
    </w:p>
    <w:p>
      <w:pPr>
        <w:ind w:firstLine="480"/>
        <w:jc w:val="both"/>
      </w:pPr>
      <w:r>
        <w:rPr>
          <w:sz w:val="24"/>
        </w:rPr>
        <w:t>（</w:t>
      </w:r>
      <w:r>
        <w:rPr>
          <w:sz w:val="24"/>
        </w:rPr>
        <w:t>5）进口产品必须具备省级（或相当于省级）商检部门的检验证明，及正常报关证明。</w:t>
      </w:r>
    </w:p>
    <w:p>
      <w:pPr>
        <w:ind w:firstLine="480"/>
        <w:jc w:val="both"/>
      </w:pPr>
      <w:r>
        <w:rPr>
          <w:sz w:val="24"/>
        </w:rPr>
        <w:t>5.如乙方没有及时提供相关证件（如商检证等），有可能影响验收进程，所导致的经济损失，由乙方自行承担。</w:t>
      </w:r>
    </w:p>
    <w:p>
      <w:pPr>
        <w:ind w:firstLine="480"/>
        <w:jc w:val="both"/>
      </w:pPr>
      <w:r>
        <w:rPr>
          <w:sz w:val="24"/>
        </w:rPr>
        <w:t>6.乙方保证合同项下提供的设备不侵犯任何第三方的专利、商标或版权。否则，乙方须承担对第三方的专利或版权的侵权责任并承担因此而发生的所有费用。</w:t>
      </w:r>
    </w:p>
    <w:p>
      <w:pPr>
        <w:jc w:val="both"/>
      </w:pPr>
    </w:p>
    <w:p>
      <w:pPr>
        <w:jc w:val="both"/>
      </w:pPr>
      <w:r>
        <w:rPr>
          <w:b/>
          <w:sz w:val="24"/>
        </w:rPr>
        <w:t>第六条</w:t>
      </w:r>
      <w:r>
        <w:rPr>
          <w:b/>
          <w:sz w:val="24"/>
        </w:rPr>
        <w:t>质量保证及售后服务</w:t>
      </w:r>
    </w:p>
    <w:p>
      <w:pPr>
        <w:ind w:firstLine="480"/>
        <w:jc w:val="both"/>
      </w:pPr>
      <w:r>
        <w:rPr>
          <w:sz w:val="24"/>
        </w:rPr>
        <w:t>1.乙方保证合同设备是全新、未曾使用过的，其质量、规格及技术特征符合合同附件的要求。</w:t>
      </w:r>
    </w:p>
    <w:p>
      <w:pPr>
        <w:ind w:firstLine="480"/>
        <w:jc w:val="both"/>
      </w:pPr>
      <w:r>
        <w:rPr>
          <w:sz w:val="24"/>
        </w:rPr>
        <w:t>2.合同设备保质保用期按生产厂家的标准执行，整机保修期</w:t>
      </w:r>
      <w:r>
        <w:rPr>
          <w:sz w:val="21"/>
          <w:u w:val="single"/>
        </w:rPr>
        <w:t xml:space="preserve">    </w:t>
      </w:r>
      <w:r>
        <w:rPr>
          <w:sz w:val="24"/>
        </w:rPr>
        <w:t>年，（用户单位验收合格之日起计算）。保证零配件供应不少于十年。有培训计划，至少两名以上医生熟练掌握使用设备为止。保质保用期内非甲方的人为原因而出现产品质量及安装问题，由乙方负责包修、包换或包退，并承担因此而产生的一切费用。乙方应在收到甲方通知后派员到现场维修。</w:t>
      </w:r>
    </w:p>
    <w:p>
      <w:pPr>
        <w:ind w:firstLine="200"/>
        <w:jc w:val="both"/>
      </w:pPr>
      <w:r>
        <w:rPr>
          <w:sz w:val="24"/>
        </w:rPr>
        <w:t>下列情况乙方不负责免费保修：</w:t>
      </w:r>
    </w:p>
    <w:p>
      <w:pPr>
        <w:ind w:firstLine="200"/>
        <w:jc w:val="both"/>
      </w:pPr>
      <w:r>
        <w:rPr>
          <w:sz w:val="24"/>
        </w:rPr>
        <w:t>（</w:t>
      </w:r>
      <w:r>
        <w:rPr>
          <w:sz w:val="24"/>
        </w:rPr>
        <w:t>1</w:t>
      </w:r>
      <w:r>
        <w:rPr>
          <w:sz w:val="24"/>
        </w:rPr>
        <w:t>）甲方不按照乙方提供的正确使用方法而引致设备故障损坏；</w:t>
      </w:r>
    </w:p>
    <w:p>
      <w:pPr>
        <w:ind w:firstLine="200"/>
        <w:jc w:val="both"/>
      </w:pPr>
      <w:r>
        <w:rPr>
          <w:sz w:val="24"/>
        </w:rPr>
        <w:t>（</w:t>
      </w:r>
      <w:r>
        <w:rPr>
          <w:sz w:val="24"/>
        </w:rPr>
        <w:t>2</w:t>
      </w:r>
      <w:r>
        <w:rPr>
          <w:sz w:val="24"/>
        </w:rPr>
        <w:t>）擅自改装设备；</w:t>
      </w:r>
    </w:p>
    <w:p>
      <w:pPr>
        <w:ind w:firstLine="200"/>
        <w:jc w:val="both"/>
      </w:pPr>
      <w:r>
        <w:rPr>
          <w:sz w:val="24"/>
        </w:rPr>
        <w:t>（</w:t>
      </w:r>
      <w:r>
        <w:rPr>
          <w:sz w:val="24"/>
        </w:rPr>
        <w:t>3</w:t>
      </w:r>
      <w:r>
        <w:rPr>
          <w:sz w:val="24"/>
        </w:rPr>
        <w:t>）各种人为因素或天灾等外来因素造成的损坏。</w:t>
      </w:r>
    </w:p>
    <w:p>
      <w:pPr>
        <w:ind w:firstLine="480"/>
        <w:jc w:val="both"/>
      </w:pPr>
      <w:r>
        <w:rPr>
          <w:sz w:val="24"/>
        </w:rPr>
        <w:t>3.货物交付使用后以书面形式承诺维修服务，实行终身维护：</w:t>
      </w:r>
    </w:p>
    <w:p>
      <w:pPr>
        <w:ind w:firstLine="480"/>
        <w:jc w:val="both"/>
      </w:pPr>
      <w:r>
        <w:rPr>
          <w:sz w:val="24"/>
        </w:rPr>
        <w:t>4.</w:t>
      </w:r>
      <w:r>
        <w:rPr>
          <w:sz w:val="24"/>
        </w:rPr>
        <w:t>所有保修服务方式均为</w:t>
      </w:r>
      <w:r>
        <w:rPr>
          <w:sz w:val="24"/>
        </w:rPr>
        <w:t>乙方</w:t>
      </w:r>
      <w:r>
        <w:rPr>
          <w:sz w:val="24"/>
        </w:rPr>
        <w:t>上门保修，即由</w:t>
      </w:r>
      <w:r>
        <w:rPr>
          <w:sz w:val="24"/>
        </w:rPr>
        <w:t>乙方</w:t>
      </w:r>
      <w:r>
        <w:rPr>
          <w:sz w:val="24"/>
        </w:rPr>
        <w:t>派员到甲方设备使用现场维修，由此产生的一切费用均由</w:t>
      </w:r>
      <w:r>
        <w:rPr>
          <w:sz w:val="24"/>
        </w:rPr>
        <w:t>乙方</w:t>
      </w:r>
      <w:r>
        <w:rPr>
          <w:sz w:val="24"/>
        </w:rPr>
        <w:t>承担。</w:t>
      </w:r>
    </w:p>
    <w:p>
      <w:pPr>
        <w:ind w:firstLine="480"/>
        <w:jc w:val="both"/>
      </w:pPr>
      <w:r>
        <w:rPr>
          <w:sz w:val="24"/>
        </w:rPr>
        <w:t>5.因设备的质量问题而发生争议，由广东省或中山市质检部门进行质量鉴定。设备符合质量标准的，鉴定费用由甲方承担；设备不符合质量标准的，鉴定费用由乙方承担。</w:t>
      </w:r>
    </w:p>
    <w:p>
      <w:pPr>
        <w:ind w:firstLine="480"/>
        <w:jc w:val="both"/>
      </w:pPr>
      <w:r>
        <w:rPr>
          <w:sz w:val="24"/>
        </w:rPr>
        <w:t>6.乙方为甲方提供操作及维护培训，主要内容为设备的基本结构、性能、主要部件的构造及原理，日常使用操作、保养与管理，常见故障的排除，紧急情况的处理等，培训地点主要在设备安装现场或按甲乙双方协商安排。</w:t>
      </w:r>
    </w:p>
    <w:p>
      <w:pPr>
        <w:ind w:firstLine="480"/>
        <w:jc w:val="both"/>
      </w:pPr>
      <w:r>
        <w:rPr>
          <w:sz w:val="24"/>
        </w:rPr>
        <w:t>7.保修期内厂家每年免费回访设备至少</w:t>
      </w:r>
      <w:r>
        <w:rPr>
          <w:sz w:val="21"/>
          <w:u w:val="single"/>
        </w:rPr>
        <w:t xml:space="preserve">    </w:t>
      </w:r>
      <w:r>
        <w:rPr>
          <w:sz w:val="24"/>
        </w:rPr>
        <w:t>次。</w:t>
      </w:r>
    </w:p>
    <w:p>
      <w:pPr>
        <w:ind w:firstLine="480"/>
        <w:jc w:val="both"/>
      </w:pPr>
      <w:r>
        <w:rPr>
          <w:sz w:val="24"/>
        </w:rPr>
        <w:t>8.接到报修电话后，厂家工程师</w:t>
      </w:r>
      <w:r>
        <w:rPr>
          <w:sz w:val="21"/>
          <w:u w:val="single"/>
        </w:rPr>
        <w:t xml:space="preserve">   </w:t>
      </w:r>
      <w:r>
        <w:rPr>
          <w:sz w:val="24"/>
        </w:rPr>
        <w:t>小时内响应，</w:t>
      </w:r>
      <w:r>
        <w:rPr>
          <w:sz w:val="21"/>
          <w:u w:val="single"/>
        </w:rPr>
        <w:t xml:space="preserve">   </w:t>
      </w:r>
      <w:r>
        <w:rPr>
          <w:sz w:val="24"/>
        </w:rPr>
        <w:t>小时到达现场，</w:t>
      </w:r>
      <w:r>
        <w:rPr>
          <w:sz w:val="21"/>
          <w:u w:val="single"/>
        </w:rPr>
        <w:t xml:space="preserve">   </w:t>
      </w:r>
      <w:r>
        <w:rPr>
          <w:sz w:val="24"/>
        </w:rPr>
        <w:t>小时内解决问题。</w:t>
      </w:r>
    </w:p>
    <w:p>
      <w:pPr>
        <w:jc w:val="both"/>
      </w:pPr>
    </w:p>
    <w:p>
      <w:pPr>
        <w:jc w:val="both"/>
      </w:pPr>
      <w:r>
        <w:rPr>
          <w:b/>
          <w:sz w:val="24"/>
        </w:rPr>
        <w:t>第七条</w:t>
      </w:r>
      <w:r>
        <w:rPr>
          <w:b/>
          <w:sz w:val="24"/>
        </w:rPr>
        <w:t>付款方式及履约保证金</w:t>
      </w:r>
    </w:p>
    <w:p>
      <w:pPr>
        <w:ind w:firstLine="480"/>
        <w:jc w:val="left"/>
      </w:pPr>
      <w:r>
        <w:rPr>
          <w:sz w:val="24"/>
        </w:rPr>
        <w:t>1.</w:t>
      </w:r>
      <w:r>
        <w:rPr>
          <w:sz w:val="24"/>
        </w:rPr>
        <w:t>合同总额支付方式为一次性付款。</w:t>
      </w:r>
    </w:p>
    <w:p>
      <w:pPr>
        <w:ind w:firstLine="480"/>
        <w:jc w:val="left"/>
      </w:pPr>
      <w:r>
        <w:rPr>
          <w:sz w:val="24"/>
        </w:rPr>
        <w:t>2.合同签订后</w:t>
      </w:r>
      <w:r>
        <w:rPr>
          <w:sz w:val="21"/>
          <w:u w:val="single"/>
        </w:rPr>
        <w:t xml:space="preserve">    </w:t>
      </w:r>
      <w:r>
        <w:rPr>
          <w:sz w:val="24"/>
        </w:rPr>
        <w:t>日内，乙方向甲方交付合同总额的</w:t>
      </w:r>
      <w:r>
        <w:rPr>
          <w:sz w:val="21"/>
          <w:u w:val="single"/>
        </w:rPr>
        <w:t xml:space="preserve">  </w:t>
      </w:r>
      <w:r>
        <w:rPr>
          <w:sz w:val="24"/>
        </w:rPr>
        <w:t>%（即￥</w:t>
      </w:r>
      <w:r>
        <w:rPr>
          <w:sz w:val="21"/>
          <w:u w:val="single"/>
        </w:rPr>
        <w:t xml:space="preserve">     </w:t>
      </w:r>
      <w:r>
        <w:rPr>
          <w:sz w:val="24"/>
        </w:rPr>
        <w:t>）作为</w:t>
      </w:r>
      <w:r>
        <w:rPr>
          <w:sz w:val="24"/>
        </w:rPr>
        <w:t>履约保证金</w:t>
      </w:r>
      <w:r>
        <w:rPr>
          <w:sz w:val="24"/>
        </w:rPr>
        <w:t>或提交银行保函。合同质保期满，经甲方考核合格后，</w:t>
      </w:r>
      <w:r>
        <w:rPr>
          <w:sz w:val="24"/>
        </w:rPr>
        <w:t>履约保证金</w:t>
      </w:r>
      <w:r>
        <w:rPr>
          <w:sz w:val="24"/>
        </w:rPr>
        <w:t>不计利息一次性返还。若乙方未按时交付</w:t>
      </w:r>
      <w:r>
        <w:rPr>
          <w:sz w:val="24"/>
        </w:rPr>
        <w:t>履约保证金</w:t>
      </w:r>
      <w:r>
        <w:rPr>
          <w:sz w:val="24"/>
        </w:rPr>
        <w:t>或提交银行保函，即视为乙方违约，甲方有权终止合同。</w:t>
      </w:r>
    </w:p>
    <w:p>
      <w:pPr>
        <w:ind w:firstLine="480"/>
        <w:jc w:val="left"/>
      </w:pPr>
      <w:r>
        <w:rPr>
          <w:sz w:val="21"/>
        </w:rPr>
        <w:t xml:space="preserve">    </w:t>
      </w:r>
      <w:r>
        <w:rPr>
          <w:sz w:val="24"/>
        </w:rPr>
        <w:t>3.合同约定的货物送达或服务完成后，经甲方确认验收合格，乙方即出具有效发票给甲方，甲方在收到发票之日起</w:t>
      </w:r>
      <w:r>
        <w:rPr>
          <w:sz w:val="21"/>
          <w:u w:val="single"/>
        </w:rPr>
        <w:t xml:space="preserve">    </w:t>
      </w:r>
      <w:r>
        <w:rPr>
          <w:sz w:val="24"/>
        </w:rPr>
        <w:t>日内，支付合同总额</w:t>
      </w:r>
      <w:r>
        <w:rPr>
          <w:sz w:val="24"/>
        </w:rPr>
        <w:t>100%的合同费用，即￥</w:t>
      </w:r>
      <w:r>
        <w:rPr>
          <w:sz w:val="21"/>
          <w:u w:val="single"/>
        </w:rPr>
        <w:t xml:space="preserve">      </w:t>
      </w:r>
      <w:r>
        <w:rPr>
          <w:sz w:val="24"/>
        </w:rPr>
        <w:t>。</w:t>
      </w:r>
    </w:p>
    <w:p>
      <w:pPr>
        <w:ind w:firstLine="480"/>
        <w:jc w:val="left"/>
      </w:pPr>
      <w:r>
        <w:rPr>
          <w:sz w:val="21"/>
        </w:rPr>
        <w:t xml:space="preserve">    </w:t>
      </w:r>
      <w:r>
        <w:rPr>
          <w:sz w:val="24"/>
        </w:rPr>
        <w:t>4. 乙方银行账号信息</w:t>
      </w:r>
    </w:p>
    <w:p>
      <w:pPr>
        <w:ind w:firstLine="480"/>
        <w:jc w:val="left"/>
      </w:pPr>
      <w:r>
        <w:rPr>
          <w:sz w:val="21"/>
        </w:rPr>
        <w:t xml:space="preserve">    </w:t>
      </w:r>
      <w:r>
        <w:rPr>
          <w:sz w:val="24"/>
        </w:rPr>
        <w:t>开户名称：</w:t>
      </w:r>
      <w:r>
        <w:rPr>
          <w:sz w:val="21"/>
          <w:u w:val="single"/>
        </w:rPr>
        <w:t xml:space="preserve">           </w:t>
      </w:r>
    </w:p>
    <w:p>
      <w:pPr>
        <w:ind w:firstLine="480"/>
        <w:jc w:val="left"/>
      </w:pPr>
      <w:r>
        <w:rPr>
          <w:sz w:val="24"/>
        </w:rPr>
        <w:t>银行账户：</w:t>
      </w:r>
      <w:r>
        <w:rPr>
          <w:sz w:val="21"/>
          <w:u w:val="single"/>
        </w:rPr>
        <w:t xml:space="preserve">             </w:t>
      </w:r>
    </w:p>
    <w:p>
      <w:pPr>
        <w:ind w:firstLine="480"/>
        <w:jc w:val="left"/>
      </w:pPr>
      <w:r>
        <w:rPr>
          <w:sz w:val="24"/>
        </w:rPr>
        <w:t>开户银行：</w:t>
      </w:r>
      <w:r>
        <w:rPr>
          <w:sz w:val="21"/>
        </w:rPr>
        <w:t xml:space="preserve">            </w:t>
      </w:r>
    </w:p>
    <w:p>
      <w:pPr>
        <w:jc w:val="left"/>
      </w:pPr>
      <w:r>
        <w:rPr>
          <w:sz w:val="19"/>
        </w:rPr>
        <w:t xml:space="preserve"> </w:t>
      </w:r>
    </w:p>
    <w:p>
      <w:pPr>
        <w:jc w:val="both"/>
      </w:pPr>
      <w:r>
        <w:rPr>
          <w:b/>
          <w:sz w:val="24"/>
        </w:rPr>
        <w:t>第八条</w:t>
      </w:r>
      <w:r>
        <w:rPr>
          <w:b/>
          <w:sz w:val="24"/>
        </w:rPr>
        <w:t>技术服务</w:t>
      </w:r>
    </w:p>
    <w:p>
      <w:pPr>
        <w:ind w:firstLine="480"/>
        <w:jc w:val="both"/>
      </w:pPr>
      <w:r>
        <w:rPr>
          <w:sz w:val="24"/>
        </w:rPr>
        <w:t>1乙方应派员到甲方指定地点配合工作。</w:t>
      </w:r>
    </w:p>
    <w:p>
      <w:pPr>
        <w:ind w:firstLine="480"/>
        <w:jc w:val="both"/>
      </w:pPr>
      <w:r>
        <w:rPr>
          <w:sz w:val="24"/>
        </w:rPr>
        <w:t>2乙方按甲方提供的合同执行进度计划，再配合甲方及有关单位，以此做好合同执行进度上的配合工作。</w:t>
      </w:r>
    </w:p>
    <w:p>
      <w:pPr>
        <w:jc w:val="both"/>
      </w:pPr>
    </w:p>
    <w:p>
      <w:pPr>
        <w:jc w:val="both"/>
      </w:pPr>
      <w:r>
        <w:rPr>
          <w:b/>
          <w:sz w:val="24"/>
        </w:rPr>
        <w:t>第九条</w:t>
      </w:r>
      <w:r>
        <w:rPr>
          <w:b/>
          <w:sz w:val="24"/>
        </w:rPr>
        <w:t>不可抗力</w:t>
      </w:r>
    </w:p>
    <w:p>
      <w:pPr>
        <w:ind w:firstLine="480"/>
        <w:jc w:val="both"/>
      </w:pPr>
      <w:r>
        <w:rPr>
          <w:sz w:val="24"/>
        </w:rPr>
        <w:t>1.不可抗力指战争、严重火灾、洪水、台风、地震等或其它双方认定的不可抗力事件。</w:t>
      </w:r>
    </w:p>
    <w:p>
      <w:pPr>
        <w:ind w:firstLine="480"/>
        <w:jc w:val="both"/>
      </w:pPr>
      <w:r>
        <w:rPr>
          <w:sz w:val="24"/>
        </w:rPr>
        <w:t>2.签约双方中任何一方由于不可抗力影响合同执行时，发生不可抗力一方应尽快将事故通知另一方。在此情况下，乙方仍然有责任采取必要的措施加速供货，双方应通过友好协商尽快解决本合同的执行问题。</w:t>
      </w:r>
    </w:p>
    <w:p>
      <w:pPr>
        <w:jc w:val="both"/>
      </w:pPr>
    </w:p>
    <w:p>
      <w:pPr>
        <w:jc w:val="both"/>
      </w:pPr>
      <w:r>
        <w:rPr>
          <w:b/>
          <w:sz w:val="24"/>
        </w:rPr>
        <w:t>第十条</w:t>
      </w:r>
      <w:r>
        <w:rPr>
          <w:b/>
          <w:sz w:val="24"/>
        </w:rPr>
        <w:t>索赔</w:t>
      </w:r>
    </w:p>
    <w:p>
      <w:pPr>
        <w:ind w:firstLine="436"/>
        <w:jc w:val="both"/>
      </w:pPr>
      <w:r>
        <w:rPr>
          <w:sz w:val="24"/>
        </w:rPr>
        <w:t>1.如有异议，甲方有权根据有关政府部门的检验结果向乙方提出索赔。</w:t>
      </w:r>
    </w:p>
    <w:p>
      <w:pPr>
        <w:ind w:firstLine="436"/>
        <w:jc w:val="both"/>
      </w:pPr>
      <w:r>
        <w:rPr>
          <w:sz w:val="24"/>
        </w:rPr>
        <w:t>2.在合同执行期间，如果乙方对甲方提出的索赔和差异负有责任，乙方应按照甲方同意的下列一种或多种方式解决索赔事宜：</w:t>
      </w:r>
    </w:p>
    <w:p>
      <w:pPr>
        <w:ind w:firstLine="200"/>
        <w:jc w:val="both"/>
      </w:pPr>
      <w:r>
        <w:rPr>
          <w:sz w:val="24"/>
        </w:rPr>
        <w:t>（</w:t>
      </w:r>
      <w:r>
        <w:rPr>
          <w:sz w:val="24"/>
        </w:rPr>
        <w:t>1</w:t>
      </w:r>
      <w:r>
        <w:rPr>
          <w:sz w:val="24"/>
        </w:rPr>
        <w:t>）乙方同意退货，并按合同规定的同种货币将货款退还给甲方，并承担由此发生的一切损失和费用。</w:t>
      </w:r>
    </w:p>
    <w:p>
      <w:pPr>
        <w:ind w:firstLine="200"/>
        <w:jc w:val="both"/>
      </w:pPr>
      <w:r>
        <w:rPr>
          <w:sz w:val="24"/>
        </w:rPr>
        <w:t>（</w:t>
      </w:r>
      <w:r>
        <w:rPr>
          <w:sz w:val="24"/>
        </w:rPr>
        <w:t>2</w:t>
      </w:r>
      <w:r>
        <w:rPr>
          <w:sz w:val="24"/>
        </w:rPr>
        <w:t>）根据货物低劣程度、损坏程度以及甲方所遭受损失的数额甲乙双方商定降低货物的价格。</w:t>
      </w:r>
    </w:p>
    <w:p>
      <w:pPr>
        <w:ind w:firstLine="200"/>
        <w:jc w:val="both"/>
      </w:pPr>
      <w:r>
        <w:rPr>
          <w:sz w:val="24"/>
        </w:rPr>
        <w:t>（</w:t>
      </w:r>
      <w:r>
        <w:rPr>
          <w:sz w:val="24"/>
        </w:rPr>
        <w:t>3</w:t>
      </w:r>
      <w:r>
        <w:rPr>
          <w:sz w:val="24"/>
        </w:rPr>
        <w:t>）用符合规格、质量和性能要求的新零件、部件或货物来更换有缺陷的部分或修补缺陷的部分，乙方应承担一切费用和风险并负有甲方所发生的一切直接费用。同时，相应延长质量保证期。</w:t>
      </w:r>
    </w:p>
    <w:p>
      <w:pPr>
        <w:ind w:firstLine="200"/>
        <w:jc w:val="both"/>
      </w:pPr>
      <w:r>
        <w:rPr>
          <w:sz w:val="24"/>
        </w:rPr>
        <w:t>3.如果在甲方发出索赔通知后</w:t>
      </w:r>
      <w:r>
        <w:rPr>
          <w:sz w:val="24"/>
        </w:rPr>
        <w:t>30</w:t>
      </w:r>
      <w:r>
        <w:rPr>
          <w:sz w:val="24"/>
        </w:rPr>
        <w:t>天内，乙方未作答复，上述索赔应视为已被乙方接受。甲方将从合同款项中扣回索赔金额。如果这些金额不足以补偿索赔金额，甲方有权向乙方提出不足部分的补偿。</w:t>
      </w:r>
    </w:p>
    <w:p>
      <w:pPr>
        <w:jc w:val="both"/>
      </w:pPr>
    </w:p>
    <w:p>
      <w:pPr>
        <w:jc w:val="both"/>
      </w:pPr>
      <w:r>
        <w:rPr>
          <w:b/>
          <w:sz w:val="24"/>
        </w:rPr>
        <w:t>第十一条</w:t>
      </w:r>
      <w:r>
        <w:rPr>
          <w:b/>
          <w:sz w:val="24"/>
        </w:rPr>
        <w:t>违约与处罚</w:t>
      </w:r>
    </w:p>
    <w:p>
      <w:pPr>
        <w:ind w:firstLine="436"/>
        <w:jc w:val="both"/>
      </w:pPr>
      <w:r>
        <w:rPr>
          <w:sz w:val="24"/>
        </w:rPr>
        <w:t>1.甲方应依合同规定时间内，向乙方支付货款，每拖延一天乙方可向甲方加收合同总额的</w:t>
      </w:r>
      <w:r>
        <w:rPr>
          <w:sz w:val="21"/>
          <w:u w:val="single"/>
        </w:rPr>
        <w:t xml:space="preserve">    </w:t>
      </w:r>
      <w:r>
        <w:rPr>
          <w:sz w:val="24"/>
        </w:rPr>
        <w:t>‰的违约金。</w:t>
      </w:r>
    </w:p>
    <w:p>
      <w:pPr>
        <w:ind w:firstLine="436"/>
        <w:jc w:val="both"/>
      </w:pPr>
      <w:r>
        <w:rPr>
          <w:sz w:val="24"/>
        </w:rPr>
        <w:t>2.乙方未能按时交货，每拖延一天，须向甲方支付合同总额的</w:t>
      </w:r>
      <w:r>
        <w:rPr>
          <w:sz w:val="21"/>
          <w:u w:val="single"/>
        </w:rPr>
        <w:t xml:space="preserve">    </w:t>
      </w:r>
      <w:r>
        <w:rPr>
          <w:sz w:val="24"/>
        </w:rPr>
        <w:t>‰的违约金。</w:t>
      </w:r>
    </w:p>
    <w:p>
      <w:pPr>
        <w:ind w:firstLine="436"/>
        <w:jc w:val="both"/>
      </w:pPr>
      <w:r>
        <w:rPr>
          <w:sz w:val="24"/>
        </w:rPr>
        <w:t>3.乙方交付的货物不符合合同规定的，甲方有权拒收，乙方向甲方支付合同总额的10％的违约金。</w:t>
      </w:r>
    </w:p>
    <w:p>
      <w:pPr>
        <w:ind w:firstLine="436"/>
        <w:jc w:val="both"/>
      </w:pPr>
      <w:r>
        <w:rPr>
          <w:sz w:val="24"/>
        </w:rPr>
        <w:t>4.甲方无正当理由拒收货物的，甲方向乙方支付合同总额的10％的违约金。</w:t>
      </w:r>
    </w:p>
    <w:p>
      <w:pPr>
        <w:ind w:firstLine="436"/>
        <w:jc w:val="both"/>
      </w:pPr>
      <w:r>
        <w:rPr>
          <w:sz w:val="24"/>
        </w:rPr>
        <w:t>5.</w:t>
      </w:r>
      <w:r>
        <w:rPr>
          <w:sz w:val="21"/>
        </w:rPr>
        <w:t xml:space="preserve"> </w:t>
      </w:r>
      <w:r>
        <w:rPr>
          <w:sz w:val="24"/>
        </w:rPr>
        <w:t>乙方未能交付货物，则向甲方支付合同总额的</w:t>
      </w:r>
      <w:r>
        <w:rPr>
          <w:sz w:val="24"/>
        </w:rPr>
        <w:t>10％的违约金。</w:t>
      </w:r>
    </w:p>
    <w:p>
      <w:pPr>
        <w:jc w:val="both"/>
      </w:pPr>
    </w:p>
    <w:p>
      <w:pPr>
        <w:jc w:val="both"/>
      </w:pPr>
      <w:r>
        <w:rPr>
          <w:b/>
          <w:sz w:val="24"/>
        </w:rPr>
        <w:t>第十二条</w:t>
      </w:r>
      <w:r>
        <w:rPr>
          <w:b/>
          <w:sz w:val="24"/>
        </w:rPr>
        <w:t xml:space="preserve"> </w:t>
      </w:r>
      <w:r>
        <w:rPr>
          <w:b/>
          <w:sz w:val="24"/>
        </w:rPr>
        <w:t>合同终止</w:t>
      </w:r>
    </w:p>
    <w:p>
      <w:pPr>
        <w:ind w:firstLine="200"/>
        <w:jc w:val="both"/>
      </w:pPr>
      <w:r>
        <w:rPr>
          <w:sz w:val="24"/>
        </w:rPr>
        <w:t>如果一方严重违反合同，并在收到对方违约通知书后在</w:t>
      </w:r>
      <w:r>
        <w:rPr>
          <w:sz w:val="24"/>
        </w:rPr>
        <w:t>30</w:t>
      </w:r>
      <w:r>
        <w:rPr>
          <w:sz w:val="24"/>
        </w:rPr>
        <w:t>天内仍未能改正违约的，另一方可立即终止本合同。</w:t>
      </w:r>
    </w:p>
    <w:p>
      <w:pPr>
        <w:jc w:val="both"/>
      </w:pPr>
    </w:p>
    <w:p>
      <w:pPr>
        <w:jc w:val="both"/>
      </w:pPr>
      <w:r>
        <w:rPr>
          <w:b/>
          <w:sz w:val="24"/>
        </w:rPr>
        <w:t>第十三条</w:t>
      </w:r>
      <w:r>
        <w:rPr>
          <w:b/>
          <w:sz w:val="24"/>
        </w:rPr>
        <w:t>法律诉讼</w:t>
      </w:r>
    </w:p>
    <w:p>
      <w:pPr>
        <w:ind w:firstLine="436"/>
        <w:jc w:val="both"/>
      </w:pPr>
      <w:r>
        <w:rPr>
          <w:sz w:val="24"/>
        </w:rPr>
        <w:t>签约双方在履约中发生争执和分歧，双方应通过友好协商解决，若经协商不能达成协议时，则向甲方所在地有管辖权的人民法院提起诉讼。受理期间，双方应继续执行合同其余部分。</w:t>
      </w:r>
    </w:p>
    <w:p>
      <w:pPr>
        <w:jc w:val="both"/>
      </w:pPr>
    </w:p>
    <w:p>
      <w:pPr>
        <w:jc w:val="both"/>
      </w:pPr>
      <w:r>
        <w:rPr>
          <w:b/>
          <w:sz w:val="24"/>
        </w:rPr>
        <w:t>第十四条</w:t>
      </w:r>
      <w:r>
        <w:rPr>
          <w:b/>
          <w:sz w:val="24"/>
        </w:rPr>
        <w:t>其它</w:t>
      </w:r>
    </w:p>
    <w:p>
      <w:pPr>
        <w:ind w:firstLine="436"/>
        <w:jc w:val="both"/>
      </w:pPr>
      <w:r>
        <w:rPr>
          <w:sz w:val="24"/>
        </w:rPr>
        <w:t>1.本合同正本</w:t>
      </w:r>
      <w:r>
        <w:rPr>
          <w:sz w:val="21"/>
          <w:u w:val="single"/>
        </w:rPr>
        <w:t xml:space="preserve">    </w:t>
      </w:r>
      <w:r>
        <w:rPr>
          <w:sz w:val="24"/>
        </w:rPr>
        <w:t>份，具有同等法律效力，甲方执</w:t>
      </w:r>
      <w:r>
        <w:rPr>
          <w:sz w:val="21"/>
          <w:u w:val="single"/>
        </w:rPr>
        <w:t xml:space="preserve">    </w:t>
      </w:r>
      <w:r>
        <w:rPr>
          <w:sz w:val="24"/>
        </w:rPr>
        <w:t>份、乙方执</w:t>
      </w:r>
      <w:r>
        <w:rPr>
          <w:sz w:val="21"/>
          <w:u w:val="single"/>
        </w:rPr>
        <w:t xml:space="preserve">    </w:t>
      </w:r>
      <w:r>
        <w:rPr>
          <w:sz w:val="24"/>
        </w:rPr>
        <w:t>份，招标代理机构</w:t>
      </w:r>
      <w:r>
        <w:rPr>
          <w:sz w:val="21"/>
          <w:u w:val="single"/>
        </w:rPr>
        <w:t xml:space="preserve">  </w:t>
      </w:r>
      <w:r>
        <w:rPr>
          <w:sz w:val="24"/>
          <w:u w:val="single"/>
        </w:rPr>
        <w:t>壹</w:t>
      </w:r>
      <w:r>
        <w:rPr>
          <w:sz w:val="21"/>
          <w:u w:val="single"/>
        </w:rPr>
        <w:t xml:space="preserve">  </w:t>
      </w:r>
      <w:r>
        <w:rPr>
          <w:sz w:val="24"/>
        </w:rPr>
        <w:t>份。合同自签字之日起即时生效。</w:t>
      </w:r>
    </w:p>
    <w:p>
      <w:pPr>
        <w:ind w:firstLine="436"/>
        <w:jc w:val="both"/>
      </w:pPr>
      <w:r>
        <w:rPr>
          <w:sz w:val="24"/>
        </w:rPr>
        <w:t>2.本合同未尽事宜，由双方协商处理。</w:t>
      </w:r>
    </w:p>
    <w:p>
      <w:pPr>
        <w:ind w:firstLine="200"/>
        <w:jc w:val="left"/>
      </w:pPr>
    </w:p>
    <w:p>
      <w:pPr>
        <w:ind w:firstLine="439"/>
        <w:jc w:val="left"/>
      </w:pPr>
      <w:r>
        <w:rPr>
          <w:b/>
          <w:sz w:val="24"/>
        </w:rPr>
        <w:t>第十五条</w:t>
      </w:r>
      <w:r>
        <w:rPr>
          <w:b/>
          <w:color w:val="000000"/>
          <w:sz w:val="24"/>
        </w:rPr>
        <w:t>双方需要另外补充说明的其他事项</w:t>
      </w:r>
    </w:p>
    <w:p>
      <w:pPr>
        <w:ind w:firstLine="470"/>
        <w:jc w:val="both"/>
      </w:pPr>
      <w:r>
        <w:rPr>
          <w:sz w:val="21"/>
          <w:u w:val="single"/>
        </w:rPr>
        <w:t xml:space="preserve">                                          </w:t>
      </w:r>
      <w:r>
        <w:rPr>
          <w:sz w:val="24"/>
        </w:rPr>
        <w:t>。</w:t>
      </w:r>
    </w:p>
    <w:p>
      <w:pPr>
        <w:ind w:firstLine="480"/>
        <w:jc w:val="left"/>
      </w:pPr>
    </w:p>
    <w:p>
      <w:pPr>
        <w:ind w:firstLine="480"/>
        <w:jc w:val="left"/>
      </w:pPr>
    </w:p>
    <w:p>
      <w:pPr>
        <w:ind w:firstLine="480"/>
        <w:jc w:val="left"/>
      </w:pPr>
      <w:r>
        <w:rPr>
          <w:sz w:val="24"/>
        </w:rPr>
        <w:t>（以下无正文）</w:t>
      </w:r>
    </w:p>
    <w:p>
      <w:pPr>
        <w:ind w:firstLine="200"/>
        <w:jc w:val="left"/>
      </w:pPr>
    </w:p>
    <w:tbl>
      <w:tblPr>
        <w:tblW w:w="0" w:type="auto"/>
        <w:tblBorders>
          <w:top w:val="none" w:color="000000" w:sz="4"/>
          <w:left w:val="none" w:color="000000" w:sz="4"/>
          <w:bottom w:val="none" w:color="000000" w:sz="4"/>
          <w:right w:val="none" w:color="000000" w:sz="4"/>
          <w:insideH w:val="none"/>
          <w:insideV w:val="none"/>
        </w:tblBorders>
      </w:tblPr>
      <w:tblGrid>
        <w:gridCol w:w="4116"/>
        <w:gridCol w:w="4190"/>
      </w:tblGrid>
      <w:tr>
        <w:tc>
          <w:tcPr>
            <w:tcW w:type="dxa" w:w="4116"/>
            <w:tcBorders>
              <w:top w:val="none" w:color="000000" w:sz="4"/>
              <w:left w:val="none" w:color="000000" w:sz="4"/>
              <w:bottom w:val="none" w:color="000000" w:sz="4"/>
              <w:right w:val="none" w:color="000000" w:sz="4"/>
            </w:tcBorders>
            <w:vAlign w:val="top"/>
          </w:tcPr>
          <w:p>
            <w:pPr>
              <w:ind w:firstLine="200"/>
              <w:jc w:val="both"/>
            </w:pPr>
            <w:r>
              <w:rPr>
                <w:sz w:val="24"/>
              </w:rPr>
              <w:t>甲方</w:t>
            </w:r>
            <w:r>
              <w:rPr>
                <w:sz w:val="24"/>
              </w:rPr>
              <w:t>：</w:t>
            </w:r>
          </w:p>
          <w:p>
            <w:pPr>
              <w:ind w:firstLine="200"/>
              <w:jc w:val="both"/>
            </w:pPr>
          </w:p>
        </w:tc>
        <w:tc>
          <w:tcPr>
            <w:tcW w:type="dxa" w:w="4190"/>
            <w:tcBorders>
              <w:top w:val="none" w:color="000000" w:sz="4"/>
              <w:left w:val="none" w:color="000000" w:sz="4"/>
              <w:bottom w:val="none" w:color="000000" w:sz="4"/>
              <w:right w:val="none" w:color="000000" w:sz="4"/>
            </w:tcBorders>
            <w:vAlign w:val="top"/>
          </w:tcPr>
          <w:p>
            <w:pPr>
              <w:ind w:firstLine="200"/>
              <w:jc w:val="both"/>
            </w:pPr>
            <w:r>
              <w:rPr>
                <w:sz w:val="24"/>
              </w:rPr>
              <w:t>乙方</w:t>
            </w:r>
            <w:r>
              <w:rPr>
                <w:sz w:val="24"/>
              </w:rPr>
              <w:t>：</w:t>
            </w:r>
          </w:p>
        </w:tc>
      </w:tr>
      <w:tr>
        <w:tc>
          <w:tcPr>
            <w:tcW w:type="dxa" w:w="4116"/>
            <w:tcBorders>
              <w:top w:val="none" w:color="000000" w:sz="4"/>
              <w:left w:val="none" w:color="000000" w:sz="4"/>
              <w:bottom w:val="none" w:color="000000" w:sz="4"/>
              <w:right w:val="none" w:color="000000" w:sz="4"/>
            </w:tcBorders>
            <w:vAlign w:val="top"/>
          </w:tcPr>
          <w:p>
            <w:pPr>
              <w:ind w:firstLine="200"/>
              <w:jc w:val="both"/>
            </w:pPr>
            <w:r>
              <w:rPr>
                <w:sz w:val="24"/>
              </w:rPr>
              <w:t>法定代表人或授权委托人</w:t>
            </w:r>
            <w:r>
              <w:rPr>
                <w:sz w:val="24"/>
              </w:rPr>
              <w:t>：</w:t>
            </w:r>
          </w:p>
          <w:p>
            <w:pPr>
              <w:ind w:firstLine="200"/>
              <w:jc w:val="both"/>
            </w:pPr>
          </w:p>
        </w:tc>
        <w:tc>
          <w:tcPr>
            <w:tcW w:type="dxa" w:w="4190"/>
            <w:tcBorders>
              <w:top w:val="none" w:color="000000" w:sz="4"/>
              <w:left w:val="none" w:color="000000" w:sz="4"/>
              <w:bottom w:val="none" w:color="000000" w:sz="4"/>
              <w:right w:val="none" w:color="000000" w:sz="4"/>
            </w:tcBorders>
            <w:vAlign w:val="top"/>
          </w:tcPr>
          <w:p>
            <w:pPr>
              <w:ind w:firstLine="200"/>
              <w:jc w:val="both"/>
            </w:pPr>
            <w:r>
              <w:rPr>
                <w:sz w:val="24"/>
              </w:rPr>
              <w:t>法定代表人或授权委托人</w:t>
            </w:r>
            <w:r>
              <w:rPr>
                <w:sz w:val="24"/>
              </w:rPr>
              <w:t>：</w:t>
            </w:r>
            <w:r>
              <w:rPr>
                <w:sz w:val="24"/>
              </w:rPr>
              <w:t xml:space="preserve"> </w:t>
            </w:r>
          </w:p>
        </w:tc>
      </w:tr>
      <w:tr>
        <w:tc>
          <w:tcPr>
            <w:tcW w:type="dxa" w:w="4116"/>
            <w:tcBorders>
              <w:top w:val="none" w:color="000000" w:sz="4"/>
              <w:left w:val="none" w:color="000000" w:sz="4"/>
              <w:bottom w:val="none" w:color="000000" w:sz="4"/>
              <w:right w:val="none" w:color="000000" w:sz="4"/>
            </w:tcBorders>
            <w:vAlign w:val="top"/>
          </w:tcPr>
          <w:p>
            <w:pPr>
              <w:ind w:firstLine="200"/>
              <w:jc w:val="both"/>
            </w:pPr>
            <w:r>
              <w:rPr>
                <w:sz w:val="24"/>
              </w:rPr>
              <w:t>地址</w:t>
            </w:r>
            <w:r>
              <w:rPr>
                <w:sz w:val="24"/>
              </w:rPr>
              <w:t>：</w:t>
            </w:r>
          </w:p>
          <w:p>
            <w:pPr>
              <w:ind w:firstLine="200"/>
              <w:jc w:val="both"/>
            </w:pPr>
          </w:p>
        </w:tc>
        <w:tc>
          <w:tcPr>
            <w:tcW w:type="dxa" w:w="4190"/>
            <w:tcBorders>
              <w:top w:val="none" w:color="000000" w:sz="4"/>
              <w:left w:val="none" w:color="000000" w:sz="4"/>
              <w:bottom w:val="none" w:color="000000" w:sz="4"/>
              <w:right w:val="none" w:color="000000" w:sz="4"/>
            </w:tcBorders>
            <w:vAlign w:val="top"/>
          </w:tcPr>
          <w:p>
            <w:pPr>
              <w:ind w:firstLine="200"/>
              <w:jc w:val="both"/>
            </w:pPr>
            <w:r>
              <w:rPr>
                <w:sz w:val="24"/>
              </w:rPr>
              <w:t>地址</w:t>
            </w:r>
            <w:r>
              <w:rPr>
                <w:sz w:val="24"/>
              </w:rPr>
              <w:t>：</w:t>
            </w:r>
          </w:p>
          <w:p>
            <w:pPr>
              <w:ind w:firstLine="200"/>
              <w:jc w:val="both"/>
            </w:pPr>
          </w:p>
        </w:tc>
      </w:tr>
      <w:tr>
        <w:tc>
          <w:tcPr>
            <w:tcW w:type="dxa" w:w="4116"/>
            <w:tcBorders>
              <w:top w:val="none" w:color="000000" w:sz="4"/>
              <w:left w:val="none" w:color="000000" w:sz="4"/>
              <w:bottom w:val="none" w:color="000000" w:sz="4"/>
              <w:right w:val="none" w:color="000000" w:sz="4"/>
            </w:tcBorders>
            <w:vAlign w:val="top"/>
          </w:tcPr>
          <w:p>
            <w:pPr>
              <w:ind w:firstLine="200"/>
              <w:jc w:val="both"/>
            </w:pPr>
            <w:r>
              <w:rPr>
                <w:sz w:val="24"/>
              </w:rPr>
              <w:t>电话</w:t>
            </w:r>
            <w:r>
              <w:rPr>
                <w:sz w:val="24"/>
              </w:rPr>
              <w:t>：</w:t>
            </w:r>
          </w:p>
          <w:p>
            <w:pPr>
              <w:ind w:firstLine="200"/>
              <w:jc w:val="both"/>
            </w:pPr>
          </w:p>
        </w:tc>
        <w:tc>
          <w:tcPr>
            <w:tcW w:type="dxa" w:w="4190"/>
            <w:tcBorders>
              <w:top w:val="none" w:color="000000" w:sz="4"/>
              <w:left w:val="none" w:color="000000" w:sz="4"/>
              <w:bottom w:val="none" w:color="000000" w:sz="4"/>
              <w:right w:val="none" w:color="000000" w:sz="4"/>
            </w:tcBorders>
            <w:vAlign w:val="top"/>
          </w:tcPr>
          <w:p>
            <w:pPr>
              <w:ind w:firstLine="200"/>
              <w:jc w:val="both"/>
            </w:pPr>
            <w:r>
              <w:rPr>
                <w:sz w:val="24"/>
              </w:rPr>
              <w:t>电话</w:t>
            </w:r>
            <w:r>
              <w:rPr>
                <w:sz w:val="24"/>
              </w:rPr>
              <w:t>：</w:t>
            </w:r>
          </w:p>
          <w:p>
            <w:pPr>
              <w:ind w:firstLine="200"/>
              <w:jc w:val="both"/>
            </w:pPr>
          </w:p>
        </w:tc>
      </w:tr>
      <w:tr>
        <w:tc>
          <w:tcPr>
            <w:tcW w:type="dxa" w:w="4116"/>
            <w:tcBorders>
              <w:top w:val="none" w:color="000000" w:sz="4"/>
              <w:left w:val="none" w:color="000000" w:sz="4"/>
              <w:bottom w:val="none" w:color="000000" w:sz="4"/>
              <w:right w:val="none" w:color="000000" w:sz="4"/>
            </w:tcBorders>
            <w:vAlign w:val="top"/>
          </w:tcPr>
          <w:p>
            <w:pPr>
              <w:ind w:firstLine="200"/>
              <w:jc w:val="both"/>
            </w:pPr>
            <w:r>
              <w:rPr>
                <w:sz w:val="24"/>
              </w:rPr>
              <w:t>签订日期：</w:t>
            </w:r>
            <w:r>
              <w:rPr>
                <w:sz w:val="24"/>
              </w:rPr>
              <w:t xml:space="preserve">   </w:t>
            </w:r>
            <w:r>
              <w:rPr>
                <w:sz w:val="24"/>
              </w:rPr>
              <w:t>年</w:t>
            </w:r>
            <w:r>
              <w:rPr>
                <w:sz w:val="24"/>
              </w:rPr>
              <w:t xml:space="preserve">  </w:t>
            </w:r>
            <w:r>
              <w:rPr>
                <w:sz w:val="24"/>
              </w:rPr>
              <w:t>月</w:t>
            </w:r>
            <w:r>
              <w:rPr>
                <w:sz w:val="24"/>
              </w:rPr>
              <w:t xml:space="preserve">  </w:t>
            </w:r>
            <w:r>
              <w:rPr>
                <w:sz w:val="24"/>
              </w:rPr>
              <w:t>日</w:t>
            </w:r>
          </w:p>
        </w:tc>
        <w:tc>
          <w:tcPr>
            <w:tcW w:type="dxa" w:w="4190"/>
            <w:tcBorders>
              <w:top w:val="none" w:color="000000" w:sz="4"/>
              <w:left w:val="none" w:color="000000" w:sz="4"/>
              <w:bottom w:val="none" w:color="000000" w:sz="4"/>
              <w:right w:val="none" w:color="000000" w:sz="4"/>
            </w:tcBorders>
            <w:vAlign w:val="top"/>
          </w:tcPr>
          <w:p>
            <w:pPr>
              <w:ind w:firstLine="200"/>
              <w:jc w:val="both"/>
            </w:pPr>
            <w:r>
              <w:rPr>
                <w:sz w:val="24"/>
              </w:rPr>
              <w:t>签订日期：</w:t>
            </w:r>
            <w:r>
              <w:rPr>
                <w:sz w:val="24"/>
              </w:rPr>
              <w:t xml:space="preserve">   </w:t>
            </w:r>
            <w:r>
              <w:rPr>
                <w:sz w:val="24"/>
              </w:rPr>
              <w:t>年</w:t>
            </w:r>
            <w:r>
              <w:rPr>
                <w:sz w:val="24"/>
              </w:rPr>
              <w:t xml:space="preserve">  </w:t>
            </w:r>
            <w:r>
              <w:rPr>
                <w:sz w:val="24"/>
              </w:rPr>
              <w:t>月</w:t>
            </w:r>
            <w:r>
              <w:rPr>
                <w:sz w:val="24"/>
              </w:rPr>
              <w:t xml:space="preserve">  </w:t>
            </w:r>
            <w:r>
              <w:rPr>
                <w:sz w:val="24"/>
              </w:rPr>
              <w:t>日</w:t>
            </w:r>
          </w:p>
          <w:p>
            <w:pPr>
              <w:ind w:firstLine="200"/>
              <w:jc w:val="both"/>
            </w:pPr>
          </w:p>
        </w:tc>
      </w:tr>
    </w:tbl>
    <w:p>
      <w:pPr>
        <w:ind w:firstLine="200"/>
        <w:jc w:val="both"/>
      </w:pPr>
      <w:r>
        <w:rPr>
          <w:b/>
          <w:sz w:val="21"/>
        </w:rPr>
        <w:t xml:space="preserve">               </w:t>
      </w:r>
    </w:p>
    <w:p>
      <w:pPr>
        <w:jc w:val="center"/>
      </w:pPr>
      <w:r>
        <w:rPr>
          <w:sz w:val="36"/>
        </w:rPr>
        <w:t xml:space="preserve"> </w:t>
      </w:r>
    </w:p>
    <w:p>
      <w:pPr>
        <w:jc w:val="both"/>
      </w:pPr>
      <w:r>
        <w:rPr>
          <w:sz w:val="27"/>
        </w:rPr>
        <w:t xml:space="preserve"> </w:t>
      </w:r>
    </w:p>
    <w:p>
      <w:pPr>
        <w:jc w:val="both"/>
      </w:pPr>
      <w:r>
        <w:rPr>
          <w:sz w:val="27"/>
        </w:rPr>
        <w:t xml:space="preserve"> </w:t>
      </w:r>
    </w:p>
    <w:p>
      <w:pPr>
        <w:jc w:val="both"/>
      </w:pPr>
      <w:r>
        <w:rPr>
          <w:sz w:val="27"/>
        </w:rPr>
        <w:t xml:space="preserve"> </w:t>
      </w:r>
    </w:p>
    <w:p>
      <w:pPr>
        <w:jc w:val="both"/>
      </w:pPr>
      <w:r>
        <w:rPr>
          <w:sz w:val="27"/>
        </w:rPr>
        <w:t xml:space="preserve"> </w:t>
      </w:r>
    </w:p>
    <w:p>
      <w:pPr>
        <w:jc w:val="both"/>
      </w:pPr>
      <w:r>
        <w:rPr>
          <w:sz w:val="27"/>
        </w:rPr>
        <w:t xml:space="preserve"> </w:t>
      </w:r>
    </w:p>
    <w:p>
      <w:pPr>
        <w:jc w:val="both"/>
      </w:pPr>
      <w:r>
        <w:rPr>
          <w:sz w:val="27"/>
        </w:rPr>
        <w:t xml:space="preserve"> </w:t>
      </w:r>
    </w:p>
    <w:p>
      <w:pPr>
        <w:jc w:val="both"/>
      </w:pPr>
      <w:r>
        <w:rPr>
          <w:sz w:val="27"/>
        </w:rPr>
        <w:t xml:space="preserve"> </w:t>
      </w:r>
    </w:p>
    <w:p>
      <w:pPr>
        <w:jc w:val="center"/>
      </w:pPr>
      <w:r>
        <w:rPr/>
        <w:t xml:space="preserve"> </w:t>
      </w: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442000-2022-04769</w:t>
      </w:r>
    </w:p>
    <w:p>
      <w:pPr>
        <w:jc w:val="center"/>
      </w:pPr>
      <w:r>
        <w:rPr>
          <w:b/>
          <w:sz w:val="24"/>
        </w:rPr>
        <w:t>采购项目编号：</w:t>
      </w:r>
      <w:r>
        <w:rPr>
          <w:b/>
          <w:sz w:val="24"/>
        </w:rPr>
        <w:t>442000-2022-04769</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r>
        <w:rPr>
          <w:b/>
          <w:sz w:val="24"/>
        </w:rPr>
        <w:t>投标函</w:t>
      </w:r>
    </w:p>
    <w:p>
      <w:pPr>
        <w:ind w:firstLine="480"/>
      </w:pPr>
      <w:r>
        <w:rPr/>
        <w:t>致：</w:t>
      </w:r>
      <w:r>
        <w:rPr>
          <w:u w:val="single"/>
        </w:rPr>
        <w:t>智林招标（广东）有限公司</w:t>
      </w:r>
    </w:p>
    <w:p>
      <w:pPr>
        <w:ind w:firstLine="480"/>
      </w:pPr>
      <w:r>
        <w:rPr/>
        <w:t>你方组织的</w:t>
      </w:r>
      <w:r>
        <w:rPr>
          <w:u w:val="single"/>
        </w:rPr>
        <w:t>中山市人民医院输液泵及注射泵采购项目</w:t>
      </w:r>
      <w:r>
        <w:rPr/>
        <w:t>项目的招标[采购项目编号为：</w:t>
      </w:r>
      <w:r>
        <w:rPr>
          <w:u w:val="single"/>
        </w:rPr>
        <w:t>442000-2022-04769</w:t>
      </w:r>
      <w:r>
        <w:rPr/>
        <w:t>]，我方愿参与投标。</w:t>
      </w:r>
    </w:p>
    <w:p>
      <w:pPr>
        <w:ind w:firstLine="480"/>
      </w:pPr>
      <w:r>
        <w:rPr/>
        <w:t>我方确认收到贵方提供的</w:t>
      </w:r>
      <w:r>
        <w:rPr>
          <w:u w:val="single"/>
        </w:rPr>
        <w:t>中山市人民医院输液泵及注射泵采购项目</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智林招标（广东）有限公司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中山市人民医院输液泵及注射泵采购项目</w:t>
      </w:r>
      <w:r>
        <w:rPr/>
        <w:t>项目采购[采购项目编号为</w:t>
      </w:r>
      <w:r>
        <w:rPr/>
        <w:t>442000-2022-04769</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设备和专业技术能力情况表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中山市人民医院</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智林招标（广东）有限公司</w:t>
      </w:r>
    </w:p>
    <w:p>
      <w:pPr>
        <w:ind w:firstLine="480"/>
      </w:pPr>
      <w:r>
        <w:rPr/>
        <w:t>如果我方在贵采购代理机构组织的</w:t>
      </w:r>
      <w:r>
        <w:rPr/>
        <w:t>中山市人民医院输液泵及注射泵采购项目</w:t>
      </w:r>
      <w:r>
        <w:rPr/>
        <w:t>招标中获中标（采购项目编号：</w:t>
      </w:r>
      <w:r>
        <w:rPr/>
        <w:t>442000-2022-04769</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智林招标（广东）有限公司</w:t>
      </w:r>
    </w:p>
    <w:p>
      <w:pPr>
        <w:ind w:firstLine="480"/>
      </w:pPr>
      <w:r>
        <w:rPr/>
        <w:t>我单位已登记并准备参与</w:t>
      </w:r>
      <w:r>
        <w:rPr/>
        <w:t>中山市人民医院输液泵及注射泵采购项目</w:t>
      </w:r>
      <w:r>
        <w:rPr/>
        <w:t>项目（采购项目编号：</w:t>
      </w:r>
      <w:r>
        <w:rPr/>
        <w:t>442000-2022-04769</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