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442000-2022-04351</w:t>
      </w:r>
    </w:p>
    <w:p>
      <w:pPr>
        <w:jc w:val="center"/>
      </w:pPr>
      <w:r>
        <w:rPr>
          <w:b/>
          <w:sz w:val="24"/>
        </w:rPr>
        <w:t>采购项目编号：</w:t>
      </w:r>
      <w:r>
        <w:rPr>
          <w:b/>
          <w:sz w:val="24"/>
        </w:rPr>
        <w:t>442000-2022-04351</w:t>
      </w:r>
    </w:p>
    <w:p>
      <w:pPr>
        <w:jc w:val="center"/>
      </w:pPr>
      <w:r>
        <w:rPr>
          <w:b/>
          <w:sz w:val="24"/>
        </w:rPr>
        <w:t>项目名称：</w:t>
      </w:r>
      <w:r>
        <w:rPr>
          <w:b/>
          <w:sz w:val="24"/>
        </w:rPr>
        <w:t>中山市人民医院小动物活体光学成像系统</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中山市人民医院小动物活体光学成像系统</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中山市人民医院小动物活体光学成像系统</w:t>
      </w:r>
    </w:p>
    <w:p>
      <w:pPr>
        <w:ind w:firstLine="480"/>
      </w:pPr>
      <w:r>
        <w:rPr/>
        <w:t>采购计划编号：</w:t>
      </w:r>
      <w:r>
        <w:rPr/>
        <w:t>442000-2022-04351</w:t>
      </w:r>
    </w:p>
    <w:p>
      <w:pPr>
        <w:ind w:firstLine="480"/>
      </w:pPr>
      <w:r>
        <w:rPr/>
        <w:t>采购项目编号：</w:t>
      </w:r>
      <w:r>
        <w:rPr/>
        <w:t>442000-2022-04351</w:t>
      </w:r>
    </w:p>
    <w:p>
      <w:pPr>
        <w:ind w:firstLine="480"/>
      </w:pPr>
      <w:r>
        <w:rPr/>
        <w:t>采购方式：</w:t>
      </w:r>
      <w:r>
        <w:rPr/>
        <w:t>公开招标</w:t>
      </w:r>
    </w:p>
    <w:p>
      <w:pPr>
        <w:ind w:firstLine="480"/>
      </w:pPr>
      <w:r>
        <w:rPr/>
        <w:t>预算金额：</w:t>
      </w:r>
      <w:r>
        <w:rPr/>
        <w:t>1,980,000.00</w:t>
      </w:r>
      <w:r>
        <w:rPr/>
        <w:t>元</w:t>
      </w:r>
    </w:p>
    <w:p>
      <w:r>
        <w:rPr>
          <w:b/>
          <w:sz w:val="24"/>
        </w:rPr>
        <w:t>2.项目内容及需求情况（采购项目技术规格、参数及要求）</w:t>
      </w:r>
    </w:p>
    <w:p>
      <w:pPr>
        <w:ind w:firstLine="480"/>
      </w:pPr>
    </w:p>
    <w:p/>
    <w:p>
      <w:r>
        <w:rPr/>
        <w:t>采购包1(小动物活体光学成像系统):</w:t>
      </w:r>
    </w:p>
    <w:p>
      <w:r>
        <w:rPr/>
        <w:t>采购包预算金额：1,980,000.00元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小动物活体光学成像系统</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合同履行期限：签订合同后180天内完成安装调试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采购包1（小动物活体光学成像系统）：</w:t>
      </w:r>
      <w:r>
        <w:rPr/>
        <w:t>本项目不专门面向中小企业采购</w:t>
      </w:r>
    </w:p>
    <w:p/>
    <w:p>
      <w:r>
        <w:rPr>
          <w:b/>
          <w:sz w:val="24"/>
        </w:rPr>
        <w:t>3.本项目特定的资格要求：</w:t>
      </w:r>
    </w:p>
    <w:p>
      <w:pPr>
        <w:ind w:firstLine="480"/>
      </w:pPr>
    </w:p>
    <w:p/>
    <w:p>
      <w:r>
        <w:rPr/>
        <w:t>采购包1（小动物活体光学成像系统）：</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 http://113.106.13.242:8088/zfcg/），中山市公共资源交易网（ http://ggzyjy.zs .gov.cn/），智林招标 （广东）有限公司官网（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许富强</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1.项目名称：</w:t>
      </w:r>
      <w:r>
        <w:rPr>
          <w:sz w:val="21"/>
        </w:rPr>
        <w:t>中山市人民医院小动物活体光学成像系统</w:t>
      </w:r>
    </w:p>
    <w:p>
      <w:pPr>
        <w:jc w:val="left"/>
      </w:pPr>
      <w:r>
        <w:rPr>
          <w:sz w:val="21"/>
        </w:rPr>
        <w:t>2.采购计划编号：</w:t>
      </w:r>
      <w:r>
        <w:rPr>
          <w:sz w:val="21"/>
        </w:rPr>
        <w:t>442000-2022-04351</w:t>
      </w:r>
      <w:r>
        <w:rPr>
          <w:sz w:val="21"/>
        </w:rPr>
        <w:t xml:space="preserve"> </w:t>
      </w:r>
    </w:p>
    <w:p>
      <w:pPr>
        <w:jc w:val="left"/>
      </w:pPr>
      <w:r>
        <w:rPr>
          <w:sz w:val="21"/>
        </w:rPr>
        <w:t>3.采购项目编号：</w:t>
      </w:r>
      <w:r>
        <w:rPr>
          <w:sz w:val="21"/>
        </w:rPr>
        <w:t>442000-2022-04351</w:t>
      </w:r>
      <w:r>
        <w:rPr>
          <w:sz w:val="21"/>
        </w:rPr>
        <w:t xml:space="preserve"> </w:t>
      </w:r>
    </w:p>
    <w:p>
      <w:pPr>
        <w:jc w:val="left"/>
      </w:pPr>
      <w:r>
        <w:rPr>
          <w:sz w:val="21"/>
        </w:rPr>
        <w:t>4.采购方式： 公开招标</w:t>
      </w:r>
    </w:p>
    <w:p>
      <w:pPr>
        <w:jc w:val="left"/>
      </w:pPr>
      <w:r>
        <w:rPr>
          <w:sz w:val="21"/>
        </w:rPr>
        <w:t>5.预算金额：</w:t>
      </w:r>
      <w:r>
        <w:rPr>
          <w:sz w:val="21"/>
        </w:rPr>
        <w:t>1980000</w:t>
      </w:r>
      <w:r>
        <w:rPr>
          <w:sz w:val="21"/>
        </w:rPr>
        <w:t>.00元</w:t>
      </w:r>
    </w:p>
    <w:p>
      <w:pPr>
        <w:jc w:val="left"/>
      </w:pPr>
      <w:r>
        <w:rPr>
          <w:sz w:val="21"/>
        </w:rPr>
        <w:t>6.投标上限价：</w:t>
      </w:r>
      <w:r>
        <w:rPr>
          <w:sz w:val="21"/>
        </w:rPr>
        <w:t>1980000</w:t>
      </w:r>
      <w:r>
        <w:rPr>
          <w:sz w:val="21"/>
        </w:rPr>
        <w:t>.00元</w:t>
      </w:r>
    </w:p>
    <w:p>
      <w:pPr>
        <w:jc w:val="left"/>
      </w:pPr>
      <w:r>
        <w:rPr>
          <w:sz w:val="21"/>
        </w:rPr>
        <w:t>7.本项目不属于专门面向中小微企业项目。</w:t>
      </w:r>
    </w:p>
    <w:p>
      <w:pPr>
        <w:jc w:val="left"/>
      </w:pPr>
      <w:r>
        <w:rPr>
          <w:sz w:val="21"/>
        </w:rPr>
        <w:t>8.采购标的对应的中小企业划分标准所属行业为：工业</w:t>
      </w:r>
    </w:p>
    <w:p>
      <w:pPr>
        <w:jc w:val="left"/>
      </w:pPr>
      <w:r>
        <w:rPr>
          <w:sz w:val="21"/>
        </w:rPr>
        <w:t>9</w:t>
      </w:r>
      <w:r>
        <w:rPr>
          <w:sz w:val="21"/>
        </w:rPr>
        <w:t>.本采购包不接受联合体投标。</w:t>
      </w:r>
    </w:p>
    <w:p>
      <w:pPr>
        <w:jc w:val="left"/>
      </w:pPr>
      <w:r>
        <w:rPr>
          <w:sz w:val="21"/>
        </w:rPr>
        <w:t>1</w:t>
      </w:r>
      <w:r>
        <w:rPr>
          <w:sz w:val="21"/>
        </w:rPr>
        <w:t>0</w:t>
      </w:r>
      <w:r>
        <w:rPr>
          <w:sz w:val="21"/>
        </w:rPr>
        <w:t>.合同履行期限：签订合同后1</w:t>
      </w:r>
      <w:r>
        <w:rPr>
          <w:sz w:val="21"/>
        </w:rPr>
        <w:t>8</w:t>
      </w:r>
      <w:r>
        <w:rPr>
          <w:sz w:val="21"/>
        </w:rPr>
        <w:t>0天时间内完成安装调试。</w:t>
      </w:r>
    </w:p>
    <w:p>
      <w:pPr>
        <w:jc w:val="left"/>
      </w:pPr>
      <w:r>
        <w:rPr>
          <w:sz w:val="21"/>
        </w:rPr>
        <w:t>1</w:t>
      </w:r>
      <w:r>
        <w:rPr>
          <w:sz w:val="21"/>
        </w:rPr>
        <w:t>1</w:t>
      </w:r>
      <w:r>
        <w:rPr>
          <w:sz w:val="21"/>
        </w:rPr>
        <w:t>.根据财政部关于《政府采购进口产品管理办法》（财库〔2007〕119号）的规定，通过专家论证并经政府采购监管部门同意，本项目拟采购设备</w:t>
      </w:r>
      <w:r>
        <w:rPr>
          <w:sz w:val="21"/>
        </w:rPr>
        <w:t>：小动物活体光学成像系统，</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b/>
          <w:sz w:val="22"/>
        </w:rPr>
        <w:t>1</w:t>
      </w:r>
      <w:r>
        <w:rPr>
          <w:b/>
          <w:sz w:val="22"/>
        </w:rPr>
        <w:t>2</w:t>
      </w:r>
      <w:r>
        <w:rPr>
          <w:b/>
          <w:sz w:val="22"/>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2"/>
        </w:rPr>
        <w:t>1</w:t>
      </w:r>
      <w:r>
        <w:rPr>
          <w:b/>
          <w:sz w:val="22"/>
        </w:rPr>
        <w:t>3</w:t>
      </w:r>
      <w:r>
        <w:rPr>
          <w:b/>
          <w:sz w:val="22"/>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left"/>
      </w:pPr>
      <w:r>
        <w:rPr>
          <w:b/>
          <w:sz w:val="22"/>
        </w:rPr>
        <w:t>14.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采购包1（小动物活体光学成像系统）：</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签订合同后180天内完成安装调试</w:t>
            </w:r>
          </w:p>
        </w:tc>
      </w:tr>
      <w:tr>
        <w:tc>
          <w:tcPr>
            <w:tcW w:type="dxa" w:w="4153"/>
          </w:tcPr>
          <w:p>
            <w:r>
              <w:rPr/>
              <w:t>标的提供的地点</w:t>
            </w:r>
          </w:p>
        </w:tc>
        <w:tc>
          <w:tcPr>
            <w:tcW w:type="dxa" w:w="4153"/>
          </w:tcPr>
          <w:p>
            <w:pPr>
              <w:jc w:val="left"/>
            </w:pPr>
          </w:p>
          <w:p>
            <w:r>
              <w:rPr/>
              <w:t>中山市人民医院指定地点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1期：支付比例100%，采购人验收合格收到发票后，30天内支付合同货款总额的100%。</w:t>
            </w:r>
          </w:p>
        </w:tc>
      </w:tr>
      <w:tr>
        <w:tc>
          <w:tcPr>
            <w:tcW w:type="dxa" w:w="4153"/>
          </w:tcPr>
          <w:p>
            <w:r>
              <w:rPr/>
              <w:t>验收要求</w:t>
            </w:r>
          </w:p>
        </w:tc>
        <w:tc>
          <w:tcPr>
            <w:tcW w:type="dxa" w:w="4153"/>
          </w:tcPr>
          <w:p>
            <w:pPr>
              <w:jc w:val="left"/>
            </w:pPr>
          </w:p>
          <w:p/>
          <w:p/>
          <w:p>
            <w:r>
              <w:rPr/>
              <w:t>1期：合同设备安装调试完成并移交所有资料文档后10个工作日内验收，验收应在双方共同参加下进行，验收标准按照国家有关标准。</w:t>
            </w:r>
          </w:p>
        </w:tc>
      </w:tr>
      <w:tr>
        <w:tc>
          <w:tcPr>
            <w:tcW w:type="dxa" w:w="4153"/>
          </w:tcPr>
          <w:p>
            <w:r>
              <w:rPr/>
              <w:t>履约保证金</w:t>
            </w:r>
          </w:p>
        </w:tc>
        <w:tc>
          <w:tcPr>
            <w:tcW w:type="dxa" w:w="4153"/>
          </w:tcPr>
          <w:p>
            <w:pPr>
              <w:jc w:val="left"/>
            </w:p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pPr>
              <w:jc w:val="left"/>
            </w:pPr>
          </w:p>
          <w:p/>
          <w:p>
            <w:r>
              <w:rPr/>
              <w:t>1.报价要求:报价以人民币报价。投标报价应包括硬件、软件对接服务费、技术培训费、安装调试费等杂费，含全额发票及合同实施过程中的应预见或不可预见费用等完成合同规定责任和义务、达到合同目的的一切费用及企业利润。</w:t>
            </w:r>
          </w:p>
          <w:p/>
          <w:p>
            <w:r>
              <w:rPr/>
              <w:t>2.质保期:2.1.设备安装调试验收合格之日起，整机保修不少于3年； 2.2.保修期内免费维修。设备发生故障时，中标人在接到采购人的故障通知后2小时内响应，8小时内到达现场，48小时内处理完毕。若在48小时内仍未能有效解决，中标人须免费提供同档次的货物予采购人临时使用。 2.3.保修期内厂家每年免费回访设备至少2次。</w:t>
            </w:r>
          </w:p>
          <w:p/>
          <w:p>
            <w:r>
              <w:rPr/>
              <w:t>3.技术服务承诺:3.1.提供技术资料，含使用说明书、图纸等； 3.2.中标人须在广东省珠三角设有（或提供承诺函承诺中标后满足）售后服务点（提供维修的详细地址及工程师联系方式），负责设备的安装调试；  3.3.有操作、维护、维修培训计划，每个设备至少两名以上医务人员熟练掌握使用设备为止； 3.4.保证供应设备的维修与配件；</w:t>
            </w:r>
          </w:p>
          <w:p/>
          <w:p>
            <w:r>
              <w:rPr/>
              <w:t>4.专用工具:中标人应提供一套维修所需的专用工具及其清单。（如有）</w:t>
            </w:r>
          </w:p>
          <w:p/>
          <w:p>
            <w:r>
              <w:rPr/>
              <w:t>5.其他:中标人列明报价设备的全套系统配置清单及单价。</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其他货物</w:t>
            </w:r>
          </w:p>
        </w:tc>
        <w:tc>
          <w:tcPr>
            <w:tcW w:type="dxa" w:w="1923"/>
          </w:tcPr>
          <w:p>
            <w:r>
              <w:rPr/>
              <w:t>小动物活体光学成像系统</w:t>
            </w:r>
          </w:p>
        </w:tc>
        <w:tc>
          <w:tcPr>
            <w:tcW w:type="dxa" w:w="385"/>
          </w:tcPr>
          <w:p>
            <w:r>
              <w:rPr/>
              <w:t>套</w:t>
            </w:r>
          </w:p>
        </w:tc>
        <w:tc>
          <w:tcPr>
            <w:tcW w:type="dxa" w:w="769"/>
          </w:tcPr>
          <w:p>
            <w:pPr>
              <w:jc w:val="right"/>
            </w:pPr>
            <w:r>
              <w:rPr/>
              <w:t>1.0000</w:t>
            </w:r>
          </w:p>
        </w:tc>
        <w:tc>
          <w:tcPr>
            <w:tcW w:type="dxa" w:w="769"/>
          </w:tcPr>
          <w:p>
            <w:pPr>
              <w:jc w:val="right"/>
            </w:pPr>
            <w:r>
              <w:rPr/>
              <w:t>1,980,000.00</w:t>
            </w:r>
          </w:p>
        </w:tc>
        <w:tc>
          <w:tcPr>
            <w:tcW w:type="dxa" w:w="769"/>
          </w:tcPr>
          <w:p>
            <w:pPr>
              <w:jc w:val="right"/>
            </w:pPr>
            <w:r>
              <w:rPr/>
              <w:t>1,980,000.00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小动物活体光学成像系统</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1.</w:t>
            </w:r>
            <w:r>
              <w:rPr>
                <w:b/>
                <w:sz w:val="21"/>
              </w:rPr>
              <w:t>系统性能</w:t>
            </w:r>
            <w:r>
              <w:rPr>
                <w:b/>
                <w:sz w:val="21"/>
              </w:rPr>
              <w:t>：</w:t>
            </w:r>
          </w:p>
          <w:p>
            <w:pPr>
              <w:ind w:firstLine="210"/>
              <w:jc w:val="both"/>
            </w:pPr>
            <w:r>
              <w:rPr>
                <w:sz w:val="21"/>
              </w:rPr>
              <w:t>1.1.</w:t>
            </w:r>
            <w:r>
              <w:rPr>
                <w:sz w:val="21"/>
              </w:rPr>
              <w:t>具备高灵敏度的生物发光二维成像功能；</w:t>
            </w:r>
          </w:p>
          <w:p>
            <w:pPr>
              <w:ind w:firstLine="210"/>
              <w:jc w:val="both"/>
            </w:pPr>
            <w:r>
              <w:rPr>
                <w:sz w:val="21"/>
              </w:rPr>
              <w:t>1.2.</w:t>
            </w:r>
            <w:r>
              <w:rPr>
                <w:sz w:val="21"/>
              </w:rPr>
              <w:t>具备高性能的荧光二维成像功能；</w:t>
            </w:r>
          </w:p>
          <w:p>
            <w:pPr>
              <w:ind w:firstLine="210"/>
              <w:jc w:val="both"/>
            </w:pPr>
            <w:r>
              <w:rPr>
                <w:sz w:val="21"/>
              </w:rPr>
              <w:t>1.3.</w:t>
            </w:r>
            <w:r>
              <w:rPr>
                <w:sz w:val="21"/>
              </w:rPr>
              <w:t>具备基于切伦科夫辐射原理的放射性同位素成像功能；</w:t>
            </w:r>
          </w:p>
          <w:p>
            <w:pPr>
              <w:ind w:firstLine="210"/>
              <w:jc w:val="both"/>
            </w:pPr>
            <w:r>
              <w:rPr>
                <w:sz w:val="21"/>
              </w:rPr>
              <w:t>1.4.</w:t>
            </w:r>
            <w:r>
              <w:rPr>
                <w:sz w:val="21"/>
              </w:rPr>
              <w:t>具备高品质滤光片及光谱分离算法，可实现自发荧光扣除及多探针成像；</w:t>
            </w:r>
          </w:p>
          <w:p>
            <w:pPr>
              <w:ind w:firstLine="210"/>
              <w:jc w:val="both"/>
            </w:pPr>
            <w:r>
              <w:rPr>
                <w:sz w:val="21"/>
              </w:rPr>
              <w:t>1.5.</w:t>
            </w:r>
            <w:r>
              <w:rPr>
                <w:sz w:val="21"/>
              </w:rPr>
              <w:t>实验中能够实现生物发光及荧光成像模式的联合使用，并能将影像融合叠加；</w:t>
            </w:r>
          </w:p>
          <w:p>
            <w:pPr>
              <w:ind w:firstLine="210"/>
              <w:jc w:val="both"/>
            </w:pPr>
            <w:r>
              <w:rPr>
                <w:sz w:val="21"/>
              </w:rPr>
              <w:t>1.6.</w:t>
            </w:r>
            <w:r>
              <w:rPr>
                <w:sz w:val="21"/>
              </w:rPr>
              <w:t>具备光学信号定量方法；</w:t>
            </w:r>
          </w:p>
          <w:p>
            <w:pPr>
              <w:ind w:firstLine="210"/>
              <w:jc w:val="both"/>
            </w:pPr>
            <w:r>
              <w:rPr>
                <w:sz w:val="21"/>
              </w:rPr>
              <w:t>1.7.</w:t>
            </w:r>
            <w:r>
              <w:rPr>
                <w:sz w:val="21"/>
              </w:rPr>
              <w:t>具备高通量成像能力，可同时成像</w:t>
            </w:r>
            <w:r>
              <w:rPr>
                <w:sz w:val="21"/>
              </w:rPr>
              <w:t>5只小鼠。</w:t>
            </w:r>
          </w:p>
          <w:p>
            <w:pPr>
              <w:jc w:val="both"/>
            </w:pPr>
            <w:r>
              <w:rPr>
                <w:b/>
                <w:sz w:val="21"/>
              </w:rPr>
              <w:t>2.</w:t>
            </w:r>
            <w:r>
              <w:rPr>
                <w:b/>
                <w:sz w:val="21"/>
              </w:rPr>
              <w:t>应用领域</w:t>
            </w:r>
            <w:r>
              <w:rPr>
                <w:b/>
                <w:sz w:val="21"/>
              </w:rPr>
              <w:t>：</w:t>
            </w:r>
          </w:p>
          <w:p>
            <w:pPr>
              <w:ind w:firstLine="210"/>
              <w:jc w:val="both"/>
            </w:pPr>
            <w:r>
              <w:rPr>
                <w:sz w:val="21"/>
              </w:rPr>
              <w:t>2.1.</w:t>
            </w:r>
            <w:r>
              <w:rPr>
                <w:sz w:val="21"/>
              </w:rPr>
              <w:t>广泛应用于癌症、干细胞、感染、炎症、免疫疾病、神经疾病、心血管疾病、代谢疾病、基因治疗等多种疾病分子机理及相关药物研发的临床前研究。</w:t>
            </w:r>
          </w:p>
          <w:p>
            <w:pPr>
              <w:jc w:val="both"/>
            </w:pPr>
            <w:r>
              <w:rPr>
                <w:b/>
                <w:sz w:val="21"/>
              </w:rPr>
              <w:t>3.</w:t>
            </w:r>
            <w:r>
              <w:rPr>
                <w:b/>
                <w:sz w:val="21"/>
              </w:rPr>
              <w:t>主要技术参数</w:t>
            </w:r>
            <w:r>
              <w:rPr>
                <w:b/>
                <w:sz w:val="21"/>
              </w:rPr>
              <w:t>：</w:t>
            </w:r>
          </w:p>
          <w:p>
            <w:pPr>
              <w:ind w:firstLine="211"/>
              <w:jc w:val="both"/>
            </w:pPr>
            <w:r>
              <w:rPr>
                <w:b/>
                <w:sz w:val="21"/>
              </w:rPr>
              <w:t>3.1.</w:t>
            </w:r>
            <w:r>
              <w:rPr>
                <w:b/>
                <w:sz w:val="21"/>
              </w:rPr>
              <w:t>成像主机</w:t>
            </w:r>
            <w:r>
              <w:rPr>
                <w:b/>
                <w:sz w:val="21"/>
              </w:rPr>
              <w:t>：</w:t>
            </w:r>
          </w:p>
          <w:p>
            <w:pPr>
              <w:ind w:firstLine="420"/>
              <w:jc w:val="both"/>
            </w:pPr>
            <w:r>
              <w:rPr>
                <w:sz w:val="21"/>
              </w:rPr>
              <w:t>3.1.1.</w:t>
            </w:r>
            <w:r>
              <w:rPr>
                <w:sz w:val="21"/>
              </w:rPr>
              <w:t>采用背照射、背部薄化科学一级</w:t>
            </w:r>
            <w:r>
              <w:rPr>
                <w:sz w:val="21"/>
              </w:rPr>
              <w:t>CCD；</w:t>
            </w:r>
          </w:p>
          <w:p>
            <w:pPr>
              <w:ind w:firstLine="420"/>
              <w:jc w:val="both"/>
            </w:pPr>
            <w:r>
              <w:rPr>
                <w:sz w:val="21"/>
              </w:rPr>
              <w:t>3.1.2.</w:t>
            </w:r>
            <w:r>
              <w:rPr>
                <w:sz w:val="21"/>
              </w:rPr>
              <w:t>CCD采用电制冷方式，工作温度达到绝对</w:t>
            </w:r>
            <w:r>
              <w:rPr>
                <w:sz w:val="21"/>
              </w:rPr>
              <w:t>－</w:t>
            </w:r>
            <w:r>
              <w:rPr>
                <w:sz w:val="21"/>
              </w:rPr>
              <w:t>90℃，温度可视化；</w:t>
            </w:r>
          </w:p>
          <w:p>
            <w:pPr>
              <w:ind w:firstLine="420"/>
              <w:jc w:val="both"/>
            </w:pPr>
            <w:r>
              <w:rPr>
                <w:sz w:val="21"/>
              </w:rPr>
              <w:t>3.1.3.</w:t>
            </w:r>
            <w:r>
              <w:rPr>
                <w:sz w:val="21"/>
              </w:rPr>
              <w:t>CCD尺寸1.3 x 1.3 cm；</w:t>
            </w:r>
          </w:p>
          <w:p>
            <w:pPr>
              <w:ind w:firstLine="420"/>
              <w:jc w:val="both"/>
            </w:pPr>
            <w:r>
              <w:rPr>
                <w:sz w:val="21"/>
              </w:rPr>
              <w:t>3.1.4.</w:t>
            </w:r>
            <w:r>
              <w:rPr>
                <w:sz w:val="21"/>
              </w:rPr>
              <w:t>CCD有效像素数量1024 x 1024；</w:t>
            </w:r>
          </w:p>
          <w:p>
            <w:pPr>
              <w:ind w:firstLine="420"/>
              <w:jc w:val="both"/>
            </w:pPr>
            <w:r>
              <w:rPr>
                <w:sz w:val="21"/>
              </w:rPr>
              <w:t>3.1.5.</w:t>
            </w:r>
            <w:r>
              <w:rPr>
                <w:sz w:val="21"/>
              </w:rPr>
              <w:t>CCD量子效率&gt;85% at 500 – 700 nm, &gt;30% at 400 – 900 nm；</w:t>
            </w:r>
          </w:p>
          <w:p>
            <w:pPr>
              <w:ind w:firstLine="420"/>
              <w:jc w:val="both"/>
            </w:pPr>
            <w:r>
              <w:rPr>
                <w:sz w:val="21"/>
              </w:rPr>
              <w:t>3.1.6.</w:t>
            </w:r>
            <w:r>
              <w:rPr>
                <w:sz w:val="21"/>
              </w:rPr>
              <w:t>CCD暗电流&lt;2 x</w:t>
            </w:r>
            <w:r>
              <w:rPr>
                <w:sz w:val="21"/>
              </w:rPr>
              <w:t>10</w:t>
            </w:r>
            <w:r>
              <w:rPr>
                <w:sz w:val="21"/>
                <w:vertAlign w:val="superscript"/>
              </w:rPr>
              <w:t>-4</w:t>
            </w:r>
            <w:r>
              <w:rPr>
                <w:sz w:val="21"/>
              </w:rPr>
              <w:t>﹣</w:t>
            </w:r>
            <w:r>
              <w:rPr>
                <w:sz w:val="21"/>
              </w:rPr>
              <w:t>电子</w:t>
            </w:r>
            <w:r>
              <w:rPr>
                <w:sz w:val="21"/>
              </w:rPr>
              <w:t>/秒/像素或&lt;120电子/秒/平方厘米；</w:t>
            </w:r>
          </w:p>
          <w:p>
            <w:pPr>
              <w:ind w:firstLine="420"/>
              <w:jc w:val="both"/>
            </w:pPr>
            <w:r>
              <w:rPr>
                <w:sz w:val="21"/>
              </w:rPr>
              <w:t>3.1.7.</w:t>
            </w:r>
            <w:r>
              <w:rPr>
                <w:sz w:val="21"/>
              </w:rPr>
              <w:t>CCD读数噪音</w:t>
            </w:r>
            <w:r>
              <w:rPr>
                <w:sz w:val="21"/>
              </w:rPr>
              <w:t>＜</w:t>
            </w:r>
            <w:r>
              <w:rPr>
                <w:sz w:val="21"/>
              </w:rPr>
              <w:t>3个电子（bin=1,2,4）&lt;5个电子（bin=8,16）；</w:t>
            </w:r>
          </w:p>
          <w:p>
            <w:pPr>
              <w:ind w:firstLine="420"/>
              <w:jc w:val="both"/>
            </w:pPr>
            <w:r>
              <w:rPr>
                <w:sz w:val="21"/>
              </w:rPr>
              <w:t>3.1.8.</w:t>
            </w:r>
            <w:r>
              <w:rPr>
                <w:sz w:val="21"/>
              </w:rPr>
              <w:t>最小检测光子数可达</w:t>
            </w:r>
            <w:r>
              <w:rPr>
                <w:sz w:val="21"/>
              </w:rPr>
              <w:t>100光子/秒/弧度/平方厘米；</w:t>
            </w:r>
          </w:p>
          <w:p>
            <w:pPr>
              <w:ind w:firstLine="420"/>
              <w:jc w:val="both"/>
            </w:pPr>
            <w:r>
              <w:rPr>
                <w:sz w:val="21"/>
              </w:rPr>
              <w:t>3.1.9.</w:t>
            </w:r>
            <w:r>
              <w:rPr>
                <w:sz w:val="21"/>
              </w:rPr>
              <w:t>采用定焦镜头，光圈</w:t>
            </w:r>
            <w:r>
              <w:rPr>
                <w:sz w:val="21"/>
              </w:rPr>
              <w:t>f/</w:t>
            </w:r>
            <w:r>
              <w:rPr>
                <w:sz w:val="21"/>
              </w:rPr>
              <w:t>0</w:t>
            </w:r>
            <w:r>
              <w:rPr>
                <w:sz w:val="21"/>
              </w:rPr>
              <w:t>.95 – f/16，可自动聚焦；</w:t>
            </w:r>
          </w:p>
          <w:p>
            <w:pPr>
              <w:ind w:firstLine="420"/>
              <w:jc w:val="both"/>
            </w:pPr>
            <w:r>
              <w:rPr>
                <w:sz w:val="21"/>
              </w:rPr>
              <w:t>3.1.10.</w:t>
            </w:r>
            <w:r>
              <w:rPr>
                <w:sz w:val="21"/>
              </w:rPr>
              <w:t>成像视野范围通过载物台升降的方式调节，而非通过</w:t>
            </w:r>
            <w:r>
              <w:rPr>
                <w:sz w:val="21"/>
              </w:rPr>
              <w:t>CCD升降的方式调节，确保仪器的稳定运行；</w:t>
            </w:r>
          </w:p>
          <w:p>
            <w:pPr>
              <w:ind w:firstLine="420"/>
              <w:jc w:val="both"/>
            </w:pPr>
            <w:r>
              <w:rPr>
                <w:sz w:val="21"/>
              </w:rPr>
              <w:t>3.1.11.</w:t>
            </w:r>
            <w:r>
              <w:rPr>
                <w:sz w:val="21"/>
              </w:rPr>
              <w:t>动物载物台温度可控（</w:t>
            </w:r>
            <w:r>
              <w:rPr>
                <w:sz w:val="21"/>
              </w:rPr>
              <w:t>20-40℃），且即时温度可通过软件显示；</w:t>
            </w:r>
          </w:p>
          <w:p>
            <w:pPr>
              <w:ind w:firstLine="420"/>
              <w:jc w:val="both"/>
            </w:pPr>
            <w:r>
              <w:rPr>
                <w:sz w:val="21"/>
              </w:rPr>
              <w:t>3.1.12.</w:t>
            </w:r>
            <w:r>
              <w:rPr>
                <w:sz w:val="21"/>
              </w:rPr>
              <w:t>生物发光灵敏度达到可检测小鼠皮下少于</w:t>
            </w:r>
            <w:r>
              <w:rPr>
                <w:sz w:val="21"/>
              </w:rPr>
              <w:t>50个生物发光细胞</w:t>
            </w:r>
            <w:r>
              <w:rPr>
                <w:b/>
                <w:sz w:val="21"/>
              </w:rPr>
              <w:t>（</w:t>
            </w:r>
            <w:r>
              <w:rPr>
                <w:b/>
                <w:sz w:val="21"/>
              </w:rPr>
              <w:t>需提供</w:t>
            </w:r>
            <w:r>
              <w:rPr>
                <w:b/>
                <w:sz w:val="21"/>
              </w:rPr>
              <w:t>技术支持文件）</w:t>
            </w:r>
            <w:r>
              <w:rPr>
                <w:sz w:val="21"/>
              </w:rPr>
              <w:t>；</w:t>
            </w:r>
          </w:p>
          <w:p>
            <w:pPr>
              <w:ind w:firstLine="420"/>
              <w:jc w:val="both"/>
            </w:pPr>
            <w:r>
              <w:rPr>
                <w:sz w:val="21"/>
              </w:rPr>
              <w:t>3.1.13.</w:t>
            </w:r>
            <w:r>
              <w:rPr>
                <w:sz w:val="21"/>
              </w:rPr>
              <w:t>荧光光源采用</w:t>
            </w:r>
            <w:r>
              <w:rPr>
                <w:sz w:val="21"/>
              </w:rPr>
              <w:t>150瓦高效金属卤素灯；</w:t>
            </w:r>
          </w:p>
          <w:p>
            <w:pPr>
              <w:ind w:firstLine="420"/>
              <w:jc w:val="both"/>
            </w:pPr>
            <w:r>
              <w:rPr>
                <w:sz w:val="21"/>
              </w:rPr>
              <w:t>3.1.14.</w:t>
            </w:r>
            <w:r>
              <w:rPr>
                <w:sz w:val="21"/>
              </w:rPr>
              <w:t>激发光滤片轮位置</w:t>
            </w:r>
            <w:r>
              <w:rPr>
                <w:sz w:val="21"/>
              </w:rPr>
              <w:t>20个，标配滤片19个，覆盖410nm-790nm波段范围；</w:t>
            </w:r>
          </w:p>
          <w:p>
            <w:pPr>
              <w:ind w:firstLine="420"/>
              <w:jc w:val="both"/>
            </w:pPr>
            <w:r>
              <w:rPr>
                <w:sz w:val="21"/>
              </w:rPr>
              <w:t>3.1.15.</w:t>
            </w:r>
            <w:r>
              <w:rPr>
                <w:sz w:val="21"/>
              </w:rPr>
              <w:t>发射光滤片轮位置</w:t>
            </w:r>
            <w:r>
              <w:rPr>
                <w:sz w:val="21"/>
              </w:rPr>
              <w:t>8个，标配滤片于7个，覆盖500nm-865nm波段范围；</w:t>
            </w:r>
          </w:p>
          <w:p>
            <w:pPr>
              <w:ind w:firstLine="420"/>
              <w:jc w:val="both"/>
            </w:pPr>
            <w:r>
              <w:rPr>
                <w:sz w:val="21"/>
              </w:rPr>
              <w:t>3.1.16.</w:t>
            </w:r>
            <w:r>
              <w:rPr>
                <w:sz w:val="21"/>
              </w:rPr>
              <w:t>所有滤片均为高品质滤光片，透光率可达</w:t>
            </w:r>
            <w:r>
              <w:rPr>
                <w:sz w:val="21"/>
              </w:rPr>
              <w:t>95%，滤片表面采用多层硬性涂料防护，防止因长期照射导致的滤片退化或损伤，使用寿命长；</w:t>
            </w:r>
          </w:p>
          <w:p>
            <w:pPr>
              <w:ind w:firstLine="420"/>
              <w:jc w:val="both"/>
            </w:pPr>
            <w:r>
              <w:rPr>
                <w:sz w:val="21"/>
              </w:rPr>
              <w:t>3.1.17.</w:t>
            </w:r>
            <w:r>
              <w:rPr>
                <w:sz w:val="21"/>
              </w:rPr>
              <w:t>具备高品质成像暗箱，避免仪器背景信号的过多产生；</w:t>
            </w:r>
          </w:p>
          <w:p>
            <w:pPr>
              <w:ind w:firstLine="420"/>
              <w:jc w:val="both"/>
            </w:pPr>
            <w:r>
              <w:rPr>
                <w:sz w:val="21"/>
              </w:rPr>
              <w:t>3.1.18.</w:t>
            </w:r>
            <w:r>
              <w:rPr>
                <w:sz w:val="21"/>
              </w:rPr>
              <w:t>仪器出厂前经过国际标准的</w:t>
            </w:r>
            <w:r>
              <w:rPr>
                <w:sz w:val="21"/>
              </w:rPr>
              <w:t>NIST光学校准；</w:t>
            </w:r>
          </w:p>
          <w:p>
            <w:pPr>
              <w:ind w:firstLine="420"/>
              <w:jc w:val="both"/>
            </w:pPr>
            <w:r>
              <w:rPr>
                <w:sz w:val="21"/>
              </w:rPr>
              <w:t>3.1.19.</w:t>
            </w:r>
            <w:r>
              <w:rPr>
                <w:sz w:val="21"/>
              </w:rPr>
              <w:t>仪器具备定时自检功能，可自动去除仪器本身产生的背景信号。</w:t>
            </w:r>
          </w:p>
          <w:p>
            <w:pPr>
              <w:ind w:firstLine="211"/>
              <w:jc w:val="both"/>
            </w:pPr>
            <w:r>
              <w:rPr>
                <w:b/>
                <w:sz w:val="21"/>
              </w:rPr>
              <w:t>3.2</w:t>
            </w:r>
            <w:r>
              <w:rPr>
                <w:b/>
                <w:sz w:val="21"/>
              </w:rPr>
              <w:t>.</w:t>
            </w:r>
            <w:r>
              <w:rPr>
                <w:b/>
                <w:sz w:val="21"/>
              </w:rPr>
              <w:t>图像获取及分析软件</w:t>
            </w:r>
            <w:r>
              <w:rPr>
                <w:b/>
                <w:sz w:val="21"/>
              </w:rPr>
              <w:t>：</w:t>
            </w:r>
          </w:p>
          <w:p>
            <w:pPr>
              <w:ind w:firstLine="420"/>
              <w:jc w:val="both"/>
            </w:pPr>
            <w:r>
              <w:rPr>
                <w:sz w:val="21"/>
              </w:rPr>
              <w:t>3.2.1.</w:t>
            </w:r>
            <w:r>
              <w:rPr>
                <w:sz w:val="21"/>
              </w:rPr>
              <w:t>软件包含图像获取及数据分析模块，操作界面人性化；</w:t>
            </w:r>
          </w:p>
          <w:p>
            <w:pPr>
              <w:ind w:firstLine="420"/>
              <w:jc w:val="both"/>
            </w:pPr>
            <w:r>
              <w:rPr>
                <w:sz w:val="21"/>
              </w:rPr>
              <w:t>3.2.2.</w:t>
            </w:r>
            <w:r>
              <w:rPr>
                <w:sz w:val="21"/>
              </w:rPr>
              <w:t>具备成像设置向导，方便使用者操作；</w:t>
            </w:r>
          </w:p>
          <w:p>
            <w:pPr>
              <w:ind w:firstLine="420"/>
              <w:jc w:val="both"/>
            </w:pPr>
            <w:r>
              <w:rPr>
                <w:sz w:val="21"/>
              </w:rPr>
              <w:t>3.2.3.</w:t>
            </w:r>
            <w:r>
              <w:rPr>
                <w:sz w:val="21"/>
              </w:rPr>
              <w:t>可通过软件设置自动顺序成像，使仪器自动完成多时间点、多通道以及生物发光和荧光多模式顺序成像；</w:t>
            </w:r>
          </w:p>
          <w:p>
            <w:pPr>
              <w:ind w:firstLine="420"/>
              <w:jc w:val="both"/>
            </w:pPr>
            <w:r>
              <w:rPr>
                <w:sz w:val="21"/>
              </w:rPr>
              <w:t>3.2.</w:t>
            </w:r>
            <w:r>
              <w:rPr>
                <w:sz w:val="21"/>
              </w:rPr>
              <w:t>4</w:t>
            </w:r>
            <w:r>
              <w:rPr>
                <w:sz w:val="21"/>
              </w:rPr>
              <w:t>.</w:t>
            </w:r>
            <w:r>
              <w:rPr>
                <w:sz w:val="21"/>
              </w:rPr>
              <w:t>具备基于定量分析结果的荧光背景扣除算法；</w:t>
            </w:r>
          </w:p>
          <w:p>
            <w:pPr>
              <w:ind w:firstLine="420"/>
              <w:jc w:val="both"/>
            </w:pPr>
            <w:r>
              <w:rPr>
                <w:sz w:val="21"/>
              </w:rPr>
              <w:t>3.2.</w:t>
            </w:r>
            <w:r>
              <w:rPr>
                <w:sz w:val="21"/>
              </w:rPr>
              <w:t>5</w:t>
            </w:r>
            <w:r>
              <w:rPr>
                <w:sz w:val="21"/>
              </w:rPr>
              <w:t>.</w:t>
            </w:r>
            <w:r>
              <w:rPr>
                <w:sz w:val="21"/>
              </w:rPr>
              <w:t>具备专利的荧光光谱分离算法，可进行背景光去除及多探针成像分析所需的纯光谱信息提取、多光谱分离、信号光谱特征分类、图像叠加等操作；</w:t>
            </w:r>
          </w:p>
          <w:p>
            <w:pPr>
              <w:ind w:firstLine="420"/>
              <w:jc w:val="both"/>
            </w:pPr>
            <w:r>
              <w:rPr>
                <w:sz w:val="21"/>
              </w:rPr>
              <w:t>3.2.</w:t>
            </w:r>
            <w:r>
              <w:rPr>
                <w:sz w:val="21"/>
              </w:rPr>
              <w:t>6</w:t>
            </w:r>
            <w:r>
              <w:rPr>
                <w:sz w:val="21"/>
              </w:rPr>
              <w:t>.</w:t>
            </w:r>
            <w:r>
              <w:rPr>
                <w:sz w:val="21"/>
              </w:rPr>
              <w:t>采用国际公认的定量标准，以动物体表单位时间、单位面积、单位弧度发出的光子数作为定量单位，保证在不同成像参数获得的结果一致；</w:t>
            </w:r>
          </w:p>
          <w:p>
            <w:pPr>
              <w:ind w:firstLine="420"/>
              <w:jc w:val="both"/>
            </w:pPr>
            <w:r>
              <w:rPr>
                <w:sz w:val="21"/>
              </w:rPr>
              <w:t>3.2.</w:t>
            </w:r>
            <w:r>
              <w:rPr>
                <w:sz w:val="21"/>
              </w:rPr>
              <w:t>7</w:t>
            </w:r>
            <w:r>
              <w:rPr>
                <w:sz w:val="21"/>
              </w:rPr>
              <w:t>.</w:t>
            </w:r>
            <w:r>
              <w:rPr>
                <w:sz w:val="21"/>
              </w:rPr>
              <w:t>具备圆形、矩形、轮廓线、不同规格微孔板等多种</w:t>
            </w:r>
            <w:r>
              <w:rPr>
                <w:sz w:val="21"/>
              </w:rPr>
              <w:t>ROI圈选模式，用于信号的定量分析；</w:t>
            </w:r>
          </w:p>
          <w:p>
            <w:pPr>
              <w:ind w:firstLine="420"/>
              <w:jc w:val="both"/>
            </w:pPr>
            <w:r>
              <w:rPr>
                <w:sz w:val="21"/>
              </w:rPr>
              <w:t>3.2.</w:t>
            </w:r>
            <w:r>
              <w:rPr>
                <w:sz w:val="21"/>
              </w:rPr>
              <w:t>8</w:t>
            </w:r>
            <w:r>
              <w:rPr>
                <w:sz w:val="21"/>
              </w:rPr>
              <w:t>.</w:t>
            </w:r>
            <w:r>
              <w:rPr>
                <w:sz w:val="21"/>
              </w:rPr>
              <w:t>可通过软件记录实验相关内容，并自动添加于成像结果中，利于实验结果的管理。</w:t>
            </w:r>
          </w:p>
          <w:p>
            <w:pPr>
              <w:ind w:firstLine="211"/>
              <w:jc w:val="both"/>
            </w:pPr>
            <w:r>
              <w:rPr>
                <w:b/>
                <w:sz w:val="21"/>
              </w:rPr>
              <w:t>3.3</w:t>
            </w:r>
            <w:r>
              <w:rPr>
                <w:b/>
                <w:sz w:val="21"/>
              </w:rPr>
              <w:t>.</w:t>
            </w:r>
            <w:r>
              <w:rPr>
                <w:b/>
                <w:sz w:val="21"/>
              </w:rPr>
              <w:t>小动物气体麻醉系统</w:t>
            </w:r>
            <w:r>
              <w:rPr>
                <w:b/>
                <w:sz w:val="21"/>
              </w:rPr>
              <w:t>：</w:t>
            </w:r>
          </w:p>
          <w:p>
            <w:pPr>
              <w:ind w:firstLine="420"/>
              <w:jc w:val="both"/>
            </w:pPr>
            <w:r>
              <w:rPr>
                <w:sz w:val="21"/>
              </w:rPr>
              <w:t>3.3.1.</w:t>
            </w:r>
            <w:r>
              <w:rPr>
                <w:sz w:val="21"/>
              </w:rPr>
              <w:t>高度集成的一体式气体麻醉系统，蒸发罐、真空泵、流量控制、尾气吸收等装置均集成化；</w:t>
            </w:r>
          </w:p>
          <w:p>
            <w:pPr>
              <w:ind w:firstLine="420"/>
              <w:jc w:val="both"/>
            </w:pPr>
            <w:r>
              <w:rPr>
                <w:sz w:val="21"/>
              </w:rPr>
              <w:t>3.3.2.</w:t>
            </w:r>
            <w:r>
              <w:rPr>
                <w:sz w:val="21"/>
              </w:rPr>
              <w:t>具备预麻醉盒，用于小鼠成像麻醉前的预麻醉；</w:t>
            </w:r>
          </w:p>
          <w:p>
            <w:pPr>
              <w:ind w:firstLine="420"/>
              <w:jc w:val="both"/>
            </w:pPr>
            <w:r>
              <w:rPr>
                <w:sz w:val="21"/>
              </w:rPr>
              <w:t>3.3.3.</w:t>
            </w:r>
            <w:r>
              <w:rPr>
                <w:sz w:val="21"/>
              </w:rPr>
              <w:t>麻醉系统同时连接于预麻醉盒及成像主机；</w:t>
            </w:r>
          </w:p>
          <w:p>
            <w:pPr>
              <w:ind w:firstLine="420"/>
              <w:jc w:val="both"/>
            </w:pPr>
            <w:r>
              <w:rPr>
                <w:sz w:val="21"/>
              </w:rPr>
              <w:t>3.3.4.</w:t>
            </w:r>
            <w:r>
              <w:rPr>
                <w:sz w:val="21"/>
              </w:rPr>
              <w:t>可同时麻醉五只以上小鼠。</w:t>
            </w:r>
          </w:p>
          <w:p>
            <w:pPr>
              <w:ind w:firstLine="422"/>
              <w:jc w:val="both"/>
            </w:pPr>
            <w:r>
              <w:rPr>
                <w:b/>
                <w:sz w:val="21"/>
              </w:rPr>
              <w:t>3.4生物学售后服务及保障</w:t>
            </w:r>
          </w:p>
          <w:p>
            <w:pPr>
              <w:ind w:firstLine="420"/>
              <w:jc w:val="both"/>
            </w:pPr>
            <w:r>
              <w:rPr>
                <w:sz w:val="21"/>
              </w:rPr>
              <w:t>3.4.1.</w:t>
            </w:r>
            <w:r>
              <w:rPr>
                <w:sz w:val="21"/>
              </w:rPr>
              <w:t>可提供多种生物发光标记细胞株及细菌、多种功能性荧光试剂等实验耗材；</w:t>
            </w:r>
          </w:p>
          <w:p>
            <w:pPr>
              <w:ind w:firstLine="420"/>
              <w:jc w:val="both"/>
            </w:pPr>
            <w:r>
              <w:rPr>
                <w:sz w:val="21"/>
              </w:rPr>
              <w:t>3.4.2.</w:t>
            </w:r>
            <w:r>
              <w:rPr>
                <w:sz w:val="21"/>
              </w:rPr>
              <w:t>具有小动物可见光成像方法学专利，并保证在生物发光及荧光蛋白活体成像领域不侵犯其它公司或第三方的专利；</w:t>
            </w:r>
          </w:p>
          <w:p>
            <w:pPr>
              <w:ind w:firstLine="210"/>
              <w:jc w:val="both"/>
            </w:pPr>
            <w:r>
              <w:rPr>
                <w:sz w:val="21"/>
              </w:rPr>
              <w:t>3.5</w:t>
            </w:r>
            <w:r>
              <w:rPr>
                <w:b/>
                <w:sz w:val="21"/>
              </w:rPr>
              <w:t>.</w:t>
            </w:r>
            <w:r>
              <w:rPr>
                <w:b/>
                <w:sz w:val="21"/>
              </w:rPr>
              <w:t>仪器工作条件</w:t>
            </w:r>
          </w:p>
          <w:p>
            <w:pPr>
              <w:ind w:firstLine="420"/>
              <w:jc w:val="both"/>
            </w:pPr>
            <w:r>
              <w:rPr>
                <w:sz w:val="21"/>
              </w:rPr>
              <w:t>3.5.1.</w:t>
            </w:r>
            <w:r>
              <w:rPr>
                <w:sz w:val="21"/>
              </w:rPr>
              <w:t>工作温度范围：</w:t>
            </w:r>
            <w:r>
              <w:rPr>
                <w:sz w:val="21"/>
              </w:rPr>
              <w:t>15℃-25℃；</w:t>
            </w:r>
          </w:p>
          <w:p>
            <w:pPr>
              <w:ind w:firstLine="420"/>
              <w:jc w:val="both"/>
            </w:pPr>
            <w:r>
              <w:rPr>
                <w:sz w:val="21"/>
              </w:rPr>
              <w:t>3.5.2.</w:t>
            </w:r>
            <w:r>
              <w:rPr>
                <w:sz w:val="21"/>
              </w:rPr>
              <w:t>工作湿度范围：</w:t>
            </w:r>
            <w:r>
              <w:rPr>
                <w:sz w:val="21"/>
              </w:rPr>
              <w:t>80% 以下；</w:t>
            </w:r>
          </w:p>
          <w:p>
            <w:pPr>
              <w:ind w:firstLine="420"/>
              <w:jc w:val="both"/>
            </w:pPr>
            <w:r>
              <w:rPr>
                <w:sz w:val="21"/>
              </w:rPr>
              <w:t>3.5.3.</w:t>
            </w:r>
            <w:r>
              <w:rPr>
                <w:sz w:val="21"/>
              </w:rPr>
              <w:t>电源要求：</w:t>
            </w:r>
            <w:r>
              <w:rPr>
                <w:sz w:val="21"/>
              </w:rPr>
              <w:t>220-240V，50/60 Hz。</w:t>
            </w:r>
          </w:p>
          <w:p>
            <w:pPr>
              <w:jc w:val="both"/>
            </w:pPr>
            <w:r>
              <w:rPr>
                <w:sz w:val="21"/>
              </w:rPr>
              <w:t>4</w:t>
            </w:r>
            <w:r>
              <w:rPr>
                <w:b/>
                <w:sz w:val="21"/>
              </w:rPr>
              <w:t>.</w:t>
            </w:r>
            <w:r>
              <w:rPr>
                <w:b/>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504"/>
              <w:gridCol w:w="3195"/>
              <w:gridCol w:w="940"/>
              <w:gridCol w:w="959"/>
            </w:tblGrid>
            <w:tr>
              <w:tc>
                <w:tcPr>
                  <w:tcW w:type="dxa" w:w="50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195"/>
                  <w:tcBorders>
                    <w:top w:val="single" w:color="000000" w:sz="4"/>
                    <w:left w:val="single" w:color="000000" w:sz="4"/>
                    <w:bottom w:val="single" w:color="000000" w:sz="4"/>
                    <w:right w:val="single" w:color="000000" w:sz="4"/>
                  </w:tcBorders>
                  <w:vAlign w:val="top"/>
                </w:tcPr>
                <w:p>
                  <w:pPr>
                    <w:jc w:val="center"/>
                  </w:pPr>
                  <w:r>
                    <w:rPr>
                      <w:b/>
                      <w:sz w:val="21"/>
                    </w:rPr>
                    <w:t>产品</w:t>
                  </w:r>
                </w:p>
              </w:tc>
              <w:tc>
                <w:tcPr>
                  <w:tcW w:type="dxa" w:w="940"/>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959"/>
                  <w:tcBorders>
                    <w:top w:val="single" w:color="000000" w:sz="4"/>
                    <w:left w:val="single" w:color="000000" w:sz="4"/>
                    <w:bottom w:val="single" w:color="000000" w:sz="4"/>
                    <w:right w:val="single" w:color="000000" w:sz="4"/>
                  </w:tcBorders>
                  <w:vAlign w:val="top"/>
                </w:tcPr>
                <w:p>
                  <w:pPr>
                    <w:jc w:val="center"/>
                  </w:pPr>
                  <w:r>
                    <w:rPr>
                      <w:b/>
                      <w:sz w:val="21"/>
                    </w:rPr>
                    <w:t>单位</w:t>
                  </w:r>
                </w:p>
              </w:tc>
            </w:tr>
            <w:tr>
              <w:tc>
                <w:tcPr>
                  <w:tcW w:type="dxa" w:w="504"/>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3195"/>
                  <w:tcBorders>
                    <w:top w:val="none" w:color="000000" w:sz="4"/>
                    <w:left w:val="single" w:color="000000" w:sz="4"/>
                    <w:bottom w:val="single" w:color="000000" w:sz="4"/>
                    <w:right w:val="single" w:color="000000" w:sz="4"/>
                  </w:tcBorders>
                  <w:vAlign w:val="top"/>
                </w:tcPr>
                <w:p>
                  <w:pPr>
                    <w:jc w:val="center"/>
                  </w:pPr>
                  <w:r>
                    <w:rPr>
                      <w:b/>
                      <w:sz w:val="21"/>
                    </w:rPr>
                    <w:t>成像主机</w:t>
                  </w:r>
                </w:p>
              </w:tc>
              <w:tc>
                <w:tcPr>
                  <w:tcW w:type="dxa" w:w="940"/>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b/>
                      <w:sz w:val="21"/>
                    </w:rPr>
                    <w:t>套</w:t>
                  </w:r>
                </w:p>
              </w:tc>
            </w:tr>
            <w:tr>
              <w:tc>
                <w:tcPr>
                  <w:tcW w:type="dxa" w:w="504"/>
                  <w:tcBorders>
                    <w:top w:val="none" w:color="000000" w:sz="4"/>
                    <w:left w:val="single" w:color="000000" w:sz="4"/>
                    <w:bottom w:val="single" w:color="000000" w:sz="4"/>
                    <w:right w:val="single" w:color="000000" w:sz="4"/>
                  </w:tcBorders>
                  <w:vAlign w:val="top"/>
                </w:tcPr>
                <w:p>
                  <w:pPr>
                    <w:jc w:val="center"/>
                  </w:pPr>
                  <w:r>
                    <w:rPr>
                      <w:b/>
                      <w:sz w:val="21"/>
                    </w:rPr>
                    <w:t>2</w:t>
                  </w:r>
                </w:p>
              </w:tc>
              <w:tc>
                <w:tcPr>
                  <w:tcW w:type="dxa" w:w="3195"/>
                  <w:tcBorders>
                    <w:top w:val="none" w:color="000000" w:sz="4"/>
                    <w:left w:val="single" w:color="000000" w:sz="4"/>
                    <w:bottom w:val="single" w:color="000000" w:sz="4"/>
                    <w:right w:val="single" w:color="000000" w:sz="4"/>
                  </w:tcBorders>
                  <w:vAlign w:val="top"/>
                </w:tcPr>
                <w:p>
                  <w:pPr>
                    <w:jc w:val="center"/>
                  </w:pPr>
                  <w:r>
                    <w:rPr>
                      <w:b/>
                      <w:sz w:val="21"/>
                    </w:rPr>
                    <w:t>图像获取及分析软件</w:t>
                  </w:r>
                </w:p>
              </w:tc>
              <w:tc>
                <w:tcPr>
                  <w:tcW w:type="dxa" w:w="940"/>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b/>
                      <w:sz w:val="21"/>
                    </w:rPr>
                    <w:t>套</w:t>
                  </w:r>
                </w:p>
              </w:tc>
            </w:tr>
            <w:tr>
              <w:tc>
                <w:tcPr>
                  <w:tcW w:type="dxa" w:w="504"/>
                  <w:tcBorders>
                    <w:top w:val="none" w:color="000000" w:sz="4"/>
                    <w:left w:val="single" w:color="000000" w:sz="4"/>
                    <w:bottom w:val="single" w:color="000000" w:sz="4"/>
                    <w:right w:val="single" w:color="000000" w:sz="4"/>
                  </w:tcBorders>
                  <w:vAlign w:val="top"/>
                </w:tcPr>
                <w:p>
                  <w:pPr>
                    <w:jc w:val="center"/>
                  </w:pPr>
                  <w:r>
                    <w:rPr>
                      <w:b/>
                      <w:sz w:val="21"/>
                    </w:rPr>
                    <w:t>3</w:t>
                  </w:r>
                </w:p>
              </w:tc>
              <w:tc>
                <w:tcPr>
                  <w:tcW w:type="dxa" w:w="3195"/>
                  <w:tcBorders>
                    <w:top w:val="none" w:color="000000" w:sz="4"/>
                    <w:left w:val="single" w:color="000000" w:sz="4"/>
                    <w:bottom w:val="single" w:color="000000" w:sz="4"/>
                    <w:right w:val="single" w:color="000000" w:sz="4"/>
                  </w:tcBorders>
                  <w:vAlign w:val="top"/>
                </w:tcPr>
                <w:p>
                  <w:pPr>
                    <w:jc w:val="center"/>
                  </w:pPr>
                  <w:r>
                    <w:rPr>
                      <w:b/>
                      <w:sz w:val="21"/>
                    </w:rPr>
                    <w:t>小动物气体麻醉系统</w:t>
                  </w:r>
                </w:p>
              </w:tc>
              <w:tc>
                <w:tcPr>
                  <w:tcW w:type="dxa" w:w="940"/>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b/>
                      <w:sz w:val="21"/>
                    </w:rPr>
                    <w:t>套</w:t>
                  </w:r>
                </w:p>
              </w:tc>
            </w:tr>
            <w:tr>
              <w:tc>
                <w:tcPr>
                  <w:tcW w:type="dxa" w:w="504"/>
                  <w:tcBorders>
                    <w:top w:val="none" w:color="000000" w:sz="4"/>
                    <w:left w:val="single" w:color="000000" w:sz="4"/>
                    <w:bottom w:val="single" w:color="000000" w:sz="4"/>
                    <w:right w:val="single" w:color="000000" w:sz="4"/>
                  </w:tcBorders>
                  <w:vAlign w:val="top"/>
                </w:tcPr>
                <w:p>
                  <w:pPr>
                    <w:jc w:val="center"/>
                  </w:pPr>
                  <w:r>
                    <w:rPr>
                      <w:b/>
                      <w:sz w:val="21"/>
                    </w:rPr>
                    <w:t>4</w:t>
                  </w:r>
                </w:p>
              </w:tc>
              <w:tc>
                <w:tcPr>
                  <w:tcW w:type="dxa" w:w="3195"/>
                  <w:tcBorders>
                    <w:top w:val="none" w:color="000000" w:sz="4"/>
                    <w:left w:val="single" w:color="000000" w:sz="4"/>
                    <w:bottom w:val="single" w:color="000000" w:sz="4"/>
                    <w:right w:val="single" w:color="000000" w:sz="4"/>
                  </w:tcBorders>
                  <w:vAlign w:val="top"/>
                </w:tcPr>
                <w:p>
                  <w:pPr>
                    <w:jc w:val="center"/>
                  </w:pPr>
                  <w:r>
                    <w:rPr>
                      <w:b/>
                      <w:sz w:val="21"/>
                    </w:rPr>
                    <w:t>电脑工作站</w:t>
                  </w:r>
                </w:p>
              </w:tc>
              <w:tc>
                <w:tcPr>
                  <w:tcW w:type="dxa" w:w="940"/>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b/>
                      <w:sz w:val="21"/>
                    </w:rPr>
                    <w:t>台</w:t>
                  </w:r>
                </w:p>
              </w:tc>
            </w:tr>
            <w:tr>
              <w:tc>
                <w:tcPr>
                  <w:tcW w:type="dxa" w:w="504"/>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3195"/>
                  <w:tcBorders>
                    <w:top w:val="none" w:color="000000" w:sz="4"/>
                    <w:left w:val="single" w:color="000000" w:sz="4"/>
                    <w:bottom w:val="single" w:color="000000" w:sz="4"/>
                    <w:right w:val="single" w:color="000000" w:sz="4"/>
                  </w:tcBorders>
                  <w:vAlign w:val="top"/>
                </w:tcPr>
                <w:p>
                  <w:pPr>
                    <w:jc w:val="center"/>
                  </w:pPr>
                  <w:r>
                    <w:rPr>
                      <w:b/>
                      <w:sz w:val="21"/>
                    </w:rPr>
                    <w:t>24寸</w:t>
                  </w:r>
                  <w:r>
                    <w:rPr>
                      <w:b/>
                      <w:sz w:val="21"/>
                    </w:rPr>
                    <w:t>医用</w:t>
                  </w:r>
                  <w:r>
                    <w:rPr>
                      <w:b/>
                      <w:sz w:val="21"/>
                    </w:rPr>
                    <w:t>显示器</w:t>
                  </w:r>
                </w:p>
              </w:tc>
              <w:tc>
                <w:tcPr>
                  <w:tcW w:type="dxa" w:w="940"/>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b/>
                      <w:sz w:val="21"/>
                    </w:rPr>
                    <w:t>个</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二、需落实的政府采购政策，1）《政府采购促进中小企业发展管理办法》（财库〔2020〕46号）； 2）《关于政府采购支持监狱企业发展有关问题》（财库〔2014〕68 号）； 3）《关于促进残疾人就业政府采购政策的通知》（财库〔2017〕141 号）； 4）《关于印发环境标志产品政府采购品目清单的通知》（财库〔2019〕18号）； 5）《关于印发节能产品政府采购品目 清单的通知》（财库〔2019〕19号）；6）《关于建立政府强制采购节能产品制度的通知》（国办发〔2007〕51号）；7）《关于运用政府采购政策支持脱贫攻坚的通知》（财库[2019]27号）。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 中山市财政局 中山市经济和信息化局 中山市人民政府金融工作局关于印发的通知》的告知，1、根据《中国人民银行中山市中心支行 中山市财政局 中山市经济和信息化局 中山市 人民政府金融工作局关于印发的通知》（中人银发【2017】82号）规定，凡通过政府采购法定程序取得我市政府采购合同的中小微企 业，均可向辖区内开展政府采购质押融资业务的银行机构申请办理融资业务。 2、 截至当前，辖区内开展政府采购质押融资业务的银行机构报备的联系方式如下： 政府采购质押融资业务的银行机构联系人名单 序号 银行机构 经办部门 联系人 联系方式 1 中国农业发展银行中山市分行 客 户业务部邹可仕 18802598981 信贷与风险管理部 陈小龙 15889891688 2 中国工商 银行中山分行普惠金融事业部 陈炳菁 18928108782 普惠金融事业部 杨培鹏 15900085352 3 中国农业银行中山分行 普惠金融事业部 赖思韵 22644682 4 广发银行中山分行 普惠 金融部 林光宇 888 62643 5 中国邮政储蓄银行中山市分行 小企业金融部 黄嘉霖138247207 41 6 中山农村商业银 行 总行公司业务部 杜保森 88884181 7 平安银行中山分行 普惠金融部 林晓冰 13823931817 8 兴业银行中山分行 企业金融部 刘中芳 0760-88368666-203172 9 招商银行中山分行公司金融事业部 唐庆颖 13924998608 10 中国光大银行中山分行 公司业 务管理部 张梓颖 076 0-88858067 11 广州银行中山分行 公司金融部 杨顺龙 88776919 12 中信银行中山分行 普惠金融部 陈廷忠 15113386853 普惠金融部 余超贤 15918291829 13 渤海银行中山分行 公司金融部 李建夏 13631124024、0760-87911816 分行营业部 徐艺 13928142042、0760-87911808 14 华夏银行中山分行 营销管理部 叶怡 28137 855 15 东莞银行中山分行 业务部赵荣耀 13042854636/86939959 16 东亚银行（中国）有限公司中山支行 中山支行 王涛89986282/18926998881 17 浦发银行中山分行 交易银行部 付涛 0760-89982303 3、中小微企业有融资需求的，可通过应收账款融资服务平台（网址： www.crcrfsp.com）和中山市社会征信和金融服务一体化系统（网址：www.zsythxt.zs.gov .cn）向辖区内特定或非特定银行机构咨询并提出融资申请。4、采购人应当及时在应收账款融资 服务平台（网址：www.crcrf sp.com）确认债权债务关系，支持中小微企业融资。5、中小微企业与银行机构签订政府采购质押融资合同的，由采购人牵头与中小微企业和银行机构三方签 署《政府采购合同项下政府采购资金唯一回款账户确认函》，确保合同款支付到中小微企业在融资银行机构开立的回款账号。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 http://113.106.13.242:8088/zfcg/），中山市公共资源交易网（ http://ggzyjy.zs .gov.cn/），智林招标 （广东）有限公司官网（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 http://113.106.13.242:8088/zfcg/），中山市公共资源交易网（ http://ggzyjy.zs .gov.cn/），智林招标 （广东）有限公司官网（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采购包1(小动物活体光学成像系统)：综合评分法,是指投标文件满足招标文件全部实质性要求，且按照评审因素的量化指标评审得分最高的投标人为中标候选人的评标方法。（最低报价不是中标的唯一依据。）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采购包1（小动物活体光学成像系统）：</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采购包1（小动物活体光学成像系统）：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采购包1（小动物活体光学成像系统）：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投标函及投标有效期</w:t>
            </w:r>
          </w:p>
        </w:tc>
        <w:tc>
          <w:tcPr>
            <w:tcW w:type="dxa" w:w="4238"/>
          </w:tcPr>
          <w:p>
            <w:r>
              <w:rPr/>
              <w:t>投标函及投标有效期符合要求（90天）。</w:t>
            </w:r>
          </w:p>
        </w:tc>
      </w:tr>
      <w:tr>
        <w:tc>
          <w:tcPr>
            <w:tcW w:type="dxa" w:w="890"/>
          </w:tcPr>
          <w:p>
            <w:r>
              <w:rPr/>
              <w:t>2</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3</w:t>
            </w:r>
          </w:p>
        </w:tc>
        <w:tc>
          <w:tcPr>
            <w:tcW w:type="dxa" w:w="3178"/>
          </w:tcPr>
          <w:p>
            <w:r>
              <w:rPr/>
              <w:t>投标文件格式</w:t>
            </w:r>
          </w:p>
        </w:tc>
        <w:tc>
          <w:tcPr>
            <w:tcW w:type="dxa" w:w="4238"/>
          </w:tcPr>
          <w:p>
            <w:r>
              <w:rPr/>
              <w:t>按投标文件格式规定盖章和签署。</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其他</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小动物活体光学成像系统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中“具体技术（参数）要求”条款的响应情况 (40.0分)</w:t>
            </w:r>
          </w:p>
        </w:tc>
        <w:tc>
          <w:tcPr>
            <w:tcW w:type="dxa" w:w="5076"/>
          </w:tcPr>
          <w:p>
            <w:pPr>
              <w:jc w:val="left"/>
            </w:pPr>
            <w:r>
              <w:rPr/>
              <w:t>考核投标人对招标文件第二章《采购需求》中的附表一“具体技术（参数）要求”中所有条款的响应程度（每条条款最小一级序号均以一项计算）： 1、完全响应技术要求的得40分； 2、每负偏离一项扣2分，扣完为止。 注：如采购需求中有明确需要提供证明资料的，以采购需求中要求的为准，无或未按要求提供证明材料的不得分；如采购需求中无明确证明材料的，则以投标人投标文件中技术部分的条款响应表中的响应情况按要求填写内容为准，未填写的视为负偏离。）</w:t>
            </w:r>
          </w:p>
        </w:tc>
      </w:tr>
      <w:tr>
        <w:tc>
          <w:tcPr>
            <w:tcW w:type="dxa" w:w="922"/>
            <w:gridSpan w:val="2"/>
            <w:vMerge/>
          </w:tcPr>
          <w:p/>
        </w:tc>
        <w:tc>
          <w:tcPr>
            <w:tcW w:type="dxa" w:w="2307"/>
          </w:tcPr>
          <w:p>
            <w:pPr>
              <w:jc w:val="left"/>
            </w:pPr>
            <w:r>
              <w:rPr/>
              <w:t>安装、检测、验收、操作及培训计划 (5.0分)</w:t>
            </w:r>
            <w:r>
              <w:rPr/>
              <w:t>，（等次分值选择：</w:t>
            </w:r>
            <w:r>
              <w:rPr/>
              <w:t>0.0;</w:t>
            </w:r>
            <w:r>
              <w:rPr/>
              <w:t>0.5;</w:t>
            </w:r>
            <w:r>
              <w:rPr/>
              <w:t>2.0;</w:t>
            </w:r>
            <w:r>
              <w:rPr/>
              <w:t>3.5;</w:t>
            </w:r>
            <w:r>
              <w:rPr/>
              <w:t>5.0;</w:t>
            </w:r>
            <w:r>
              <w:rPr/>
              <w:t>）</w:t>
            </w:r>
          </w:p>
        </w:tc>
        <w:tc>
          <w:tcPr>
            <w:tcW w:type="dxa" w:w="5076"/>
          </w:tcPr>
          <w:p>
            <w:pPr>
              <w:jc w:val="left"/>
            </w:pPr>
            <w:r>
              <w:rPr/>
              <w:t>评委对各投标人提供的安装、检测、验收、操作及培训计划进行评审 。 1、安装、检测、验收、培训计划条理清晰，脉络分明，操作性强，人性化，能体现以人为本、服务至上的售后理念，得5 分； 2、安装、检测、验收、培训计划条理较清晰，脉络较分明，操作性较强，能体现以人为本、服务至上的售后理念，得3.5分； 3、安装、检测、验收、培训计划条理模糊，脉络较分明，操作性一般，不能体现以人为本、 服务至上的售后理念，得2分； 4、安装、检测、验收、培训计划条理模糊 ，脉络不分明，操作性差，不能体现以人为本、服务至上的售后理念，得 0.5分； 5、不提供计划得0分。</w:t>
            </w:r>
          </w:p>
        </w:tc>
      </w:tr>
      <w:tr>
        <w:tc>
          <w:tcPr>
            <w:tcW w:type="dxa" w:w="922"/>
            <w:gridSpan w:val="2"/>
            <w:vMerge/>
          </w:tcPr>
          <w:p/>
        </w:tc>
        <w:tc>
          <w:tcPr>
            <w:tcW w:type="dxa" w:w="2307"/>
          </w:tcPr>
          <w:p>
            <w:pPr>
              <w:jc w:val="left"/>
            </w:pPr>
            <w:r>
              <w:rPr/>
              <w:t>产品的配置、选型及性能 (5.0分)</w:t>
            </w:r>
            <w:r>
              <w:rPr/>
              <w:t>，（等次分值选择：</w:t>
            </w:r>
            <w:r>
              <w:rPr/>
              <w:t>0.0;</w:t>
            </w:r>
            <w:r>
              <w:rPr/>
              <w:t>0.5;</w:t>
            </w:r>
            <w:r>
              <w:rPr/>
              <w:t>2.0;</w:t>
            </w:r>
            <w:r>
              <w:rPr/>
              <w:t>3.5;</w:t>
            </w:r>
            <w:r>
              <w:rPr/>
              <w:t>5.0;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1、所投产品的配置完全满足或优于招标文件要求，选型及性能非常好，完全能满足采购人需求，得5分； 2、所投产品的配置基本满足招标文件要求，选型及性能比较好，比较能满足采购人需求，得3.5分；  3、所投产品的配置勉强满足招标文件要求，选型及性能一般，勉强能满足采购人需求，得2分；  4、所投产品的配置不能满足招标文件要求，选型及性能不太好，不能满足采购人需求，得0.5分；  5、不提供得0分。</w:t>
            </w:r>
          </w:p>
        </w:tc>
      </w:tr>
      <w:tr>
        <w:tc>
          <w:tcPr>
            <w:tcW w:type="dxa" w:w="922"/>
            <w:gridSpan w:val="2"/>
            <w:vMerge/>
          </w:tcPr>
          <w:p/>
        </w:tc>
        <w:tc>
          <w:tcPr>
            <w:tcW w:type="dxa" w:w="2307"/>
          </w:tcPr>
          <w:p>
            <w:pPr>
              <w:jc w:val="left"/>
            </w:pPr>
            <w:r>
              <w:rPr/>
              <w:t>服务响应、维护保养及应急措施方案 (5.0分)</w:t>
            </w:r>
            <w:r>
              <w:rPr/>
              <w:t>，（等次分值选择：</w:t>
            </w:r>
            <w:r>
              <w:rPr/>
              <w:t>0.0;</w:t>
            </w:r>
            <w:r>
              <w:rPr/>
              <w:t>0.5;</w:t>
            </w:r>
            <w:r>
              <w:rPr/>
              <w:t>2.0;</w:t>
            </w:r>
            <w:r>
              <w:rPr/>
              <w:t>3.5;</w:t>
            </w:r>
            <w:r>
              <w:rPr/>
              <w:t>5.0;</w:t>
            </w:r>
            <w:r>
              <w:rPr/>
              <w:t>）</w:t>
            </w:r>
          </w:p>
        </w:tc>
        <w:tc>
          <w:tcPr>
            <w:tcW w:type="dxa" w:w="5076"/>
          </w:tcPr>
          <w:p>
            <w:pPr>
              <w:jc w:val="left"/>
            </w:pPr>
            <w:r>
              <w:rPr/>
              <w:t>评委对各投标人服务响应、维护保养及应急措施方案进行评审： 1、服务响应时间优于招标文件要求，处理问题能力强，质保期、维护保养方案优，应急预案好，考虑情况全面，处理措施完善，得5分； 2、服务响应时间满足招标文件要求，处理问题能力较强，质保期、维护保养方案较好，应急预案较好，考虑情况较全面，处理措施较好，得3.5分；  3、服务响应时间满足招标文件要求，处理问题能力一般；质保期、维护保养方案一般，应急预案一般，考虑情况一般，处理措施一般，得2分；  4、服务响应时间未能满足招标文件要求，处理问题能力较弱，质保期、维护保养方案不够具体，应急预案考虑情况不太周全，处理措施不够完善，得0.5分；  5、不提供方案得0分。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考核对采购需求中“主要商务要求”所有小点的响应程度。完全响应要求的得8分；每负偏离一项扣1分，本项8分，扣完为止。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②环境管理体系认证证书（1分）；③职业健康安全管理体系证书（1分）；注：投标人或所投设备生产厂家具备以上证书，每提供一个证书得1分，满分3分。（提供有效期内的证书复印件并加盖投标人的公章），不按要求提供不等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（以合同签订日期为准）投标人承接的同类项目业绩，每提供一个项目业绩得1分，最多得3分。注：按招标文件格式填写《投标人业绩情况表 》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①提供信用报告且无不良记录的得1分； ②不提供信用报告或提供信用报告但是有不良记录的均不得分。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t xml:space="preserve"> </w:t>
      </w:r>
    </w:p>
    <w:p>
      <w:pPr>
        <w:jc w:val="center"/>
      </w:pPr>
      <w:r>
        <w:rPr/>
        <w:t xml:space="preserve"> </w:t>
      </w:r>
    </w:p>
    <w:p>
      <w:pPr>
        <w:jc w:val="center"/>
      </w:pPr>
      <w:r>
        <w:rPr>
          <w:sz w:val="24"/>
        </w:rPr>
        <w:t>（本合同范本仅供参考，中标人与采购人可根据双方的具体要求进行修订，双方所签订的合同不得对招标文件确定的事项和中标人投标文件作实质性修改。）</w:t>
      </w:r>
    </w:p>
    <w:p>
      <w:pPr>
        <w:jc w:val="left"/>
      </w:pPr>
      <w:r>
        <w:rPr>
          <w:b/>
          <w:sz w:val="48"/>
        </w:rPr>
        <w:t xml:space="preserve"> </w:t>
      </w:r>
    </w:p>
    <w:p>
      <w:pPr>
        <w:jc w:val="left"/>
      </w:pPr>
      <w:r>
        <w:rPr>
          <w:b/>
          <w:sz w:val="30"/>
        </w:rPr>
        <w:t>合同编号：</w:t>
      </w:r>
    </w:p>
    <w:p>
      <w:pPr>
        <w:jc w:val="center"/>
      </w:pPr>
      <w:r>
        <w:rPr>
          <w:b/>
          <w:color w:val="000000"/>
          <w:sz w:val="44"/>
        </w:rPr>
        <w:t>中山市人民医院通用货物采购合同</w:t>
      </w:r>
    </w:p>
    <w:p>
      <w:r>
        <w:rPr>
          <w:b/>
          <w:sz w:val="22"/>
        </w:rPr>
        <w:t xml:space="preserve"> </w:t>
      </w:r>
      <w:r>
        <w:rPr>
          <w:b/>
          <w:sz w:val="22"/>
        </w:rPr>
        <w:t xml:space="preserve">                             </w:t>
      </w:r>
    </w:p>
    <w:p>
      <w:r>
        <w:rPr/>
        <w:t xml:space="preserve"> </w:t>
      </w:r>
    </w:p>
    <w:p>
      <w:r>
        <w:rPr/>
        <w:t xml:space="preserve"> </w:t>
      </w:r>
    </w:p>
    <w:p>
      <w:r>
        <w:rPr/>
        <w:t xml:space="preserve"> </w:t>
      </w:r>
    </w:p>
    <w:p>
      <w:r>
        <w:rPr>
          <w:b/>
          <w:sz w:val="30"/>
        </w:rPr>
        <w:t>甲方：中山市人民医院</w:t>
      </w:r>
      <w:r>
        <w:rPr>
          <w:b/>
          <w:sz w:val="22"/>
        </w:rPr>
        <w:t xml:space="preserve"> </w:t>
      </w:r>
    </w:p>
    <w:p>
      <w:r>
        <w:rPr>
          <w:b/>
          <w:sz w:val="30"/>
        </w:rPr>
        <w:t>乙方：</w:t>
      </w:r>
    </w:p>
    <w:p>
      <w:pPr>
        <w:ind w:firstLine="480"/>
        <w:jc w:val="left"/>
      </w:pPr>
      <w:r>
        <w:rPr>
          <w:color w:val="000000"/>
          <w:sz w:val="24"/>
        </w:rPr>
        <w:t>为保护甲乙双方合法权益，</w:t>
      </w:r>
      <w:r>
        <w:rPr>
          <w:sz w:val="24"/>
        </w:rPr>
        <w:t>结合</w:t>
      </w:r>
      <w:r>
        <w:rPr>
          <w:sz w:val="22"/>
        </w:rPr>
        <w:t xml:space="preserve">  </w:t>
      </w:r>
      <w:r>
        <w:rPr>
          <w:sz w:val="24"/>
          <w:u w:val="single"/>
        </w:rPr>
        <w:t>{采购项目名称}</w:t>
      </w:r>
      <w:r>
        <w:rPr>
          <w:sz w:val="24"/>
        </w:rPr>
        <w:t>的项目（招标编号：</w:t>
      </w:r>
      <w:r>
        <w:rPr>
          <w:sz w:val="22"/>
          <w:u w:val="single"/>
        </w:rPr>
        <w:t xml:space="preserve">               </w:t>
      </w:r>
      <w:r>
        <w:rPr>
          <w:sz w:val="24"/>
        </w:rPr>
        <w:t>）的采购结果，根据</w:t>
      </w:r>
      <w:r>
        <w:rPr>
          <w:color w:val="000000"/>
          <w:sz w:val="24"/>
        </w:rPr>
        <w:t>《中华人民共和国民法典》《中华人民共和国政府采购法》等相关法律法规的规定，甲乙双方签订本合同，并共同遵守。</w:t>
      </w:r>
    </w:p>
    <w:p>
      <w:pPr>
        <w:ind w:firstLine="482"/>
        <w:jc w:val="left"/>
      </w:pPr>
    </w:p>
    <w:p>
      <w:pPr>
        <w:ind w:firstLine="482"/>
        <w:jc w:val="left"/>
      </w:pPr>
      <w:r>
        <w:rPr>
          <w:b/>
          <w:color w:val="000000"/>
          <w:sz w:val="24"/>
        </w:rPr>
        <w:t>第一条</w:t>
      </w:r>
      <w:r>
        <w:rPr>
          <w:b/>
          <w:color w:val="000000"/>
          <w:sz w:val="24"/>
        </w:rPr>
        <w:t>合同标的</w:t>
      </w:r>
    </w:p>
    <w:p>
      <w:pPr>
        <w:ind w:firstLine="480"/>
        <w:jc w:val="center"/>
      </w:pPr>
      <w:r>
        <w:rPr>
          <w:color w:val="000000"/>
          <w:sz w:val="24"/>
        </w:rPr>
        <w:t>货物清单</w:t>
      </w:r>
    </w:p>
    <w:tbl>
      <w:tblPr>
        <w:tblW w:w="0" w:type="auto"/>
        <w:tblBorders>
          <w:top w:val="none" w:color="000000" w:sz="4"/>
          <w:left w:val="none" w:color="000000" w:sz="4"/>
          <w:bottom w:val="none" w:color="000000" w:sz="4"/>
          <w:right w:val="none" w:color="000000" w:sz="4"/>
          <w:insideH w:val="none"/>
          <w:insideV w:val="none"/>
        </w:tblBorders>
      </w:tblPr>
      <w:tblGrid>
        <w:gridCol w:w="1558"/>
        <w:gridCol w:w="1941"/>
        <w:gridCol w:w="1117"/>
        <w:gridCol w:w="1264"/>
        <w:gridCol w:w="1279"/>
        <w:gridCol w:w="1147"/>
      </w:tblGrid>
      <w:tr>
        <w:tc>
          <w:tcPr>
            <w:tcW w:type="dxa" w:w="1558"/>
            <w:tcBorders>
              <w:top w:val="single" w:color="000000" w:sz="4"/>
              <w:left w:val="single" w:color="000000" w:sz="4"/>
              <w:bottom w:val="single" w:color="000000" w:sz="4"/>
              <w:right w:val="single" w:color="000000" w:sz="4"/>
            </w:tcBorders>
            <w:vAlign w:val="top"/>
          </w:tcPr>
          <w:p>
            <w:pPr>
              <w:jc w:val="center"/>
            </w:pPr>
            <w:r>
              <w:rPr>
                <w:b/>
                <w:color w:val="000000"/>
                <w:sz w:val="22"/>
              </w:rPr>
              <w:t>货物名称</w:t>
            </w:r>
          </w:p>
        </w:tc>
        <w:tc>
          <w:tcPr>
            <w:tcW w:type="dxa" w:w="1941"/>
            <w:tcBorders>
              <w:top w:val="single" w:color="000000" w:sz="4"/>
              <w:left w:val="single" w:color="000000" w:sz="4"/>
              <w:bottom w:val="single" w:color="000000" w:sz="4"/>
              <w:right w:val="single" w:color="000000" w:sz="4"/>
            </w:tcBorders>
            <w:vAlign w:val="top"/>
          </w:tcPr>
          <w:p>
            <w:pPr>
              <w:jc w:val="center"/>
            </w:pPr>
            <w:r>
              <w:rPr>
                <w:b/>
                <w:color w:val="000000"/>
                <w:sz w:val="22"/>
              </w:rPr>
              <w:t>技术规格</w:t>
            </w:r>
          </w:p>
        </w:tc>
        <w:tc>
          <w:tcPr>
            <w:tcW w:type="dxa" w:w="1117"/>
            <w:tcBorders>
              <w:top w:val="single" w:color="000000" w:sz="4"/>
              <w:left w:val="single" w:color="000000" w:sz="4"/>
              <w:bottom w:val="single" w:color="000000" w:sz="4"/>
              <w:right w:val="single" w:color="000000" w:sz="4"/>
            </w:tcBorders>
            <w:vAlign w:val="top"/>
          </w:tcPr>
          <w:p>
            <w:pPr>
              <w:jc w:val="center"/>
            </w:pPr>
            <w:r>
              <w:rPr>
                <w:b/>
                <w:color w:val="000000"/>
                <w:sz w:val="22"/>
              </w:rPr>
              <w:t>数量</w:t>
            </w:r>
          </w:p>
        </w:tc>
        <w:tc>
          <w:tcPr>
            <w:tcW w:type="dxa" w:w="1264"/>
            <w:tcBorders>
              <w:top w:val="single" w:color="000000" w:sz="4"/>
              <w:left w:val="single" w:color="000000" w:sz="4"/>
              <w:bottom w:val="single" w:color="000000" w:sz="4"/>
              <w:right w:val="single" w:color="000000" w:sz="4"/>
            </w:tcBorders>
            <w:vAlign w:val="top"/>
          </w:tcPr>
          <w:p>
            <w:pPr>
              <w:jc w:val="center"/>
            </w:pPr>
            <w:r>
              <w:rPr>
                <w:b/>
                <w:color w:val="000000"/>
                <w:sz w:val="22"/>
              </w:rPr>
              <w:t>单价（元）</w:t>
            </w:r>
          </w:p>
        </w:tc>
        <w:tc>
          <w:tcPr>
            <w:tcW w:type="dxa" w:w="1279"/>
            <w:tcBorders>
              <w:top w:val="single" w:color="000000" w:sz="4"/>
              <w:left w:val="single" w:color="000000" w:sz="4"/>
              <w:bottom w:val="single" w:color="000000" w:sz="4"/>
              <w:right w:val="single" w:color="000000" w:sz="4"/>
            </w:tcBorders>
            <w:vAlign w:val="top"/>
          </w:tcPr>
          <w:p>
            <w:pPr>
              <w:jc w:val="center"/>
            </w:pPr>
            <w:r>
              <w:rPr>
                <w:b/>
                <w:color w:val="000000"/>
                <w:sz w:val="22"/>
              </w:rPr>
              <w:t>金额（元）</w:t>
            </w:r>
          </w:p>
        </w:tc>
        <w:tc>
          <w:tcPr>
            <w:tcW w:type="dxa" w:w="1147"/>
            <w:tcBorders>
              <w:top w:val="single" w:color="000000" w:sz="4"/>
              <w:left w:val="single" w:color="000000" w:sz="4"/>
              <w:bottom w:val="single" w:color="000000" w:sz="4"/>
              <w:right w:val="single" w:color="000000" w:sz="4"/>
            </w:tcBorders>
            <w:vAlign w:val="top"/>
          </w:tcPr>
          <w:p>
            <w:pPr>
              <w:jc w:val="center"/>
            </w:pPr>
            <w:r>
              <w:rPr>
                <w:b/>
                <w:color w:val="000000"/>
                <w:sz w:val="22"/>
              </w:rPr>
              <w:t>备注</w:t>
            </w:r>
          </w:p>
        </w:tc>
      </w:tr>
      <w:tr>
        <w:tc>
          <w:tcPr>
            <w:tcW w:type="dxa" w:w="1558"/>
            <w:tcBorders>
              <w:top w:val="none" w:color="000000" w:sz="4"/>
              <w:left w:val="single" w:color="000000" w:sz="4"/>
              <w:bottom w:val="single" w:color="000000" w:sz="4"/>
              <w:right w:val="single" w:color="000000" w:sz="4"/>
            </w:tcBorders>
            <w:vAlign w:val="top"/>
          </w:tcPr>
          <w:p>
            <w:pPr>
              <w:jc w:val="center"/>
            </w:pPr>
          </w:p>
        </w:tc>
        <w:tc>
          <w:tcPr>
            <w:tcW w:type="dxa" w:w="1941"/>
            <w:tcBorders>
              <w:top w:val="none" w:color="000000" w:sz="4"/>
              <w:left w:val="single" w:color="000000" w:sz="4"/>
              <w:bottom w:val="single" w:color="000000" w:sz="4"/>
              <w:right w:val="single" w:color="000000" w:sz="4"/>
            </w:tcBorders>
            <w:vAlign w:val="top"/>
          </w:tcPr>
          <w:p>
            <w:pPr>
              <w:jc w:val="center"/>
            </w:pPr>
          </w:p>
        </w:tc>
        <w:tc>
          <w:tcPr>
            <w:tcW w:type="dxa" w:w="1117"/>
            <w:tcBorders>
              <w:top w:val="none" w:color="000000" w:sz="4"/>
              <w:left w:val="single" w:color="000000" w:sz="4"/>
              <w:bottom w:val="single" w:color="000000" w:sz="4"/>
              <w:right w:val="single" w:color="000000" w:sz="4"/>
            </w:tcBorders>
            <w:vAlign w:val="top"/>
          </w:tcPr>
          <w:p>
            <w:pPr>
              <w:jc w:val="center"/>
            </w:pPr>
          </w:p>
        </w:tc>
        <w:tc>
          <w:tcPr>
            <w:tcW w:type="dxa" w:w="1264"/>
            <w:tcBorders>
              <w:top w:val="none" w:color="000000" w:sz="4"/>
              <w:left w:val="single" w:color="000000" w:sz="4"/>
              <w:bottom w:val="single" w:color="000000" w:sz="4"/>
              <w:right w:val="single" w:color="000000" w:sz="4"/>
            </w:tcBorders>
            <w:vAlign w:val="top"/>
          </w:tcPr>
          <w:p>
            <w:pPr>
              <w:jc w:val="center"/>
            </w:pPr>
          </w:p>
        </w:tc>
        <w:tc>
          <w:tcPr>
            <w:tcW w:type="dxa" w:w="1279"/>
            <w:tcBorders>
              <w:top w:val="none" w:color="000000" w:sz="4"/>
              <w:left w:val="single" w:color="000000" w:sz="4"/>
              <w:bottom w:val="single" w:color="000000" w:sz="4"/>
              <w:right w:val="single" w:color="000000" w:sz="4"/>
            </w:tcBorders>
            <w:vAlign w:val="top"/>
          </w:tcPr>
          <w:p>
            <w:pPr>
              <w:jc w:val="center"/>
            </w:pPr>
          </w:p>
        </w:tc>
        <w:tc>
          <w:tcPr>
            <w:tcW w:type="dxa" w:w="1147"/>
            <w:tcBorders>
              <w:top w:val="none" w:color="000000" w:sz="4"/>
              <w:left w:val="single" w:color="000000" w:sz="4"/>
              <w:bottom w:val="single" w:color="000000" w:sz="4"/>
              <w:right w:val="single" w:color="000000" w:sz="4"/>
            </w:tcBorders>
            <w:vAlign w:val="top"/>
          </w:tcPr>
          <w:p>
            <w:pPr>
              <w:jc w:val="center"/>
            </w:pPr>
          </w:p>
        </w:tc>
      </w:tr>
      <w:tr>
        <w:tc>
          <w:tcPr>
            <w:tcW w:type="dxa" w:w="1558"/>
            <w:tcBorders>
              <w:top w:val="none" w:color="000000" w:sz="4"/>
              <w:left w:val="single" w:color="000000" w:sz="4"/>
              <w:bottom w:val="single" w:color="000000" w:sz="4"/>
              <w:right w:val="single" w:color="000000" w:sz="4"/>
            </w:tcBorders>
            <w:vAlign w:val="top"/>
          </w:tcPr>
          <w:p>
            <w:pPr>
              <w:jc w:val="center"/>
            </w:pPr>
            <w:r>
              <w:rPr>
                <w:color w:val="000000"/>
                <w:sz w:val="22"/>
              </w:rPr>
              <w:t>合计</w:t>
            </w:r>
          </w:p>
        </w:tc>
        <w:tc>
          <w:tcPr>
            <w:tcW w:type="dxa" w:w="6748"/>
            <w:gridSpan w:val="5"/>
            <w:tcBorders>
              <w:top w:val="none" w:color="000000" w:sz="4"/>
              <w:left w:val="single" w:color="000000" w:sz="4"/>
              <w:bottom w:val="single" w:color="000000" w:sz="4"/>
              <w:right w:val="single" w:color="000000" w:sz="4"/>
            </w:tcBorders>
            <w:vAlign w:val="top"/>
          </w:tcPr>
          <w:p>
            <w:pPr>
              <w:jc w:val="left"/>
            </w:pPr>
            <w:r>
              <w:rPr>
                <w:color w:val="000000"/>
                <w:sz w:val="22"/>
              </w:rPr>
              <w:t>（大写）：人民币</w:t>
            </w:r>
            <w:r>
              <w:rPr>
                <w:sz w:val="22"/>
                <w:u w:val="single"/>
              </w:rPr>
              <w:t xml:space="preserve"> </w:t>
            </w:r>
            <w:r>
              <w:rPr>
                <w:sz w:val="22"/>
                <w:u w:val="single"/>
              </w:rPr>
              <w:t xml:space="preserve">         </w:t>
            </w:r>
            <w:r>
              <w:rPr>
                <w:color w:val="000000"/>
                <w:sz w:val="22"/>
              </w:rPr>
              <w:t>，（小写）￥</w:t>
            </w:r>
            <w:r>
              <w:rPr>
                <w:sz w:val="22"/>
                <w:u w:val="single"/>
              </w:rPr>
              <w:t xml:space="preserve">        </w:t>
            </w:r>
            <w:r>
              <w:rPr>
                <w:sz w:val="22"/>
              </w:rPr>
              <w:t xml:space="preserve">  </w:t>
            </w:r>
          </w:p>
        </w:tc>
      </w:tr>
    </w:tbl>
    <w:p>
      <w:pPr>
        <w:ind w:firstLine="480"/>
        <w:jc w:val="left"/>
      </w:pPr>
      <w:r>
        <w:rPr>
          <w:color w:val="000000"/>
          <w:sz w:val="24"/>
        </w:rPr>
        <w:t>备注：</w:t>
      </w:r>
      <w:r>
        <w:rPr>
          <w:color w:val="000000"/>
          <w:sz w:val="24"/>
        </w:rPr>
        <w:t>1</w:t>
      </w:r>
      <w:r>
        <w:rPr>
          <w:color w:val="000000"/>
          <w:sz w:val="24"/>
        </w:rPr>
        <w:t>.</w:t>
      </w:r>
      <w:r>
        <w:rPr>
          <w:color w:val="000000"/>
          <w:sz w:val="24"/>
        </w:rPr>
        <w:t>货物配置及具体内容详见附件。</w:t>
      </w:r>
      <w:r>
        <w:rPr>
          <w:color w:val="000000"/>
          <w:sz w:val="24"/>
        </w:rPr>
        <w:t>2</w:t>
      </w:r>
      <w:r>
        <w:rPr>
          <w:color w:val="000000"/>
          <w:sz w:val="24"/>
        </w:rPr>
        <w:t>.</w:t>
      </w:r>
      <w:r>
        <w:rPr>
          <w:color w:val="000000"/>
          <w:sz w:val="24"/>
        </w:rPr>
        <w:t>上述费用为甲方应支付的全部费用，包括并不限于购买货物本身的费用、人工费、安装费、调试费、材料费、配件费、运输费、保险费、税费等，需另行付费的双方应书面确认。</w:t>
      </w:r>
    </w:p>
    <w:p>
      <w:pPr>
        <w:ind w:firstLine="482"/>
        <w:jc w:val="left"/>
      </w:pPr>
    </w:p>
    <w:p>
      <w:pPr>
        <w:ind w:firstLine="482"/>
        <w:jc w:val="left"/>
      </w:pPr>
      <w:r>
        <w:rPr>
          <w:b/>
          <w:color w:val="000000"/>
          <w:sz w:val="24"/>
        </w:rPr>
        <w:t>第二条</w:t>
      </w:r>
      <w:r>
        <w:rPr>
          <w:b/>
          <w:color w:val="000000"/>
          <w:sz w:val="24"/>
        </w:rPr>
        <w:t>甲方的权利和义务</w:t>
      </w:r>
    </w:p>
    <w:p>
      <w:pPr>
        <w:ind w:firstLine="480"/>
        <w:jc w:val="left"/>
      </w:pPr>
      <w:r>
        <w:rPr>
          <w:color w:val="000000"/>
          <w:sz w:val="24"/>
        </w:rPr>
        <w:t>1.甲方的权利</w:t>
      </w:r>
    </w:p>
    <w:p>
      <w:pPr>
        <w:ind w:firstLine="480"/>
        <w:jc w:val="left"/>
      </w:pPr>
      <w:r>
        <w:rPr>
          <w:color w:val="000000"/>
          <w:sz w:val="24"/>
        </w:rPr>
        <w:t>（</w:t>
      </w:r>
      <w:r>
        <w:rPr>
          <w:color w:val="000000"/>
          <w:sz w:val="24"/>
        </w:rPr>
        <w:t>1）要求乙方按质按量按期提供合同约定的货物及相关服务。</w:t>
      </w:r>
    </w:p>
    <w:p>
      <w:pPr>
        <w:ind w:firstLine="480"/>
        <w:jc w:val="left"/>
      </w:pPr>
      <w:r>
        <w:rPr>
          <w:color w:val="000000"/>
          <w:sz w:val="24"/>
        </w:rPr>
        <w:t>（</w:t>
      </w:r>
      <w:r>
        <w:rPr>
          <w:color w:val="000000"/>
          <w:sz w:val="24"/>
        </w:rPr>
        <w:t>2）对乙方提供的产品进行验收。</w:t>
      </w:r>
    </w:p>
    <w:p>
      <w:pPr>
        <w:ind w:firstLine="480"/>
        <w:jc w:val="left"/>
      </w:pPr>
      <w:r>
        <w:rPr>
          <w:color w:val="000000"/>
          <w:sz w:val="24"/>
        </w:rPr>
        <w:t>2.甲方的义务</w:t>
      </w:r>
    </w:p>
    <w:p>
      <w:pPr>
        <w:ind w:firstLine="480"/>
        <w:jc w:val="left"/>
      </w:pPr>
      <w:r>
        <w:rPr>
          <w:color w:val="000000"/>
          <w:sz w:val="24"/>
        </w:rPr>
        <w:t>（</w:t>
      </w:r>
      <w:r>
        <w:rPr>
          <w:color w:val="000000"/>
          <w:sz w:val="24"/>
        </w:rPr>
        <w:t>1）为乙方提供必要的工作合作。</w:t>
      </w:r>
    </w:p>
    <w:p>
      <w:pPr>
        <w:ind w:firstLine="480"/>
        <w:jc w:val="left"/>
      </w:pPr>
      <w:r>
        <w:rPr>
          <w:color w:val="000000"/>
          <w:sz w:val="24"/>
        </w:rPr>
        <w:t>（</w:t>
      </w:r>
      <w:r>
        <w:rPr>
          <w:color w:val="000000"/>
          <w:sz w:val="24"/>
        </w:rPr>
        <w:t>2）协调解决项目开展中出现的问题。</w:t>
      </w:r>
    </w:p>
    <w:p>
      <w:pPr>
        <w:ind w:firstLine="480"/>
        <w:jc w:val="left"/>
      </w:pPr>
      <w:r>
        <w:rPr>
          <w:color w:val="000000"/>
          <w:sz w:val="24"/>
        </w:rPr>
        <w:t>（</w:t>
      </w:r>
      <w:r>
        <w:rPr>
          <w:color w:val="000000"/>
          <w:sz w:val="24"/>
        </w:rPr>
        <w:t>3）按规定的方式进行付款。</w:t>
      </w:r>
    </w:p>
    <w:p>
      <w:pPr>
        <w:ind w:firstLine="482"/>
        <w:jc w:val="left"/>
      </w:pPr>
    </w:p>
    <w:p>
      <w:pPr>
        <w:ind w:firstLine="482"/>
        <w:jc w:val="left"/>
      </w:pPr>
      <w:r>
        <w:rPr>
          <w:b/>
          <w:color w:val="000000"/>
          <w:sz w:val="24"/>
        </w:rPr>
        <w:t>第三条</w:t>
      </w:r>
      <w:r>
        <w:rPr>
          <w:b/>
          <w:color w:val="000000"/>
          <w:sz w:val="24"/>
        </w:rPr>
        <w:t>乙方的权利和义务</w:t>
      </w:r>
    </w:p>
    <w:p>
      <w:pPr>
        <w:ind w:firstLine="480"/>
        <w:jc w:val="left"/>
      </w:pPr>
      <w:r>
        <w:rPr>
          <w:color w:val="000000"/>
          <w:sz w:val="24"/>
        </w:rPr>
        <w:t>1.乙方的权利</w:t>
      </w:r>
    </w:p>
    <w:p>
      <w:pPr>
        <w:ind w:firstLine="480"/>
        <w:jc w:val="left"/>
      </w:pPr>
      <w:r>
        <w:rPr>
          <w:color w:val="000000"/>
          <w:sz w:val="24"/>
        </w:rPr>
        <w:t>（</w:t>
      </w:r>
      <w:r>
        <w:rPr>
          <w:color w:val="000000"/>
          <w:sz w:val="24"/>
        </w:rPr>
        <w:t>1）要求甲方为本合同标的项目工作的开展提供必要的资料和便利。</w:t>
      </w:r>
    </w:p>
    <w:p>
      <w:pPr>
        <w:ind w:firstLine="480"/>
        <w:jc w:val="left"/>
      </w:pPr>
      <w:r>
        <w:rPr>
          <w:color w:val="000000"/>
          <w:sz w:val="24"/>
        </w:rPr>
        <w:t>（</w:t>
      </w:r>
      <w:r>
        <w:rPr>
          <w:color w:val="000000"/>
          <w:sz w:val="24"/>
        </w:rPr>
        <w:t>2）要求甲方按本合同约定及时支付合同款项。</w:t>
      </w:r>
    </w:p>
    <w:p>
      <w:pPr>
        <w:ind w:firstLine="480"/>
        <w:jc w:val="left"/>
      </w:pPr>
      <w:r>
        <w:rPr>
          <w:color w:val="000000"/>
          <w:sz w:val="24"/>
        </w:rPr>
        <w:t>2.乙方的义务</w:t>
      </w:r>
    </w:p>
    <w:p>
      <w:pPr>
        <w:ind w:firstLine="480"/>
        <w:jc w:val="left"/>
      </w:pPr>
      <w:r>
        <w:rPr>
          <w:color w:val="000000"/>
          <w:sz w:val="24"/>
        </w:rPr>
        <w:t>（</w:t>
      </w:r>
      <w:r>
        <w:rPr>
          <w:color w:val="000000"/>
          <w:sz w:val="24"/>
        </w:rPr>
        <w:t>1）向甲方提供满足合同要求的货物及相关服务，承担货物、运输、安装、调试、质保期免费质保等工作及一切费用。</w:t>
      </w:r>
    </w:p>
    <w:p>
      <w:pPr>
        <w:ind w:firstLine="480"/>
        <w:jc w:val="left"/>
      </w:pPr>
      <w:r>
        <w:rPr>
          <w:color w:val="000000"/>
          <w:sz w:val="24"/>
        </w:rPr>
        <w:t>（</w:t>
      </w:r>
      <w:r>
        <w:rPr>
          <w:color w:val="000000"/>
          <w:sz w:val="24"/>
        </w:rPr>
        <w:t>2）乙方应保证提供的货物是全新、未使用过的原装合格正品，并完全符合生产厂家或国家规定的质量、规格和性能的要求。</w:t>
      </w:r>
    </w:p>
    <w:p>
      <w:pPr>
        <w:ind w:firstLine="480"/>
        <w:jc w:val="left"/>
      </w:pPr>
      <w:r>
        <w:rPr>
          <w:color w:val="000000"/>
          <w:sz w:val="24"/>
        </w:rPr>
        <w:t>（</w:t>
      </w:r>
      <w:r>
        <w:rPr>
          <w:color w:val="000000"/>
          <w:sz w:val="24"/>
        </w:rPr>
        <w:t>3）不得将本合同委托的事项转委托第三方。</w:t>
      </w:r>
    </w:p>
    <w:p>
      <w:pPr>
        <w:ind w:firstLine="480"/>
        <w:jc w:val="left"/>
      </w:pPr>
      <w:r>
        <w:rPr>
          <w:color w:val="000000"/>
          <w:sz w:val="24"/>
        </w:rPr>
        <w:t>（</w:t>
      </w:r>
      <w:r>
        <w:rPr>
          <w:color w:val="000000"/>
          <w:sz w:val="24"/>
        </w:rPr>
        <w:t>4）乙方保证合同项下提供的货物不侵犯任何第三方的知识产权。否则，乙方须承担对第三方的侵权责任并承担因此而发生的所有费用。</w:t>
      </w:r>
    </w:p>
    <w:p/>
    <w:p>
      <w:pPr>
        <w:ind w:firstLine="482"/>
        <w:jc w:val="left"/>
      </w:pPr>
      <w:r>
        <w:rPr>
          <w:b/>
          <w:color w:val="000000"/>
          <w:sz w:val="24"/>
        </w:rPr>
        <w:t>四、交货</w:t>
      </w:r>
    </w:p>
    <w:p>
      <w:pPr>
        <w:ind w:firstLine="480"/>
        <w:jc w:val="left"/>
      </w:pPr>
      <w:r>
        <w:rPr>
          <w:color w:val="000000"/>
          <w:sz w:val="24"/>
        </w:rPr>
        <w:t>1.交货时间：合同生效之日起个</w:t>
      </w:r>
      <w:r>
        <w:rPr>
          <w:sz w:val="22"/>
          <w:u w:val="single"/>
        </w:rPr>
        <w:t xml:space="preserve">             </w:t>
      </w:r>
      <w:r>
        <w:rPr>
          <w:color w:val="000000"/>
          <w:sz w:val="24"/>
        </w:rPr>
        <w:t>工作日内。</w:t>
      </w:r>
      <w:r>
        <w:rPr>
          <w:color w:val="000000"/>
          <w:sz w:val="24"/>
        </w:rPr>
        <w:t xml:space="preserve"> </w:t>
      </w:r>
    </w:p>
    <w:p>
      <w:pPr>
        <w:ind w:firstLine="480"/>
        <w:jc w:val="left"/>
      </w:pPr>
      <w:r>
        <w:rPr>
          <w:color w:val="000000"/>
          <w:sz w:val="24"/>
        </w:rPr>
        <w:t>2.交货地点：甲方指定地点【</w:t>
      </w:r>
      <w:r>
        <w:rPr>
          <w:sz w:val="22"/>
        </w:rPr>
        <w:t xml:space="preserve">     </w:t>
      </w:r>
      <w:r>
        <w:rPr>
          <w:color w:val="000000"/>
          <w:sz w:val="24"/>
        </w:rPr>
        <w:t>】。乙方将货物送到交货地点后由甲方验收小组进行验收，验收合格的甲方签名确认，签名确认后交付完成，货物灭失损毁的风险转移至甲方。</w:t>
      </w:r>
    </w:p>
    <w:p/>
    <w:p>
      <w:pPr>
        <w:ind w:firstLine="482"/>
        <w:jc w:val="left"/>
      </w:pPr>
      <w:r>
        <w:rPr>
          <w:b/>
          <w:color w:val="000000"/>
          <w:sz w:val="24"/>
        </w:rPr>
        <w:t>第五条</w:t>
      </w:r>
      <w:r>
        <w:rPr>
          <w:b/>
          <w:color w:val="000000"/>
          <w:sz w:val="24"/>
        </w:rPr>
        <w:t>验收</w:t>
      </w:r>
    </w:p>
    <w:p>
      <w:pPr>
        <w:ind w:firstLine="480"/>
        <w:jc w:val="left"/>
      </w:pPr>
      <w:r>
        <w:rPr>
          <w:color w:val="000000"/>
          <w:sz w:val="24"/>
        </w:rPr>
        <w:t>1.所有货物生产前及生产期间，甲方有权就乙方用于生产甲方所购产品的备料单进行抽检，对进货材料随机抽样送产品质量检验所检验，取得相应的检验报告。如检验结果与乙方提供的检测报告不符，检验费由乙方支付，反之则由甲方支付。</w:t>
      </w:r>
    </w:p>
    <w:p>
      <w:pPr>
        <w:ind w:firstLine="480"/>
        <w:jc w:val="left"/>
      </w:pPr>
      <w:r>
        <w:rPr>
          <w:color w:val="000000"/>
          <w:sz w:val="24"/>
        </w:rPr>
        <w:t>2.验收时，乙方应提供送货单、装箱单证（包括但不限于质量合格证书、保修证书、产品使用说明书及其他应随产品一同装箱的技术资料等）。</w:t>
      </w:r>
    </w:p>
    <w:p>
      <w:pPr>
        <w:ind w:firstLine="480"/>
        <w:jc w:val="left"/>
      </w:pPr>
      <w:r>
        <w:rPr>
          <w:color w:val="000000"/>
          <w:sz w:val="24"/>
        </w:rPr>
        <w:t>3.在产品到货或安装完成后，乙方应主动配合甲方的验收小组进行验收，验收按国家有关的规定、规范进行。</w:t>
      </w:r>
    </w:p>
    <w:p>
      <w:pPr>
        <w:ind w:firstLine="480"/>
        <w:jc w:val="left"/>
      </w:pPr>
      <w:r>
        <w:rPr>
          <w:color w:val="000000"/>
          <w:sz w:val="24"/>
        </w:rPr>
        <w:t>4.</w:t>
      </w:r>
      <w:r>
        <w:rPr>
          <w:color w:val="000000"/>
          <w:sz w:val="24"/>
        </w:rPr>
        <w:t>甲方对货物的数量、品牌、规格、型号等进行验收，若甲方提出异议的，乙方应立即调换补充。</w:t>
      </w:r>
    </w:p>
    <w:p>
      <w:pPr>
        <w:ind w:firstLine="480"/>
        <w:jc w:val="left"/>
      </w:pPr>
      <w:r>
        <w:rPr>
          <w:color w:val="000000"/>
          <w:sz w:val="24"/>
        </w:rPr>
        <w:t>5.</w:t>
      </w:r>
      <w:r>
        <w:rPr>
          <w:color w:val="000000"/>
          <w:sz w:val="24"/>
        </w:rPr>
        <w:t>若验收过程中发现质量问题且双方无异议的，乙方立即换货处理；若双方对质量瑕疵意见不同的，可委托有资质的第三方进行检测，检测合格的检测费由甲方承担，检测不合格的检测费由乙方承担。</w:t>
      </w:r>
    </w:p>
    <w:p>
      <w:pPr>
        <w:ind w:firstLine="480"/>
        <w:jc w:val="left"/>
      </w:pPr>
      <w:r>
        <w:rPr>
          <w:color w:val="000000"/>
          <w:sz w:val="24"/>
        </w:rPr>
        <w:t>6.</w:t>
      </w:r>
      <w:r>
        <w:rPr>
          <w:color w:val="000000"/>
          <w:sz w:val="24"/>
        </w:rPr>
        <w:t>验收合格后，甲方在送货单或确认单上签名确认。对货物隐藏的质量瑕疵与责任，不因甲方验收确认而免除，乙方按照国家法律法规的规定以及本合同售后服务的约定承担相应责任。</w:t>
      </w:r>
    </w:p>
    <w:p>
      <w:pPr>
        <w:ind w:firstLine="482"/>
        <w:jc w:val="left"/>
      </w:pPr>
    </w:p>
    <w:p>
      <w:pPr>
        <w:ind w:firstLine="482"/>
        <w:jc w:val="left"/>
      </w:pPr>
      <w:r>
        <w:rPr>
          <w:b/>
          <w:color w:val="000000"/>
          <w:sz w:val="24"/>
        </w:rPr>
        <w:t>第六条</w:t>
      </w:r>
      <w:r>
        <w:rPr>
          <w:b/>
          <w:color w:val="000000"/>
          <w:sz w:val="24"/>
        </w:rPr>
        <w:t>售后服务</w:t>
      </w:r>
    </w:p>
    <w:p>
      <w:pPr>
        <w:ind w:firstLine="480"/>
        <w:jc w:val="left"/>
      </w:pPr>
      <w:r>
        <w:rPr>
          <w:color w:val="000000"/>
          <w:sz w:val="24"/>
        </w:rPr>
        <w:t>1.免费质保期：乙方须提供不少于</w:t>
      </w:r>
      <w:r>
        <w:rPr>
          <w:sz w:val="22"/>
          <w:u w:val="single"/>
        </w:rPr>
        <w:t xml:space="preserve">      </w:t>
      </w:r>
      <w:r>
        <w:rPr>
          <w:color w:val="000000"/>
          <w:sz w:val="24"/>
        </w:rPr>
        <w:t>年免费质保服务（质保期的计算自所有设备安装调试到位并通过检测验收合格后开始。免费质保期内实行</w:t>
      </w:r>
      <w:r>
        <w:rPr>
          <w:color w:val="000000"/>
          <w:sz w:val="24"/>
        </w:rPr>
        <w:t>“三包”，时间自货物最终验收合格并交付使用之日起计算）。</w:t>
      </w:r>
    </w:p>
    <w:p>
      <w:pPr>
        <w:ind w:firstLine="480"/>
        <w:jc w:val="left"/>
      </w:pPr>
      <w:r>
        <w:rPr>
          <w:color w:val="000000"/>
          <w:sz w:val="24"/>
        </w:rPr>
        <w:t>2.服务响应时间：接到维修通知后</w:t>
      </w:r>
      <w:r>
        <w:rPr>
          <w:sz w:val="22"/>
          <w:u w:val="single"/>
        </w:rPr>
        <w:t xml:space="preserve">     </w:t>
      </w:r>
      <w:r>
        <w:rPr>
          <w:color w:val="000000"/>
          <w:sz w:val="24"/>
        </w:rPr>
        <w:t>小时内响应，</w:t>
      </w:r>
      <w:r>
        <w:rPr>
          <w:sz w:val="22"/>
          <w:u w:val="single"/>
        </w:rPr>
        <w:t xml:space="preserve">    </w:t>
      </w:r>
      <w:r>
        <w:rPr>
          <w:color w:val="000000"/>
          <w:sz w:val="24"/>
        </w:rPr>
        <w:t>小时内到达现场。</w:t>
      </w:r>
    </w:p>
    <w:p>
      <w:pPr>
        <w:ind w:firstLine="480"/>
        <w:jc w:val="left"/>
      </w:pPr>
      <w:r>
        <w:rPr>
          <w:color w:val="000000"/>
          <w:sz w:val="24"/>
        </w:rPr>
        <w:t>3.质保期内如出现严重质量问题，</w:t>
      </w:r>
      <w:r>
        <w:rPr>
          <w:sz w:val="22"/>
          <w:u w:val="single"/>
        </w:rPr>
        <w:t xml:space="preserve">     </w:t>
      </w:r>
      <w:r>
        <w:rPr>
          <w:color w:val="000000"/>
          <w:sz w:val="24"/>
        </w:rPr>
        <w:t>小时内不能完成维修，则乙方最迟应在</w:t>
      </w:r>
      <w:r>
        <w:rPr>
          <w:sz w:val="22"/>
          <w:u w:val="single"/>
        </w:rPr>
        <w:t xml:space="preserve">    </w:t>
      </w:r>
      <w:r>
        <w:rPr>
          <w:color w:val="000000"/>
          <w:sz w:val="24"/>
        </w:rPr>
        <w:t>日内免费向甲方提供同样规格要求的替代品。</w:t>
      </w:r>
    </w:p>
    <w:p>
      <w:pPr>
        <w:ind w:firstLine="480"/>
        <w:jc w:val="left"/>
      </w:pPr>
      <w:r>
        <w:rPr>
          <w:color w:val="000000"/>
          <w:sz w:val="24"/>
        </w:rPr>
        <w:t>4.在质保期内，同一缺陷经三次维修或（和）调换后仍无法达到质量标准的，则认定该类产品均不合格，甲方有权将该类产品无条件退货。由此造成的损失，全部由乙方承担。</w:t>
      </w:r>
    </w:p>
    <w:p>
      <w:pPr>
        <w:ind w:firstLine="480"/>
        <w:jc w:val="left"/>
      </w:pPr>
      <w:r>
        <w:rPr>
          <w:color w:val="000000"/>
          <w:sz w:val="24"/>
        </w:rPr>
        <w:t>5.免费质保期内，非甲方的人为原因而出现的产品质量及安装问题，由乙方负责包修、包换或包退，并承担因此而产生的一切费用。</w:t>
      </w:r>
    </w:p>
    <w:p>
      <w:pPr>
        <w:ind w:firstLine="480"/>
        <w:jc w:val="left"/>
      </w:pPr>
      <w:r>
        <w:rPr>
          <w:color w:val="000000"/>
          <w:sz w:val="24"/>
        </w:rPr>
        <w:t>6.所有货物保修服务方式均为乙方上门保修，即由乙方派员到使用现场维修，由此产生的一切费用均由乙方负责。</w:t>
      </w:r>
    </w:p>
    <w:p>
      <w:pPr>
        <w:ind w:firstLine="482"/>
        <w:jc w:val="left"/>
      </w:pPr>
      <w:r>
        <w:rPr>
          <w:b/>
          <w:color w:val="000000"/>
          <w:sz w:val="24"/>
        </w:rPr>
        <w:t>第七条</w:t>
      </w:r>
      <w:r>
        <w:rPr>
          <w:b/>
          <w:color w:val="000000"/>
          <w:sz w:val="24"/>
        </w:rPr>
        <w:t>付款方式及履约保证金</w:t>
      </w:r>
    </w:p>
    <w:p>
      <w:pPr>
        <w:ind w:firstLine="480"/>
        <w:jc w:val="left"/>
      </w:pPr>
      <w:r>
        <w:rPr>
          <w:sz w:val="24"/>
        </w:rPr>
        <w:t>1.</w:t>
      </w:r>
      <w:r>
        <w:rPr>
          <w:sz w:val="24"/>
        </w:rPr>
        <w:t>合同总额支付方式为一次性付款。</w:t>
      </w:r>
    </w:p>
    <w:p>
      <w:pPr>
        <w:ind w:firstLine="480"/>
        <w:jc w:val="left"/>
      </w:pPr>
      <w:r>
        <w:rPr>
          <w:sz w:val="24"/>
        </w:rPr>
        <w:t>2.合同签订后</w:t>
      </w:r>
      <w:r>
        <w:rPr>
          <w:sz w:val="22"/>
          <w:u w:val="single"/>
        </w:rPr>
        <w:t xml:space="preserve">    </w:t>
      </w:r>
      <w:r>
        <w:rPr>
          <w:sz w:val="24"/>
        </w:rPr>
        <w:t>日内，乙方向甲方交付合同总额的</w:t>
      </w:r>
      <w:r>
        <w:rPr>
          <w:sz w:val="22"/>
          <w:u w:val="single"/>
        </w:rPr>
        <w:t xml:space="preserve">  </w:t>
      </w:r>
      <w:r>
        <w:rPr>
          <w:sz w:val="24"/>
        </w:rPr>
        <w:t>%（即￥</w:t>
      </w:r>
      <w:r>
        <w:rPr>
          <w:sz w:val="22"/>
          <w:u w:val="single"/>
        </w:rPr>
        <w:t xml:space="preserve">     </w:t>
      </w:r>
      <w:r>
        <w:rPr>
          <w:sz w:val="24"/>
        </w:rPr>
        <w:t>）作为</w:t>
      </w:r>
      <w:r>
        <w:rPr>
          <w:sz w:val="24"/>
        </w:rPr>
        <w:t>履约保证金</w:t>
      </w:r>
      <w:r>
        <w:rPr>
          <w:sz w:val="24"/>
        </w:rPr>
        <w:t>或提交银行保函。合同质保期满，经甲方考核合格后，</w:t>
      </w:r>
      <w:r>
        <w:rPr>
          <w:sz w:val="24"/>
        </w:rPr>
        <w:t>履约保证金</w:t>
      </w:r>
      <w:r>
        <w:rPr>
          <w:sz w:val="24"/>
        </w:rPr>
        <w:t>不计利息一次性返还。若乙方未按时交付</w:t>
      </w:r>
      <w:r>
        <w:rPr>
          <w:sz w:val="24"/>
        </w:rPr>
        <w:t>履约保证金</w:t>
      </w:r>
      <w:r>
        <w:rPr>
          <w:sz w:val="24"/>
        </w:rPr>
        <w:t>或提交银行保函，即视为乙方违约，甲方有权终止合同。</w:t>
      </w:r>
      <w:r>
        <w:br/>
      </w:r>
      <w:r>
        <w:rPr>
          <w:sz w:val="22"/>
        </w:rPr>
        <w:t xml:space="preserve">    </w:t>
      </w:r>
      <w:r>
        <w:rPr>
          <w:sz w:val="24"/>
        </w:rPr>
        <w:t>3.合同约定的货物送达或服务完成后，经甲方确认验收合格，乙方即出具有效发票给甲方，甲方在收到发票之日起</w:t>
      </w:r>
      <w:r>
        <w:rPr>
          <w:sz w:val="22"/>
          <w:u w:val="single"/>
        </w:rPr>
        <w:t xml:space="preserve">    </w:t>
      </w:r>
      <w:r>
        <w:rPr>
          <w:sz w:val="24"/>
        </w:rPr>
        <w:t>日内，支付合同总额</w:t>
      </w:r>
      <w:r>
        <w:rPr>
          <w:sz w:val="24"/>
        </w:rPr>
        <w:t>100%的合同费用，即￥</w:t>
      </w:r>
      <w:r>
        <w:rPr>
          <w:sz w:val="22"/>
          <w:u w:val="single"/>
        </w:rPr>
        <w:t xml:space="preserve">      </w:t>
      </w:r>
      <w:r>
        <w:rPr>
          <w:sz w:val="24"/>
        </w:rPr>
        <w:t>。</w:t>
      </w:r>
      <w:r>
        <w:br/>
      </w:r>
      <w:r>
        <w:rPr>
          <w:sz w:val="22"/>
        </w:rPr>
        <w:t xml:space="preserve">    </w:t>
      </w:r>
      <w:r>
        <w:rPr>
          <w:sz w:val="24"/>
        </w:rPr>
        <w:t>4. 乙方银行账号信息</w:t>
      </w:r>
      <w:r>
        <w:br/>
      </w:r>
      <w:r>
        <w:rPr>
          <w:sz w:val="22"/>
        </w:rPr>
        <w:t xml:space="preserve">    </w:t>
      </w:r>
      <w:r>
        <w:rPr>
          <w:sz w:val="24"/>
        </w:rPr>
        <w:t>开户名称：</w:t>
      </w:r>
      <w:r>
        <w:rPr>
          <w:sz w:val="22"/>
          <w:u w:val="single"/>
        </w:rPr>
        <w:t xml:space="preserve">           </w:t>
      </w:r>
    </w:p>
    <w:p>
      <w:pPr>
        <w:ind w:firstLine="480"/>
        <w:jc w:val="left"/>
      </w:pPr>
      <w:r>
        <w:rPr>
          <w:sz w:val="24"/>
        </w:rPr>
        <w:t>银行账户：</w:t>
      </w:r>
      <w:r>
        <w:rPr>
          <w:sz w:val="22"/>
          <w:u w:val="single"/>
        </w:rPr>
        <w:t xml:space="preserve">             </w:t>
      </w:r>
    </w:p>
    <w:p>
      <w:pPr>
        <w:ind w:firstLine="480"/>
        <w:jc w:val="left"/>
      </w:pPr>
      <w:r>
        <w:rPr>
          <w:sz w:val="24"/>
        </w:rPr>
        <w:t>开户银行：</w:t>
      </w:r>
      <w:r>
        <w:rPr>
          <w:sz w:val="22"/>
        </w:rPr>
        <w:t xml:space="preserve">        </w:t>
      </w:r>
    </w:p>
    <w:p>
      <w:pPr>
        <w:numPr>
          <w:ilvl w:val="0"/>
          <w:numId w:val="1"/>
        </w:numPr>
        <w:jc w:val="left"/>
      </w:pPr>
      <w:r>
        <w:rPr>
          <w:b/>
          <w:color w:val="000000"/>
          <w:sz w:val="24"/>
        </w:rPr>
        <w:t>违约责任</w:t>
      </w:r>
    </w:p>
    <w:p>
      <w:pPr>
        <w:ind w:firstLine="480"/>
        <w:jc w:val="left"/>
      </w:pPr>
      <w:r>
        <w:rPr>
          <w:color w:val="000000"/>
          <w:sz w:val="24"/>
        </w:rPr>
        <w:t>1.如乙方延期交货或甲方延期付款，每逾期一日，违约方应按合同金额万分之</w:t>
      </w:r>
      <w:r>
        <w:rPr>
          <w:sz w:val="22"/>
          <w:u w:val="single"/>
        </w:rPr>
        <w:t xml:space="preserve">    </w:t>
      </w:r>
      <w:r>
        <w:rPr>
          <w:color w:val="000000"/>
          <w:sz w:val="24"/>
        </w:rPr>
        <w:t>向对方支付违约金，但该违约金累计不超过合同金额的</w:t>
      </w:r>
      <w:r>
        <w:rPr>
          <w:sz w:val="22"/>
          <w:u w:val="single"/>
        </w:rPr>
        <w:t xml:space="preserve">      </w:t>
      </w:r>
      <w:r>
        <w:rPr>
          <w:color w:val="000000"/>
          <w:sz w:val="24"/>
        </w:rPr>
        <w:t>%，逾期超过</w:t>
      </w:r>
      <w:r>
        <w:rPr>
          <w:sz w:val="22"/>
          <w:u w:val="single"/>
        </w:rPr>
        <w:t xml:space="preserve"> </w:t>
      </w:r>
      <w:r>
        <w:rPr>
          <w:sz w:val="22"/>
          <w:u w:val="single"/>
        </w:rPr>
        <w:t xml:space="preserve">   </w:t>
      </w:r>
      <w:r>
        <w:rPr>
          <w:color w:val="000000"/>
          <w:sz w:val="24"/>
        </w:rPr>
        <w:t>日，守约方有权解除合同，并要求违约方赔偿由此造成的损失。</w:t>
      </w:r>
    </w:p>
    <w:p>
      <w:pPr>
        <w:ind w:firstLine="480"/>
        <w:jc w:val="left"/>
      </w:pPr>
      <w:r>
        <w:rPr>
          <w:color w:val="000000"/>
          <w:sz w:val="24"/>
        </w:rPr>
        <w:t>2.如任何一方无故解除或终止合同的，应向对方支付合同金额</w:t>
      </w:r>
      <w:r>
        <w:rPr>
          <w:sz w:val="22"/>
          <w:u w:val="single"/>
        </w:rPr>
        <w:t xml:space="preserve">   </w:t>
      </w:r>
      <w:r>
        <w:rPr>
          <w:color w:val="000000"/>
          <w:sz w:val="24"/>
        </w:rPr>
        <w:t>%的违约金。</w:t>
      </w:r>
    </w:p>
    <w:p>
      <w:pPr>
        <w:ind w:firstLine="480"/>
      </w:pPr>
      <w:r>
        <w:rPr>
          <w:color w:val="000000"/>
          <w:sz w:val="24"/>
        </w:rPr>
        <w:t>3.</w:t>
      </w:r>
      <w:r>
        <w:rPr>
          <w:color w:val="000000"/>
          <w:sz w:val="24"/>
        </w:rPr>
        <w:t>守约方主张权益支出的合理费用由违约方承担，包括并不限于诉讼费、保全费、公证费、评估费、鉴定费、执行费、律师费、差旅费等。</w:t>
      </w:r>
    </w:p>
    <w:p>
      <w:pPr>
        <w:ind w:firstLine="482"/>
        <w:jc w:val="left"/>
      </w:pPr>
    </w:p>
    <w:p>
      <w:pPr>
        <w:ind w:firstLine="482"/>
        <w:jc w:val="left"/>
      </w:pPr>
      <w:r>
        <w:rPr>
          <w:b/>
          <w:color w:val="000000"/>
          <w:sz w:val="24"/>
        </w:rPr>
        <w:t>第九条</w:t>
      </w:r>
      <w:r>
        <w:rPr>
          <w:b/>
          <w:color w:val="000000"/>
          <w:sz w:val="24"/>
        </w:rPr>
        <w:t>争议处理</w:t>
      </w:r>
    </w:p>
    <w:p>
      <w:pPr>
        <w:ind w:firstLine="436"/>
      </w:pPr>
      <w:r>
        <w:rPr>
          <w:color w:val="000000"/>
          <w:sz w:val="24"/>
        </w:rPr>
        <w:t>因本合同引起的争议，甲乙双方应首先通过友好协商解决。如协商不能解决争议的，</w:t>
      </w:r>
      <w:r>
        <w:rPr>
          <w:sz w:val="24"/>
        </w:rPr>
        <w:t>则向甲方所在地有管辖权的人民法院提起诉讼。审理期间，双方应继续执行合同其余部分。</w:t>
      </w:r>
    </w:p>
    <w:p>
      <w:pPr>
        <w:ind w:firstLine="482"/>
        <w:jc w:val="left"/>
      </w:pPr>
    </w:p>
    <w:p>
      <w:pPr>
        <w:ind w:firstLine="380"/>
      </w:pPr>
      <w:r>
        <w:rPr>
          <w:b/>
          <w:color w:val="000000"/>
          <w:sz w:val="24"/>
        </w:rPr>
        <w:t>第十条</w:t>
      </w:r>
      <w:r>
        <w:rPr>
          <w:b/>
          <w:color w:val="000000"/>
          <w:sz w:val="24"/>
        </w:rPr>
        <w:t>送达</w:t>
      </w:r>
    </w:p>
    <w:p>
      <w:pPr>
        <w:ind w:firstLine="480"/>
        <w:jc w:val="left"/>
      </w:pPr>
      <w:r>
        <w:rPr>
          <w:color w:val="000000"/>
          <w:sz w:val="24"/>
        </w:rPr>
        <w:t>1</w:t>
      </w:r>
      <w:r>
        <w:rPr>
          <w:color w:val="000000"/>
          <w:sz w:val="24"/>
        </w:rPr>
        <w:t>.</w:t>
      </w:r>
      <w:r>
        <w:rPr>
          <w:color w:val="000000"/>
          <w:sz w:val="24"/>
        </w:rPr>
        <w:t>双方在本合同履行过程中相互发出或者提供的所有通知、文件、文书、资料等，均以本合同末尾签名盖章部分列明的地址送达。一方如果迁址或者变更电话，应当在变更后</w:t>
      </w:r>
      <w:r>
        <w:rPr>
          <w:color w:val="000000"/>
          <w:sz w:val="24"/>
        </w:rPr>
        <w:t>3日内书面通知对方，未履行通知义务的，另一方按原地址邮寄相关材料即视为已履行送达义务。当面交付上述材料的，在交付之时视为送达；以邮寄方式交付的，寄出或者投邮后即视为送达；以传真方式或电子邮件方式交付的，传真件或电子邮件发出时即视为送达。</w:t>
      </w:r>
    </w:p>
    <w:p>
      <w:pPr>
        <w:ind w:firstLine="480"/>
        <w:jc w:val="left"/>
      </w:pPr>
      <w:r>
        <w:rPr>
          <w:color w:val="000000"/>
          <w:sz w:val="24"/>
        </w:rPr>
        <w:t>2</w:t>
      </w:r>
      <w:r>
        <w:rPr>
          <w:color w:val="000000"/>
          <w:sz w:val="24"/>
        </w:rPr>
        <w:t>.</w:t>
      </w:r>
      <w:r>
        <w:rPr>
          <w:color w:val="000000"/>
          <w:sz w:val="24"/>
        </w:rPr>
        <w:t>双方共同确认上述送达方式适用于各个司法阶段，包括但不限于一审、二审、再审、执行以及督促程序。</w:t>
      </w:r>
    </w:p>
    <w:p>
      <w:pPr>
        <w:ind w:firstLine="380"/>
      </w:pPr>
    </w:p>
    <w:p>
      <w:pPr>
        <w:ind w:firstLine="482"/>
        <w:jc w:val="left"/>
      </w:pPr>
      <w:r>
        <w:rPr>
          <w:b/>
          <w:color w:val="000000"/>
          <w:sz w:val="24"/>
        </w:rPr>
        <w:t xml:space="preserve"> </w:t>
      </w:r>
      <w:r>
        <w:rPr>
          <w:b/>
          <w:color w:val="000000"/>
          <w:sz w:val="24"/>
        </w:rPr>
        <w:t>第十一条</w:t>
      </w:r>
      <w:r>
        <w:rPr>
          <w:b/>
          <w:color w:val="000000"/>
          <w:sz w:val="24"/>
        </w:rPr>
        <w:t>合同生效</w:t>
      </w:r>
    </w:p>
    <w:p>
      <w:pPr>
        <w:ind w:firstLine="480"/>
        <w:jc w:val="left"/>
      </w:pPr>
      <w:r>
        <w:rPr>
          <w:color w:val="000000"/>
          <w:sz w:val="24"/>
        </w:rPr>
        <w:t>1.</w:t>
      </w:r>
      <w:r>
        <w:rPr>
          <w:sz w:val="24"/>
        </w:rPr>
        <w:t>详细价格、技术说明</w:t>
      </w:r>
      <w:r>
        <w:rPr>
          <w:sz w:val="24"/>
        </w:rPr>
        <w:t>及其他</w:t>
      </w:r>
      <w:r>
        <w:rPr>
          <w:sz w:val="24"/>
        </w:rPr>
        <w:t>有关合同设备的特定信息由合同附件说明。所有附件及本项目的招投标文件、会议纪要、协议等均为本合同不可分割之一部分。</w:t>
      </w:r>
    </w:p>
    <w:p>
      <w:pPr>
        <w:ind w:firstLine="480"/>
        <w:jc w:val="left"/>
      </w:pPr>
      <w:r>
        <w:rPr>
          <w:color w:val="000000"/>
          <w:sz w:val="24"/>
        </w:rPr>
        <w:t>2.</w:t>
      </w:r>
      <w:r>
        <w:rPr>
          <w:sz w:val="24"/>
        </w:rPr>
        <w:t>合同正本一式</w:t>
      </w:r>
      <w:r>
        <w:rPr>
          <w:sz w:val="22"/>
          <w:u w:val="single"/>
        </w:rPr>
        <w:t xml:space="preserve">   </w:t>
      </w:r>
      <w:r>
        <w:rPr>
          <w:sz w:val="24"/>
        </w:rPr>
        <w:t>份，甲方</w:t>
      </w:r>
      <w:r>
        <w:rPr>
          <w:sz w:val="22"/>
          <w:u w:val="single"/>
        </w:rPr>
        <w:t xml:space="preserve">   </w:t>
      </w:r>
      <w:r>
        <w:rPr>
          <w:sz w:val="24"/>
        </w:rPr>
        <w:t>份，乙方</w:t>
      </w:r>
      <w:r>
        <w:rPr>
          <w:sz w:val="22"/>
          <w:u w:val="single"/>
        </w:rPr>
        <w:t xml:space="preserve">  </w:t>
      </w:r>
      <w:r>
        <w:rPr>
          <w:sz w:val="24"/>
        </w:rPr>
        <w:t>份，</w:t>
      </w:r>
      <w:r>
        <w:rPr>
          <w:sz w:val="24"/>
        </w:rPr>
        <w:t>招标代理机构</w:t>
      </w:r>
      <w:r>
        <w:rPr>
          <w:sz w:val="22"/>
          <w:u w:val="single"/>
        </w:rPr>
        <w:t xml:space="preserve"> 壹 </w:t>
      </w:r>
      <w:r>
        <w:rPr>
          <w:sz w:val="24"/>
        </w:rPr>
        <w:t>份</w:t>
      </w:r>
      <w:r>
        <w:rPr>
          <w:sz w:val="24"/>
        </w:rPr>
        <w:t>，</w:t>
      </w:r>
      <w:r>
        <w:rPr>
          <w:sz w:val="24"/>
        </w:rPr>
        <w:t>具备同等法律效力。</w:t>
      </w:r>
      <w:r>
        <w:rPr>
          <w:sz w:val="22"/>
        </w:rPr>
        <w:t xml:space="preserve"> </w:t>
      </w:r>
    </w:p>
    <w:p>
      <w:pPr>
        <w:ind w:firstLine="480"/>
        <w:jc w:val="left"/>
      </w:pPr>
      <w:r>
        <w:rPr>
          <w:color w:val="000000"/>
          <w:sz w:val="24"/>
        </w:rPr>
        <w:t>3.本合同由甲乙双方签字盖章后生效，至双方合同义务履行完毕合同自行终止。合同履行期内甲乙双方均不得随意变更或解除合同，若有未尽事宜需经双方共同协商作出补充协议，补充协议与本合同有同等法律效力。</w:t>
      </w:r>
    </w:p>
    <w:p>
      <w:pPr>
        <w:ind w:firstLine="482"/>
        <w:jc w:val="left"/>
      </w:pPr>
    </w:p>
    <w:p>
      <w:pPr>
        <w:ind w:firstLine="482"/>
      </w:pPr>
      <w:r>
        <w:rPr>
          <w:b/>
          <w:color w:val="000000"/>
          <w:sz w:val="24"/>
        </w:rPr>
        <w:t>第十</w:t>
      </w:r>
      <w:r>
        <w:rPr>
          <w:b/>
          <w:color w:val="000000"/>
          <w:sz w:val="24"/>
        </w:rPr>
        <w:t>二</w:t>
      </w:r>
      <w:r>
        <w:rPr>
          <w:b/>
          <w:color w:val="000000"/>
          <w:sz w:val="24"/>
        </w:rPr>
        <w:t>条</w:t>
      </w:r>
      <w:r>
        <w:rPr>
          <w:b/>
          <w:sz w:val="22"/>
        </w:rPr>
        <w:t xml:space="preserve"> </w:t>
      </w:r>
      <w:r>
        <w:rPr>
          <w:b/>
          <w:color w:val="000000"/>
          <w:sz w:val="24"/>
        </w:rPr>
        <w:t>双方需要另外补充说明的其他事项</w:t>
      </w:r>
    </w:p>
    <w:p>
      <w:r>
        <w:rPr>
          <w:sz w:val="22"/>
        </w:rPr>
        <w:t xml:space="preserve"> </w:t>
      </w:r>
      <w:r>
        <w:rPr>
          <w:sz w:val="22"/>
          <w:u w:val="single"/>
        </w:rPr>
        <w:t xml:space="preserve">                                        </w:t>
      </w:r>
    </w:p>
    <w:p>
      <w:pPr>
        <w:ind w:firstLine="240"/>
        <w:jc w:val="left"/>
      </w:pPr>
      <w:r>
        <w:rPr>
          <w:sz w:val="24"/>
        </w:rPr>
        <w:t>（以下无正文）</w:t>
      </w:r>
    </w:p>
    <w:p/>
    <w:p/>
    <w:p>
      <w:r>
        <w:rPr>
          <w:sz w:val="24"/>
        </w:rPr>
        <w:t>（此页以下为合同签署页）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vAlign w:val="top"/>
          </w:tcPr>
          <w:p>
            <w:pPr>
              <w:ind w:firstLine="200"/>
            </w:pPr>
            <w:r>
              <w:rPr>
                <w:sz w:val="24"/>
              </w:rPr>
              <w:t>甲方</w:t>
            </w:r>
            <w:r>
              <w:rPr>
                <w:sz w:val="24"/>
              </w:rPr>
              <w:t>：中山市人民医院</w:t>
            </w:r>
          </w:p>
          <w:p>
            <w:pPr>
              <w:ind w:firstLine="200"/>
            </w:pPr>
          </w:p>
        </w:tc>
        <w:tc>
          <w:tcPr>
            <w:tcW w:type="dxa" w:w="4190"/>
            <w:tcBorders>
              <w:top w:val="none" w:color="000000" w:sz="4"/>
              <w:left w:val="none" w:color="000000" w:sz="4"/>
              <w:bottom w:val="none" w:color="000000" w:sz="4"/>
              <w:right w:val="none" w:color="000000" w:sz="4"/>
            </w:tcBorders>
            <w:vAlign w:val="top"/>
          </w:tcPr>
          <w:p>
            <w:pPr>
              <w:ind w:firstLine="200"/>
            </w:pPr>
            <w:r>
              <w:rPr>
                <w:sz w:val="24"/>
              </w:rPr>
              <w:t>乙方</w:t>
            </w:r>
            <w:r>
              <w:rPr>
                <w:sz w:val="24"/>
              </w:rPr>
              <w:t>：</w:t>
            </w:r>
          </w:p>
          <w:p>
            <w:pPr>
              <w:ind w:firstLine="200"/>
            </w:pP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法定代表人或授权委托人</w:t>
            </w:r>
            <w:r>
              <w:rPr>
                <w:sz w:val="24"/>
              </w:rPr>
              <w:t>：</w:t>
            </w:r>
          </w:p>
          <w:p>
            <w:pPr>
              <w:ind w:firstLine="200"/>
            </w:pPr>
          </w:p>
        </w:tc>
        <w:tc>
          <w:tcPr>
            <w:tcW w:type="dxa" w:w="4190"/>
            <w:tcBorders>
              <w:top w:val="none" w:color="000000" w:sz="4"/>
              <w:left w:val="none" w:color="000000" w:sz="4"/>
              <w:bottom w:val="none" w:color="000000" w:sz="4"/>
              <w:right w:val="none" w:color="000000" w:sz="4"/>
            </w:tcBorders>
            <w:vAlign w:val="top"/>
          </w:tcPr>
          <w:p>
            <w:pPr>
              <w:ind w:firstLine="200"/>
            </w:pPr>
            <w:r>
              <w:rPr>
                <w:sz w:val="24"/>
              </w:rPr>
              <w:t>法定代表人</w:t>
            </w:r>
            <w:r>
              <w:rPr>
                <w:sz w:val="24"/>
              </w:rPr>
              <w:t>或授权委托人：</w:t>
            </w:r>
          </w:p>
          <w:p>
            <w:pPr>
              <w:ind w:firstLine="200"/>
            </w:pP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地址</w:t>
            </w:r>
            <w:r>
              <w:rPr>
                <w:sz w:val="24"/>
              </w:rPr>
              <w:t>：广东省中山市孙文东路</w:t>
            </w:r>
            <w:r>
              <w:rPr>
                <w:sz w:val="24"/>
              </w:rPr>
              <w:t>2号</w:t>
            </w:r>
          </w:p>
          <w:p>
            <w:pPr>
              <w:ind w:firstLine="200"/>
            </w:pPr>
          </w:p>
        </w:tc>
        <w:tc>
          <w:tcPr>
            <w:tcW w:type="dxa" w:w="4190"/>
            <w:tcBorders>
              <w:top w:val="none" w:color="000000" w:sz="4"/>
              <w:left w:val="none" w:color="000000" w:sz="4"/>
              <w:bottom w:val="none" w:color="000000" w:sz="4"/>
              <w:right w:val="none" w:color="000000" w:sz="4"/>
            </w:tcBorders>
            <w:vAlign w:val="top"/>
          </w:tcPr>
          <w:p>
            <w:r>
              <w:rPr>
                <w:sz w:val="24"/>
              </w:rPr>
              <w:t>地址</w:t>
            </w:r>
            <w:r>
              <w:rPr>
                <w:sz w:val="24"/>
              </w:rPr>
              <w:t>：</w:t>
            </w:r>
          </w:p>
          <w:p>
            <w:pPr>
              <w:ind w:firstLine="200"/>
            </w:pPr>
          </w:p>
          <w:p>
            <w:pPr>
              <w:ind w:firstLine="200"/>
            </w:pP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电话</w:t>
            </w:r>
            <w:r>
              <w:rPr>
                <w:sz w:val="24"/>
              </w:rPr>
              <w:t>：</w:t>
            </w:r>
            <w:r>
              <w:rPr>
                <w:sz w:val="24"/>
              </w:rPr>
              <w:t>0760-88823566</w:t>
            </w:r>
          </w:p>
          <w:p/>
          <w:p>
            <w:pPr>
              <w:ind w:firstLine="240"/>
            </w:pPr>
            <w:r>
              <w:rPr>
                <w:sz w:val="24"/>
              </w:rPr>
              <w:t>开户名称：中山市人民医院</w:t>
            </w:r>
          </w:p>
          <w:p/>
          <w:p>
            <w:r>
              <w:rPr>
                <w:sz w:val="24"/>
              </w:rPr>
              <w:t>银行账户：</w:t>
            </w:r>
            <w:r>
              <w:rPr>
                <w:sz w:val="24"/>
              </w:rPr>
              <w:t>1380 2151 6010 0082 27</w:t>
            </w:r>
          </w:p>
          <w:p/>
          <w:p>
            <w:r>
              <w:rPr>
                <w:sz w:val="24"/>
              </w:rPr>
              <w:t>开户银行：广发银行股份有限公司中山分行</w:t>
            </w:r>
          </w:p>
          <w:p/>
        </w:tc>
        <w:tc>
          <w:tcPr>
            <w:tcW w:type="dxa" w:w="4190"/>
            <w:tcBorders>
              <w:top w:val="none" w:color="000000" w:sz="4"/>
              <w:left w:val="none" w:color="000000" w:sz="4"/>
              <w:bottom w:val="none" w:color="000000" w:sz="4"/>
              <w:right w:val="none" w:color="000000" w:sz="4"/>
            </w:tcBorders>
            <w:vAlign w:val="top"/>
          </w:tcPr>
          <w:p>
            <w:pPr>
              <w:ind w:firstLine="200"/>
            </w:pPr>
            <w:r>
              <w:rPr>
                <w:sz w:val="24"/>
              </w:rPr>
              <w:t>电话</w:t>
            </w:r>
            <w:r>
              <w:rPr>
                <w:sz w:val="24"/>
              </w:rPr>
              <w:t>：</w:t>
            </w:r>
          </w:p>
          <w:p/>
          <w:p>
            <w:pPr>
              <w:ind w:firstLine="240"/>
            </w:pPr>
            <w:r>
              <w:rPr>
                <w:sz w:val="24"/>
              </w:rPr>
              <w:t>开户名称：</w:t>
            </w:r>
          </w:p>
          <w:p/>
          <w:p>
            <w:pPr>
              <w:ind w:firstLine="240"/>
            </w:pPr>
            <w:r>
              <w:rPr>
                <w:sz w:val="24"/>
              </w:rPr>
              <w:t>银行账户：</w:t>
            </w:r>
          </w:p>
          <w:p/>
          <w:p/>
          <w:p>
            <w:pPr>
              <w:ind w:firstLine="240"/>
            </w:pPr>
            <w:r>
              <w:rPr>
                <w:sz w:val="24"/>
              </w:rPr>
              <w:t>开户银行：</w:t>
            </w:r>
          </w:p>
          <w:p/>
          <w:p/>
          <w:p>
            <w:pPr>
              <w:ind w:firstLine="240"/>
            </w:pPr>
            <w:r>
              <w:rPr>
                <w:sz w:val="24"/>
              </w:rPr>
              <w:t>联行号：</w:t>
            </w:r>
          </w:p>
          <w:p/>
          <w:p>
            <w:pPr>
              <w:ind w:firstLine="200"/>
            </w:pPr>
          </w:p>
          <w:p>
            <w:pPr>
              <w:ind w:firstLine="200"/>
            </w:pP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vAlign w:val="top"/>
          </w:tcPr>
          <w:p>
            <w:pPr>
              <w:ind w:firstLine="200"/>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200"/>
            </w:pPr>
          </w:p>
        </w:tc>
      </w:tr>
    </w:tbl>
    <w:p/>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442000-2022-04351</w:t>
      </w:r>
    </w:p>
    <w:p>
      <w:pPr>
        <w:jc w:val="center"/>
      </w:pPr>
      <w:r>
        <w:rPr>
          <w:b/>
          <w:sz w:val="24"/>
        </w:rPr>
        <w:t>采购项目编号：</w:t>
      </w:r>
      <w:r>
        <w:rPr>
          <w:b/>
          <w:sz w:val="24"/>
        </w:rPr>
        <w:t>442000-2022-04351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中山市人民医院小动物活体光学成像系统</w:t>
      </w:r>
      <w:r>
        <w:rPr/>
        <w:t>项目的招标[采购项目编号为：</w:t>
      </w:r>
      <w:r>
        <w:rPr>
          <w:u w:val="single"/>
        </w:rPr>
        <w:t>442000-2022-04351</w:t>
      </w:r>
      <w:r>
        <w:rPr/>
        <w:t>]，我方愿参与投标。</w:t>
      </w:r>
    </w:p>
    <w:p>
      <w:pPr>
        <w:ind w:firstLine="480"/>
      </w:pPr>
      <w:r>
        <w:rPr/>
        <w:t>我方确认收到贵方提供的</w:t>
      </w:r>
      <w:r>
        <w:rPr>
          <w:u w:val="single"/>
        </w:rPr>
        <w:t>中山市人民医院小动物活体光学成像系统</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中山市人民医院小动物活体光学成像系统</w:t>
      </w:r>
      <w:r>
        <w:rPr/>
        <w:t>项目采购[采购项目编号为</w:t>
      </w:r>
      <w:r>
        <w:rPr/>
        <w:t>442000-2022-04351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中山市人民医院小动物活体光学成像系统</w:t>
      </w:r>
      <w:r>
        <w:rPr/>
        <w:t>招标中获中标（采购项目编号：</w:t>
      </w:r>
      <w:r>
        <w:rPr/>
        <w:t>442000-2022-04351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中山市人民医院小动物活体光学成像系统</w:t>
      </w:r>
      <w:r>
        <w:rPr/>
        <w:t>项目（采购项目编号：</w:t>
      </w:r>
      <w:r>
        <w:rPr/>
        <w:t>442000-2022-04351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