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442000-2022-02879</w:t>
      </w:r>
    </w:p>
    <w:p>
      <w:pPr>
        <w:jc w:val="center"/>
      </w:pPr>
      <w:r>
        <w:rPr>
          <w:b/>
          <w:sz w:val="24"/>
        </w:rPr>
        <w:t>采购项目编号：</w:t>
      </w:r>
      <w:r>
        <w:rPr>
          <w:b/>
          <w:sz w:val="24"/>
        </w:rPr>
        <w:t>442000-2022-02879</w:t>
      </w:r>
    </w:p>
    <w:p>
      <w:pPr>
        <w:jc w:val="center"/>
      </w:pPr>
      <w:r>
        <w:rPr>
          <w:b/>
          <w:sz w:val="24"/>
        </w:rPr>
        <w:t>项目名称：</w:t>
      </w:r>
      <w:r>
        <w:rPr>
          <w:b/>
          <w:sz w:val="24"/>
        </w:rPr>
        <w:t>中山市人民医院消毒供应中心清洗消毒机采购项目</w:t>
      </w:r>
    </w:p>
    <w:p>
      <w:pPr>
        <w:jc w:val="center"/>
      </w:pPr>
      <w:r>
        <w:rPr>
          <w:b/>
          <w:sz w:val="24"/>
        </w:rPr>
        <w:t>采购人：</w:t>
      </w:r>
      <w:r>
        <w:rPr>
          <w:b/>
          <w:sz w:val="24"/>
        </w:rPr>
        <w:t>中山市人民医院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中山市人民医院</w:t>
      </w:r>
      <w:r>
        <w:rPr/>
        <w:t>的委托，采用</w:t>
      </w:r>
      <w:r>
        <w:rPr/>
        <w:t>公开招标</w:t>
      </w:r>
      <w:r>
        <w:rPr/>
        <w:t>方式组织采购</w:t>
      </w:r>
      <w:r>
        <w:rPr/>
        <w:t>中山市人民医院消毒供应中心清洗消毒机采购项目</w:t>
      </w:r>
      <w:r>
        <w:rPr/>
        <w:t>。欢迎符合资格条件的国内供应商参加投标。</w:t>
      </w:r>
    </w:p>
    <w:p>
      <w:r>
        <w:rPr>
          <w:b/>
          <w:sz w:val="28"/>
        </w:rPr>
        <w:t>一.项目概述</w:t>
      </w:r>
    </w:p>
    <w:p>
      <w:r>
        <w:rPr>
          <w:b/>
          <w:sz w:val="24"/>
        </w:rPr>
        <w:t>1.名称与编号</w:t>
      </w:r>
    </w:p>
    <w:p>
      <w:pPr>
        <w:ind w:firstLine="480"/>
      </w:pPr>
      <w:r>
        <w:rPr/>
        <w:t>项目名称：</w:t>
      </w:r>
      <w:r>
        <w:rPr/>
        <w:t>中山市人民医院消毒供应中心清洗消毒机采购项目</w:t>
      </w:r>
    </w:p>
    <w:p>
      <w:pPr>
        <w:ind w:firstLine="480"/>
      </w:pPr>
      <w:r>
        <w:rPr/>
        <w:t>采购计划编号：</w:t>
      </w:r>
      <w:r>
        <w:rPr/>
        <w:t>442000-2022-02879</w:t>
      </w:r>
    </w:p>
    <w:p>
      <w:pPr>
        <w:ind w:firstLine="480"/>
      </w:pPr>
      <w:r>
        <w:rPr/>
        <w:t>采购项目编号：</w:t>
      </w:r>
      <w:r>
        <w:rPr/>
        <w:t>442000-2022-02879</w:t>
      </w:r>
    </w:p>
    <w:p>
      <w:pPr>
        <w:ind w:firstLine="480"/>
      </w:pPr>
      <w:r>
        <w:rPr/>
        <w:t>采购方式：</w:t>
      </w:r>
      <w:r>
        <w:rPr/>
        <w:t>公开招标</w:t>
      </w:r>
    </w:p>
    <w:p>
      <w:pPr>
        <w:ind w:firstLine="480"/>
      </w:pPr>
      <w:r>
        <w:rPr/>
        <w:t>预算金额：</w:t>
      </w:r>
      <w:r>
        <w:rPr/>
        <w:t>6,350,000.00</w:t>
      </w:r>
      <w:r>
        <w:rPr/>
        <w:t>元</w:t>
      </w:r>
    </w:p>
    <w:p>
      <w:r>
        <w:rPr>
          <w:b/>
          <w:sz w:val="24"/>
        </w:rPr>
        <w:t>2.项目内容及需求情况（采购项目技术规格、参数及要求）</w:t>
      </w:r>
    </w:p>
    <w:p>
      <w:pPr>
        <w:ind w:firstLine="480"/>
      </w:pPr>
    </w:p>
    <w:p/>
    <w:p>
      <w:r>
        <w:rPr/>
        <w:t>采购包1(中山市人民医院消毒供应中心清洗消毒机采购项目（包组一）):</w:t>
      </w:r>
    </w:p>
    <w:p>
      <w:r>
        <w:rPr/>
        <w:t>采购包预算金额：3,850,000.00元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消毒灭菌设备及器具</w:t>
            </w:r>
          </w:p>
        </w:tc>
        <w:tc>
          <w:tcPr>
            <w:tcW w:type="dxa" w:w="2136"/>
          </w:tcPr>
          <w:p>
            <w:r>
              <w:rPr/>
              <w:t>多腔清洗消毒机</w:t>
            </w:r>
          </w:p>
        </w:tc>
        <w:tc>
          <w:tcPr>
            <w:tcW w:type="dxa" w:w="1187"/>
          </w:tcPr>
          <w:p>
            <w:r>
              <w:rPr/>
              <w:t>1.0000(套)</w:t>
            </w:r>
          </w:p>
        </w:tc>
        <w:tc>
          <w:tcPr>
            <w:tcW w:type="dxa" w:w="1187"/>
          </w:tcPr>
          <w:p>
            <w:r>
              <w:rPr/>
              <w:t>详见第二章</w:t>
            </w:r>
          </w:p>
        </w:tc>
        <w:tc>
          <w:tcPr>
            <w:tcW w:type="dxa" w:w="1187"/>
          </w:tcPr>
          <w:p>
            <w:r>
              <w:rPr/>
              <w:t>是</w:t>
            </w:r>
          </w:p>
        </w:tc>
      </w:tr>
      <w:tr>
        <w:tc>
          <w:tcPr>
            <w:tcW w:type="dxa" w:w="1187"/>
          </w:tcPr>
          <w:p>
            <w:r>
              <w:rPr/>
              <w:t>1-2</w:t>
            </w:r>
          </w:p>
        </w:tc>
        <w:tc>
          <w:tcPr>
            <w:tcW w:type="dxa" w:w="1424"/>
          </w:tcPr>
          <w:p>
            <w:r>
              <w:rPr/>
              <w:t>消毒灭菌设备及器具</w:t>
            </w:r>
          </w:p>
        </w:tc>
        <w:tc>
          <w:tcPr>
            <w:tcW w:type="dxa" w:w="2136"/>
          </w:tcPr>
          <w:p>
            <w:r>
              <w:rPr/>
              <w:t>单腔清洗消毒机</w:t>
            </w:r>
          </w:p>
        </w:tc>
        <w:tc>
          <w:tcPr>
            <w:tcW w:type="dxa" w:w="1187"/>
          </w:tcPr>
          <w:p>
            <w:r>
              <w:rPr/>
              <w:t>1.0000(套)</w:t>
            </w:r>
          </w:p>
        </w:tc>
        <w:tc>
          <w:tcPr>
            <w:tcW w:type="dxa" w:w="1187"/>
          </w:tcPr>
          <w:p>
            <w:r>
              <w:rPr/>
              <w:t>详见第二章</w:t>
            </w:r>
          </w:p>
        </w:tc>
        <w:tc>
          <w:tcPr>
            <w:tcW w:type="dxa" w:w="1187"/>
          </w:tcPr>
          <w:p>
            <w:r>
              <w:rPr/>
              <w:t>是</w:t>
            </w:r>
          </w:p>
        </w:tc>
      </w:tr>
    </w:tbl>
    <w:p/>
    <w:p>
      <w:r>
        <w:rPr/>
        <w:t>本采购包不接受联合体投标</w:t>
      </w:r>
    </w:p>
    <w:p/>
    <w:p>
      <w:r>
        <w:rPr/>
        <w:t>合同履行期限：签订合同后120天内完成安装调试。</w:t>
      </w:r>
    </w:p>
    <w:p/>
    <w:p>
      <w:r>
        <w:rPr/>
        <w:t>采购包2(中山市人民医院消毒供应中心清洗消毒机采购项目（包组二）):</w:t>
      </w:r>
    </w:p>
    <w:p>
      <w:r>
        <w:rPr/>
        <w:t>采购包预算金额：2,500,000.00元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2-1</w:t>
            </w:r>
          </w:p>
        </w:tc>
        <w:tc>
          <w:tcPr>
            <w:tcW w:type="dxa" w:w="1424"/>
          </w:tcPr>
          <w:p>
            <w:r>
              <w:rPr/>
              <w:t>消毒灭菌设备及器具</w:t>
            </w:r>
          </w:p>
        </w:tc>
        <w:tc>
          <w:tcPr>
            <w:tcW w:type="dxa" w:w="2136"/>
          </w:tcPr>
          <w:p>
            <w:r>
              <w:rPr/>
              <w:t>大型清洗消毒机</w:t>
            </w:r>
          </w:p>
        </w:tc>
        <w:tc>
          <w:tcPr>
            <w:tcW w:type="dxa" w:w="1187"/>
          </w:tcPr>
          <w:p>
            <w:r>
              <w:rPr/>
              <w:t>1.0000(套)</w:t>
            </w:r>
          </w:p>
        </w:tc>
        <w:tc>
          <w:tcPr>
            <w:tcW w:type="dxa" w:w="1187"/>
          </w:tcPr>
          <w:p>
            <w:r>
              <w:rPr/>
              <w:t>详见第二章</w:t>
            </w:r>
          </w:p>
        </w:tc>
        <w:tc>
          <w:tcPr>
            <w:tcW w:type="dxa" w:w="1187"/>
          </w:tcPr>
          <w:p>
            <w:r>
              <w:rPr/>
              <w:t>是</w:t>
            </w:r>
          </w:p>
        </w:tc>
      </w:tr>
    </w:tbl>
    <w:p/>
    <w:p>
      <w:r>
        <w:rPr/>
        <w:t>本采购包不接受联合体投标</w:t>
      </w:r>
    </w:p>
    <w:p/>
    <w:p>
      <w:r>
        <w:rPr/>
        <w:t>合同履行期限：签订合同后30天内完成安装调试。</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2）有依法缴纳税收和社会保障资金的良好记录：提供投标截止日前12个月内任意1个月依法缴纳税收和社会保障资金的相关材料。如依法免税或不需要缴纳社会保障资金的， 提供相应证明材料。</w:t>
      </w:r>
    </w:p>
    <w:p/>
    <w:p>
      <w:r>
        <w:rPr/>
        <w:t>3）具有良好的商业信誉和健全的财务会计制度：供应商必须具有良好的商业信誉和健全的财务会计制度（提供2020年度或2021年度财务状况报告或基本开户行出具的资信证明或投标截止日前12个月内任意1个月的财务报表，包括：资产负债表、利润表复印件加盖投标人公章）。</w:t>
      </w:r>
    </w:p>
    <w:p/>
    <w:p>
      <w:r>
        <w:rPr/>
        <w:t>4）履行合同所必需的设备和专业技术能力：按投标（响应）文件格式填报设备及专业技术能力情况。</w:t>
      </w:r>
    </w:p>
    <w:p/>
    <w:p>
      <w:r>
        <w:rPr/>
        <w:t>5）参加采购活动前3年内，在经营活动中没有重大违法记录：(采购包1）参照投标（报价）函相关承诺格式内容。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采购包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采购包1（中山市人民医院消毒供应中心清洗消毒机采购项目（包组一））：</w:t>
      </w:r>
      <w:r>
        <w:rPr/>
        <w:t>本项目不专门面向中小企业采购</w:t>
      </w:r>
    </w:p>
    <w:p>
      <w:pPr>
        <w:jc w:val="left"/>
      </w:pPr>
    </w:p>
    <w:p>
      <w:r>
        <w:rPr/>
        <w:t>采购包2（中山市人民医院消毒供应中心清洗消毒机采购项目（包组二））：</w:t>
      </w:r>
      <w:r>
        <w:rPr/>
        <w:t>本项目不专门面向中小企业采购</w:t>
      </w:r>
    </w:p>
    <w:p/>
    <w:p>
      <w:r>
        <w:rPr>
          <w:b/>
          <w:sz w:val="24"/>
        </w:rPr>
        <w:t>3.本项目特定的资格要求：</w:t>
      </w:r>
    </w:p>
    <w:p>
      <w:pPr>
        <w:ind w:firstLine="480"/>
      </w:pPr>
    </w:p>
    <w:p/>
    <w:p>
      <w:r>
        <w:rPr/>
        <w:t>采购包1（中山市人民医院消毒供应中心清洗消毒机采购项目（包组一））：</w:t>
      </w:r>
    </w:p>
    <w:p/>
    <w:p>
      <w:r>
        <w:rPr/>
        <w:t>1)供应商须具有其中一项有效的许可证明：《医疗器械生产许可证》、《医疗器械生产备案证》、《医疗器械经营许可证》、《医疗器械经营备案证》、《食品药品经营许可证》（提供相应证明文件复印件并加盖投标人公章）。</w:t>
      </w:r>
    </w:p>
    <w:p/>
    <w:p>
      <w:r>
        <w:rPr/>
        <w:t>2)供应商未被列入“信用中国”网站(www.creditchina.gov.cn)“记录失信被执行人或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3)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t>采购包2（中山市人民医院消毒供应中心清洗消毒机采购项目（包组二））：</w:t>
      </w:r>
    </w:p>
    <w:p/>
    <w:p>
      <w:r>
        <w:rPr/>
        <w:t>1)供应商须具有其中一项有效的许可证明：《医疗器械生产许可证》、《医疗器械生产备案证》、《医疗器械经营许可证》、《医疗器械经营备案证》、《食品药品经营许可证》（提供相应证明文件复印件并加盖投标人公章）。</w:t>
      </w:r>
    </w:p>
    <w:p/>
    <w:p>
      <w:r>
        <w:rPr/>
        <w:t>2)供应商未被列入“信用中国”网站(www.creditchina.gov.cn)“记录失信被执行人或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3)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，中山市政府采购网（http://113.106.13.242:8088/zfcg/），中山市公共资源交易网（http://ggzyjy.zs .gov.cn/），智林招标（广东）有限公司官网（http://www.智林招标.com/）</w:t>
      </w:r>
      <w:r>
        <w:rPr/>
        <w:t>。</w:t>
      </w:r>
    </w:p>
    <w:p>
      <w:r>
        <w:rPr>
          <w:b/>
          <w:sz w:val="28"/>
        </w:rPr>
        <w:t>六.本项目联系方式：</w:t>
      </w:r>
    </w:p>
    <w:p>
      <w:r>
        <w:rPr>
          <w:b/>
          <w:sz w:val="24"/>
        </w:rPr>
        <w:t>1.采购人信息</w:t>
      </w:r>
    </w:p>
    <w:p>
      <w:pPr>
        <w:ind w:firstLine="480"/>
      </w:pPr>
      <w:r>
        <w:rPr/>
        <w:t>名称：</w:t>
      </w:r>
      <w:r>
        <w:rPr/>
        <w:t>中山市人民医院</w:t>
      </w:r>
    </w:p>
    <w:p>
      <w:pPr>
        <w:ind w:firstLine="480"/>
      </w:pPr>
      <w:r>
        <w:rPr/>
        <w:t>地址：</w:t>
      </w:r>
      <w:r>
        <w:rPr/>
        <w:t>广东省中山市孙文东路2号</w:t>
      </w:r>
    </w:p>
    <w:p>
      <w:pPr>
        <w:ind w:firstLine="480"/>
      </w:pPr>
      <w:r>
        <w:rPr/>
        <w:t>联系方式：</w:t>
      </w:r>
      <w:r>
        <w:rPr/>
        <w:t>0760-88824241</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许曼</w:t>
      </w:r>
    </w:p>
    <w:p>
      <w:pPr>
        <w:ind w:firstLine="480"/>
      </w:pPr>
      <w:r>
        <w:rPr/>
        <w:t>电话：</w:t>
      </w:r>
      <w:r>
        <w:rPr/>
        <w:t>0760-88889687</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jc w:val="left"/>
      </w:pPr>
      <w:r>
        <w:rPr>
          <w:sz w:val="22"/>
        </w:rPr>
        <w:t>1.项目名称： 中山市人民医院消毒供应中心清洗消毒机采购项目</w:t>
      </w:r>
    </w:p>
    <w:p>
      <w:pPr>
        <w:ind w:firstLine="420"/>
        <w:jc w:val="left"/>
      </w:pPr>
      <w:r>
        <w:rPr>
          <w:sz w:val="22"/>
        </w:rPr>
        <w:t>2.采购计划编号：442000-2022-02879</w:t>
      </w:r>
    </w:p>
    <w:p>
      <w:pPr>
        <w:ind w:firstLine="420"/>
        <w:jc w:val="left"/>
      </w:pPr>
      <w:r>
        <w:rPr>
          <w:sz w:val="22"/>
        </w:rPr>
        <w:t>3.采购项目编号：442000-2022-02879</w:t>
      </w:r>
    </w:p>
    <w:p>
      <w:pPr>
        <w:ind w:firstLine="420"/>
        <w:jc w:val="left"/>
      </w:pPr>
      <w:r>
        <w:rPr>
          <w:sz w:val="22"/>
        </w:rPr>
        <w:t>4.采购方式：公开招标</w:t>
      </w:r>
    </w:p>
    <w:p>
      <w:pPr>
        <w:ind w:firstLine="420"/>
        <w:jc w:val="left"/>
      </w:pPr>
      <w:r>
        <w:rPr>
          <w:sz w:val="22"/>
        </w:rPr>
        <w:t>5.本项目不属于专门面向中小微企业项目。</w:t>
      </w:r>
    </w:p>
    <w:p>
      <w:pPr>
        <w:ind w:firstLine="420"/>
        <w:jc w:val="left"/>
      </w:pPr>
      <w:r>
        <w:rPr>
          <w:sz w:val="22"/>
        </w:rPr>
        <w:t>6.本采购包不接受联合体投标。</w:t>
      </w:r>
    </w:p>
    <w:p>
      <w:pPr>
        <w:ind w:firstLine="420"/>
        <w:jc w:val="left"/>
      </w:pPr>
      <w:r>
        <w:rPr>
          <w:sz w:val="22"/>
        </w:rPr>
        <w:t>7.采购标的对应的中小企业划分标准所属行业为：工业</w:t>
      </w:r>
    </w:p>
    <w:p>
      <w:pPr>
        <w:ind w:firstLine="420"/>
        <w:jc w:val="left"/>
      </w:pPr>
      <w:r>
        <w:rPr>
          <w:sz w:val="22"/>
        </w:rPr>
        <w:t>8.项目内容及包组情况：</w:t>
      </w:r>
    </w:p>
    <w:tbl>
      <w:tblPr>
        <w:tblW w:w="0" w:type="auto"/>
        <w:tblBorders>
          <w:top w:val="none" w:color="000000" w:sz="4"/>
          <w:left w:val="none" w:color="000000" w:sz="4"/>
          <w:bottom w:val="none" w:color="000000" w:sz="4"/>
          <w:right w:val="none" w:color="000000" w:sz="4"/>
          <w:insideH w:val="none"/>
          <w:insideV w:val="none"/>
        </w:tblBorders>
      </w:tblPr>
      <w:tblGrid>
        <w:gridCol w:w="1002"/>
        <w:gridCol w:w="1815"/>
        <w:gridCol w:w="726"/>
        <w:gridCol w:w="1568"/>
        <w:gridCol w:w="1467"/>
        <w:gridCol w:w="1728"/>
      </w:tblGrid>
      <w:tr>
        <w:tc>
          <w:tcPr>
            <w:tcW w:type="dxa" w:w="1002"/>
            <w:tcBorders>
              <w:top w:val="single" w:color="000000" w:sz="4"/>
              <w:left w:val="single" w:color="000000" w:sz="4"/>
              <w:bottom w:val="single" w:color="000000" w:sz="4"/>
              <w:right w:val="single" w:color="000000" w:sz="4"/>
            </w:tcBorders>
            <w:vAlign w:val="top"/>
          </w:tcPr>
          <w:p>
            <w:pPr>
              <w:jc w:val="center"/>
            </w:pPr>
            <w:r>
              <w:rPr>
                <w:sz w:val="22"/>
              </w:rPr>
              <w:t>分包</w:t>
            </w:r>
          </w:p>
        </w:tc>
        <w:tc>
          <w:tcPr>
            <w:tcW w:type="dxa" w:w="1815"/>
            <w:tcBorders>
              <w:top w:val="single" w:color="000000" w:sz="4"/>
              <w:left w:val="single" w:color="000000" w:sz="4"/>
              <w:bottom w:val="single" w:color="000000" w:sz="4"/>
              <w:right w:val="single" w:color="000000" w:sz="4"/>
            </w:tcBorders>
            <w:vAlign w:val="top"/>
          </w:tcPr>
          <w:p>
            <w:pPr>
              <w:jc w:val="center"/>
            </w:pPr>
            <w:r>
              <w:rPr>
                <w:sz w:val="22"/>
              </w:rPr>
              <w:t>名称</w:t>
            </w:r>
          </w:p>
        </w:tc>
        <w:tc>
          <w:tcPr>
            <w:tcW w:type="dxa" w:w="726"/>
            <w:tcBorders>
              <w:top w:val="single" w:color="000000" w:sz="4"/>
              <w:left w:val="single" w:color="000000" w:sz="4"/>
              <w:bottom w:val="single" w:color="000000" w:sz="4"/>
              <w:right w:val="single" w:color="000000" w:sz="4"/>
            </w:tcBorders>
            <w:vAlign w:val="top"/>
          </w:tcPr>
          <w:p>
            <w:pPr>
              <w:jc w:val="center"/>
            </w:pPr>
            <w:r>
              <w:rPr>
                <w:sz w:val="22"/>
              </w:rPr>
              <w:t>数量</w:t>
            </w:r>
          </w:p>
        </w:tc>
        <w:tc>
          <w:tcPr>
            <w:tcW w:type="dxa" w:w="1568"/>
            <w:tcBorders>
              <w:top w:val="single" w:color="000000" w:sz="4"/>
              <w:left w:val="single" w:color="000000" w:sz="4"/>
              <w:bottom w:val="single" w:color="000000" w:sz="4"/>
              <w:right w:val="single" w:color="000000" w:sz="4"/>
            </w:tcBorders>
            <w:vAlign w:val="top"/>
          </w:tcPr>
          <w:p>
            <w:pPr>
              <w:jc w:val="center"/>
            </w:pPr>
            <w:r>
              <w:rPr>
                <w:sz w:val="22"/>
              </w:rPr>
              <w:t>预算金额</w:t>
            </w:r>
          </w:p>
        </w:tc>
        <w:tc>
          <w:tcPr>
            <w:tcW w:type="dxa" w:w="1467"/>
            <w:tcBorders>
              <w:top w:val="single" w:color="000000" w:sz="4"/>
              <w:left w:val="single" w:color="000000" w:sz="4"/>
              <w:bottom w:val="single" w:color="000000" w:sz="4"/>
              <w:right w:val="single" w:color="000000" w:sz="4"/>
            </w:tcBorders>
            <w:vAlign w:val="top"/>
          </w:tcPr>
          <w:p>
            <w:pPr>
              <w:jc w:val="center"/>
            </w:pPr>
            <w:r>
              <w:rPr>
                <w:sz w:val="22"/>
              </w:rPr>
              <w:t>投标上限价</w:t>
            </w:r>
          </w:p>
        </w:tc>
        <w:tc>
          <w:tcPr>
            <w:tcW w:type="dxa" w:w="1728"/>
            <w:tcBorders>
              <w:top w:val="single" w:color="000000" w:sz="4"/>
              <w:left w:val="single" w:color="000000" w:sz="4"/>
              <w:bottom w:val="single" w:color="000000" w:sz="4"/>
              <w:right w:val="single" w:color="000000" w:sz="4"/>
            </w:tcBorders>
            <w:vAlign w:val="top"/>
          </w:tcPr>
          <w:p>
            <w:pPr>
              <w:jc w:val="center"/>
            </w:pPr>
            <w:r>
              <w:rPr>
                <w:sz w:val="22"/>
              </w:rPr>
              <w:t>合同履行期限</w:t>
            </w:r>
          </w:p>
        </w:tc>
      </w:tr>
      <w:tr>
        <w:tc>
          <w:tcPr>
            <w:tcW w:type="dxa" w:w="1002"/>
            <w:vMerge w:val="restart"/>
            <w:tcBorders>
              <w:top w:val="none" w:color="000000" w:sz="4"/>
              <w:left w:val="single" w:color="000000" w:sz="4"/>
              <w:bottom w:val="single" w:color="000000" w:sz="4"/>
              <w:right w:val="single" w:color="000000" w:sz="4"/>
            </w:tcBorders>
            <w:vAlign w:val="top"/>
          </w:tcPr>
          <w:p>
            <w:pPr>
              <w:jc w:val="center"/>
            </w:pPr>
            <w:r>
              <w:rPr>
                <w:sz w:val="22"/>
              </w:rPr>
              <w:t>采购包</w:t>
            </w:r>
            <w:r>
              <w:rPr>
                <w:sz w:val="22"/>
              </w:rPr>
              <w:t>1</w:t>
            </w:r>
          </w:p>
        </w:tc>
        <w:tc>
          <w:tcPr>
            <w:tcW w:type="dxa" w:w="1815"/>
            <w:tcBorders>
              <w:top w:val="none" w:color="000000" w:sz="4"/>
              <w:left w:val="single" w:color="000000" w:sz="4"/>
              <w:bottom w:val="single" w:color="000000" w:sz="4"/>
              <w:right w:val="single" w:color="000000" w:sz="4"/>
            </w:tcBorders>
            <w:vAlign w:val="top"/>
          </w:tcPr>
          <w:p>
            <w:pPr>
              <w:jc w:val="left"/>
            </w:pPr>
            <w:r>
              <w:rPr>
                <w:sz w:val="22"/>
              </w:rPr>
              <w:t>多腔清洗消毒机</w:t>
            </w:r>
          </w:p>
        </w:tc>
        <w:tc>
          <w:tcPr>
            <w:tcW w:type="dxa" w:w="726"/>
            <w:tcBorders>
              <w:top w:val="none" w:color="000000" w:sz="4"/>
              <w:left w:val="single" w:color="000000" w:sz="4"/>
              <w:bottom w:val="single" w:color="000000" w:sz="4"/>
              <w:right w:val="single" w:color="000000" w:sz="4"/>
            </w:tcBorders>
            <w:vAlign w:val="top"/>
          </w:tcPr>
          <w:p>
            <w:pPr>
              <w:jc w:val="center"/>
            </w:pPr>
            <w:r>
              <w:rPr>
                <w:sz w:val="22"/>
              </w:rPr>
              <w:t>1套</w:t>
            </w:r>
          </w:p>
        </w:tc>
        <w:tc>
          <w:tcPr>
            <w:tcW w:type="dxa" w:w="1568"/>
            <w:tcBorders>
              <w:top w:val="none" w:color="000000" w:sz="4"/>
              <w:left w:val="single" w:color="000000" w:sz="4"/>
              <w:bottom w:val="single" w:color="000000" w:sz="4"/>
              <w:right w:val="single" w:color="000000" w:sz="4"/>
            </w:tcBorders>
            <w:vAlign w:val="top"/>
          </w:tcPr>
          <w:p>
            <w:pPr>
              <w:jc w:val="center"/>
            </w:pPr>
            <w:r>
              <w:rPr>
                <w:sz w:val="22"/>
              </w:rPr>
              <w:t>3050000.00</w:t>
            </w:r>
          </w:p>
        </w:tc>
        <w:tc>
          <w:tcPr>
            <w:tcW w:type="dxa" w:w="1467"/>
            <w:tcBorders>
              <w:top w:val="none" w:color="000000" w:sz="4"/>
              <w:left w:val="single" w:color="000000" w:sz="4"/>
              <w:bottom w:val="single" w:color="000000" w:sz="4"/>
              <w:right w:val="single" w:color="000000" w:sz="4"/>
            </w:tcBorders>
            <w:vAlign w:val="top"/>
          </w:tcPr>
          <w:p>
            <w:pPr>
              <w:jc w:val="center"/>
            </w:pPr>
            <w:r>
              <w:rPr>
                <w:sz w:val="22"/>
              </w:rPr>
              <w:t>3050000.00</w:t>
            </w:r>
          </w:p>
        </w:tc>
        <w:tc>
          <w:tcPr>
            <w:tcW w:type="dxa" w:w="1728"/>
            <w:vMerge w:val="restart"/>
            <w:tcBorders>
              <w:top w:val="none" w:color="000000" w:sz="4"/>
              <w:left w:val="single" w:color="000000" w:sz="4"/>
              <w:bottom w:val="single" w:color="000000" w:sz="4"/>
              <w:right w:val="single" w:color="000000" w:sz="4"/>
            </w:tcBorders>
            <w:vAlign w:val="top"/>
          </w:tcPr>
          <w:p>
            <w:pPr>
              <w:jc w:val="left"/>
            </w:pPr>
            <w:r>
              <w:rPr>
                <w:sz w:val="22"/>
              </w:rPr>
              <w:t>签订合同后</w:t>
            </w:r>
            <w:r>
              <w:rPr>
                <w:sz w:val="22"/>
                <w:u w:val="single"/>
              </w:rPr>
              <w:t>120</w:t>
            </w:r>
            <w:r>
              <w:rPr>
                <w:sz w:val="22"/>
              </w:rPr>
              <w:t>天内完成安装调试；</w:t>
            </w:r>
          </w:p>
        </w:tc>
      </w:tr>
      <w:tr>
        <w:tc>
          <w:tcPr>
            <w:tcW w:type="dxa" w:w="1002"/>
            <w:vMerge/>
            <w:tcBorders>
              <w:top w:val="none" w:color="000000" w:sz="4"/>
              <w:left w:val="single" w:color="000000" w:sz="4"/>
              <w:bottom w:val="single" w:color="000000" w:sz="4"/>
              <w:right w:val="single" w:color="000000" w:sz="4"/>
            </w:tcBorders>
          </w:tcPr>
          <w:p/>
        </w:tc>
        <w:tc>
          <w:tcPr>
            <w:tcW w:type="dxa" w:w="1815"/>
            <w:tcBorders>
              <w:top w:val="none" w:color="000000" w:sz="4"/>
              <w:left w:val="single" w:color="000000" w:sz="4"/>
              <w:bottom w:val="single" w:color="000000" w:sz="4"/>
              <w:right w:val="single" w:color="000000" w:sz="4"/>
            </w:tcBorders>
            <w:vAlign w:val="top"/>
          </w:tcPr>
          <w:p>
            <w:pPr>
              <w:jc w:val="left"/>
            </w:pPr>
            <w:r>
              <w:rPr>
                <w:sz w:val="22"/>
              </w:rPr>
              <w:t>单腔清洗消毒机</w:t>
            </w:r>
          </w:p>
        </w:tc>
        <w:tc>
          <w:tcPr>
            <w:tcW w:type="dxa" w:w="726"/>
            <w:tcBorders>
              <w:top w:val="none" w:color="000000" w:sz="4"/>
              <w:left w:val="single" w:color="000000" w:sz="4"/>
              <w:bottom w:val="single" w:color="000000" w:sz="4"/>
              <w:right w:val="single" w:color="000000" w:sz="4"/>
            </w:tcBorders>
            <w:vAlign w:val="top"/>
          </w:tcPr>
          <w:p>
            <w:pPr>
              <w:jc w:val="center"/>
            </w:pPr>
            <w:r>
              <w:rPr>
                <w:sz w:val="22"/>
              </w:rPr>
              <w:t>1套</w:t>
            </w:r>
          </w:p>
        </w:tc>
        <w:tc>
          <w:tcPr>
            <w:tcW w:type="dxa" w:w="1568"/>
            <w:tcBorders>
              <w:top w:val="none" w:color="000000" w:sz="4"/>
              <w:left w:val="single" w:color="000000" w:sz="4"/>
              <w:bottom w:val="single" w:color="000000" w:sz="4"/>
              <w:right w:val="single" w:color="000000" w:sz="4"/>
            </w:tcBorders>
            <w:vAlign w:val="top"/>
          </w:tcPr>
          <w:p>
            <w:pPr>
              <w:jc w:val="center"/>
            </w:pPr>
            <w:r>
              <w:rPr>
                <w:sz w:val="22"/>
              </w:rPr>
              <w:t>800000.00</w:t>
            </w:r>
          </w:p>
        </w:tc>
        <w:tc>
          <w:tcPr>
            <w:tcW w:type="dxa" w:w="1467"/>
            <w:tcBorders>
              <w:top w:val="none" w:color="000000" w:sz="4"/>
              <w:left w:val="single" w:color="000000" w:sz="4"/>
              <w:bottom w:val="single" w:color="000000" w:sz="4"/>
              <w:right w:val="single" w:color="000000" w:sz="4"/>
            </w:tcBorders>
            <w:vAlign w:val="top"/>
          </w:tcPr>
          <w:p>
            <w:pPr>
              <w:jc w:val="center"/>
            </w:pPr>
            <w:r>
              <w:rPr>
                <w:sz w:val="22"/>
              </w:rPr>
              <w:t>800000.00</w:t>
            </w:r>
          </w:p>
        </w:tc>
      </w:tr>
      <w:tr>
        <w:tc>
          <w:tcPr>
            <w:tcW w:type="dxa" w:w="1002"/>
            <w:tcBorders>
              <w:top w:val="none" w:color="000000" w:sz="4"/>
              <w:left w:val="single" w:color="000000" w:sz="4"/>
              <w:bottom w:val="single" w:color="000000" w:sz="4"/>
              <w:right w:val="single" w:color="000000" w:sz="4"/>
            </w:tcBorders>
            <w:vAlign w:val="top"/>
          </w:tcPr>
          <w:p>
            <w:pPr>
              <w:jc w:val="center"/>
            </w:pPr>
          </w:p>
          <w:p>
            <w:pPr>
              <w:jc w:val="center"/>
            </w:pPr>
            <w:r>
              <w:rPr>
                <w:sz w:val="22"/>
              </w:rPr>
              <w:t>采购包</w:t>
            </w:r>
            <w:r>
              <w:rPr>
                <w:sz w:val="22"/>
              </w:rPr>
              <w:t>2</w:t>
            </w:r>
          </w:p>
        </w:tc>
        <w:tc>
          <w:tcPr>
            <w:tcW w:type="dxa" w:w="1815"/>
            <w:tcBorders>
              <w:top w:val="none" w:color="000000" w:sz="4"/>
              <w:left w:val="single" w:color="000000" w:sz="4"/>
              <w:bottom w:val="single" w:color="000000" w:sz="4"/>
              <w:right w:val="single" w:color="000000" w:sz="4"/>
            </w:tcBorders>
            <w:vAlign w:val="top"/>
          </w:tcPr>
          <w:p>
            <w:pPr>
              <w:jc w:val="center"/>
            </w:pPr>
            <w:r>
              <w:rPr>
                <w:sz w:val="22"/>
              </w:rPr>
              <w:t>大型清洗消毒机</w:t>
            </w:r>
          </w:p>
        </w:tc>
        <w:tc>
          <w:tcPr>
            <w:tcW w:type="dxa" w:w="726"/>
            <w:tcBorders>
              <w:top w:val="none" w:color="000000" w:sz="4"/>
              <w:left w:val="single" w:color="000000" w:sz="4"/>
              <w:bottom w:val="single" w:color="000000" w:sz="4"/>
              <w:right w:val="single" w:color="000000" w:sz="4"/>
            </w:tcBorders>
            <w:vAlign w:val="top"/>
          </w:tcPr>
          <w:p>
            <w:pPr>
              <w:jc w:val="center"/>
            </w:pPr>
            <w:r>
              <w:rPr>
                <w:sz w:val="22"/>
              </w:rPr>
              <w:t>1套</w:t>
            </w:r>
          </w:p>
        </w:tc>
        <w:tc>
          <w:tcPr>
            <w:tcW w:type="dxa" w:w="1568"/>
            <w:tcBorders>
              <w:top w:val="none" w:color="000000" w:sz="4"/>
              <w:left w:val="single" w:color="000000" w:sz="4"/>
              <w:bottom w:val="single" w:color="000000" w:sz="4"/>
              <w:right w:val="single" w:color="000000" w:sz="4"/>
            </w:tcBorders>
            <w:vAlign w:val="top"/>
          </w:tcPr>
          <w:p>
            <w:pPr>
              <w:jc w:val="center"/>
            </w:pPr>
            <w:r>
              <w:rPr>
                <w:sz w:val="22"/>
              </w:rPr>
              <w:t>2500000.00</w:t>
            </w:r>
          </w:p>
        </w:tc>
        <w:tc>
          <w:tcPr>
            <w:tcW w:type="dxa" w:w="1467"/>
            <w:tcBorders>
              <w:top w:val="none" w:color="000000" w:sz="4"/>
              <w:left w:val="single" w:color="000000" w:sz="4"/>
              <w:bottom w:val="single" w:color="000000" w:sz="4"/>
              <w:right w:val="single" w:color="000000" w:sz="4"/>
            </w:tcBorders>
            <w:vAlign w:val="top"/>
          </w:tcPr>
          <w:p>
            <w:pPr>
              <w:jc w:val="center"/>
            </w:pPr>
            <w:r>
              <w:rPr>
                <w:sz w:val="22"/>
              </w:rPr>
              <w:t>2500000.00</w:t>
            </w:r>
          </w:p>
        </w:tc>
        <w:tc>
          <w:tcPr>
            <w:tcW w:type="dxa" w:w="1728"/>
            <w:tcBorders>
              <w:top w:val="none" w:color="000000" w:sz="4"/>
              <w:left w:val="single" w:color="000000" w:sz="4"/>
              <w:bottom w:val="single" w:color="000000" w:sz="4"/>
              <w:right w:val="single" w:color="000000" w:sz="4"/>
            </w:tcBorders>
            <w:vAlign w:val="top"/>
          </w:tcPr>
          <w:p>
            <w:pPr>
              <w:jc w:val="left"/>
            </w:pPr>
            <w:r>
              <w:rPr>
                <w:sz w:val="22"/>
              </w:rPr>
              <w:t>签订合同后</w:t>
            </w:r>
            <w:r>
              <w:rPr>
                <w:sz w:val="22"/>
                <w:u w:val="single"/>
              </w:rPr>
              <w:t>30</w:t>
            </w:r>
            <w:r>
              <w:rPr>
                <w:sz w:val="22"/>
              </w:rPr>
              <w:t>天内完成安装调试。</w:t>
            </w:r>
          </w:p>
        </w:tc>
      </w:tr>
    </w:tbl>
    <w:p>
      <w:pPr>
        <w:ind w:firstLine="420"/>
        <w:jc w:val="left"/>
      </w:pPr>
      <w:r>
        <w:rPr>
          <w:sz w:val="22"/>
        </w:rPr>
        <w:t>9.采购包1的核心产品为</w:t>
      </w:r>
      <w:r>
        <w:rPr>
          <w:sz w:val="22"/>
          <w:u w:val="single"/>
        </w:rPr>
        <w:t>多腔清洗消毒机</w:t>
      </w:r>
      <w:r>
        <w:rPr>
          <w:sz w:val="22"/>
          <w:u w:val="single"/>
        </w:rPr>
        <w:t>。</w:t>
      </w:r>
    </w:p>
    <w:p>
      <w:pPr>
        <w:ind w:firstLine="420"/>
        <w:jc w:val="left"/>
      </w:pPr>
      <w:r>
        <w:rPr>
          <w:sz w:val="22"/>
        </w:rPr>
        <w:t>10.根据财政部关于《政府采购进口产品管理办法》（财库〔2007〕119号）的规定，通过专家论证并经政府采购监管部门同意，本项目拟采购设备：</w:t>
      </w:r>
      <w:r>
        <w:rPr>
          <w:b/>
          <w:sz w:val="22"/>
        </w:rPr>
        <w:t>多腔清洗消毒机、单腔清洗消毒机、大型清洗消毒机，</w:t>
      </w:r>
      <w:r>
        <w:rPr>
          <w:sz w:val="22"/>
        </w:rPr>
        <w:t>可以采购本国产品或不属于国家法律法规政策明确规定限制的进口产品。（注：进口产品是指通过中国海关报关验放进入中国境内且产自关境外的产品，含已进入中国境内并在国内市场有销售的进口产品）。</w:t>
      </w:r>
    </w:p>
    <w:p>
      <w:pPr>
        <w:ind w:firstLine="420"/>
        <w:jc w:val="left"/>
      </w:pPr>
      <w:r>
        <w:rPr>
          <w:sz w:val="22"/>
        </w:rPr>
        <w:t>11.招标文件中凡有“★”标识的内容条款为关键条款，投标供应商必须对此作出回答并完全满足这些要求不可以出现任何负偏离，对这些关键条款的任何负偏离将视为无效投标。加注“▲”的内容为重点评标项目，投标人必须对该标识项目按照要求进行真实应答描述。</w:t>
      </w:r>
    </w:p>
    <w:p>
      <w:pPr>
        <w:ind w:firstLine="420"/>
        <w:jc w:val="left"/>
      </w:pPr>
      <w:r>
        <w:rPr>
          <w:sz w:val="22"/>
        </w:rPr>
        <w:t>12.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
      <w:pPr>
        <w:ind w:firstLine="480"/>
      </w:pPr>
    </w:p>
    <w:p/>
    <w:p>
      <w:r>
        <w:rPr/>
        <w:t>采购包1（中山市人民医院消毒供应中心清洗消毒机采购项目（包组一））：</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签订合同后120天内完成安装调试。</w:t>
            </w:r>
          </w:p>
        </w:tc>
      </w:tr>
      <w:tr>
        <w:tc>
          <w:tcPr>
            <w:tcW w:type="dxa" w:w="4153"/>
          </w:tcPr>
          <w:p>
            <w:r>
              <w:rPr/>
              <w:t>标的提供的地点</w:t>
            </w:r>
          </w:p>
        </w:tc>
        <w:tc>
          <w:tcPr>
            <w:tcW w:type="dxa" w:w="4153"/>
          </w:tcPr>
          <w:p>
            <w:pPr>
              <w:jc w:val="left"/>
            </w:pPr>
          </w:p>
          <w:p>
            <w:r>
              <w:rPr/>
              <w:t>中山市人民医院使用科室。</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1期：支付比例100%，采购人验收合格收到发票后，30天内支付合同货款总额的100%。</w:t>
            </w:r>
          </w:p>
        </w:tc>
      </w:tr>
      <w:tr>
        <w:tc>
          <w:tcPr>
            <w:tcW w:type="dxa" w:w="4153"/>
          </w:tcPr>
          <w:p>
            <w:r>
              <w:rPr/>
              <w:t>验收要求</w:t>
            </w:r>
          </w:p>
        </w:tc>
        <w:tc>
          <w:tcPr>
            <w:tcW w:type="dxa" w:w="4153"/>
          </w:tcPr>
          <w:p>
            <w:pPr>
              <w:jc w:val="left"/>
            </w:pPr>
          </w:p>
          <w:p/>
          <w:p/>
          <w:p>
            <w:r>
              <w:rPr/>
              <w:t>1期：合同设备安装调试完成并移交所有资料文档后10个工作日内验收，验收应在双方共同参加下进行，验收标准按照国家有关标准。</w:t>
            </w:r>
          </w:p>
        </w:tc>
      </w:tr>
      <w:tr>
        <w:tc>
          <w:tcPr>
            <w:tcW w:type="dxa" w:w="4153"/>
          </w:tcPr>
          <w:p>
            <w:r>
              <w:rPr/>
              <w:t>履约保证金</w:t>
            </w:r>
          </w:p>
        </w:tc>
        <w:tc>
          <w:tcPr>
            <w:tcW w:type="dxa" w:w="4153"/>
          </w:tcPr>
          <w:p>
            <w:pPr>
              <w:jc w:val="left"/>
            </w:pPr>
          </w:p>
          <w:p/>
          <w:p/>
          <w:p/>
          <w:p>
            <w:r>
              <w:rPr/>
              <w:t>收取比例：5%,说明：合同金额大于10万元（含10万元）的，采购人在支付货款前需收到中标人合同总额5%的履约保证金或银行保函；质保期满，经考核合格，履约保证金不计利息一次性返还。</w:t>
            </w:r>
          </w:p>
        </w:tc>
      </w:tr>
      <w:tr>
        <w:tc>
          <w:tcPr>
            <w:tcW w:type="dxa" w:w="4153"/>
          </w:tcPr>
          <w:p>
            <w:r>
              <w:rPr/>
              <w:t>其他</w:t>
            </w:r>
          </w:p>
        </w:tc>
        <w:tc>
          <w:tcPr>
            <w:tcW w:type="dxa" w:w="4153"/>
          </w:tcPr>
          <w:p>
            <w:pPr>
              <w:jc w:val="left"/>
            </w:pPr>
          </w:p>
          <w:p/>
          <w:p>
            <w:r>
              <w:rPr/>
              <w:t>1.报价要求:报价以人民币报价。投标报价应包括硬件、软件对接服务费、技术培训费、安装调试费等杂费，含全额发票及合同实施过程中的应预见或不可预见费用等完成合同规定责任和义务、达到合同目的的一切费用及企业利润。</w:t>
            </w:r>
          </w:p>
          <w:p/>
          <w:p>
            <w:r>
              <w:rPr/>
              <w:t>2.质保期:2.1.设备安装调试验收合格之日起，整机保修3年；2.2.保修期内免费维修。设备发生故障时，中标人在接到采购人的故障通知后2小时内响应，4小时内答复，24小时内到达现场维修；2.3.保修期内厂家每年免费回访设备至少2次。</w:t>
            </w:r>
          </w:p>
          <w:p/>
          <w:p>
            <w:r>
              <w:rPr/>
              <w:t>3.技术服务承诺:3.1.提供技术资料，含使用说明书、图纸等；3.2.中标人须在广东省珠三角设有（或提供承诺函承诺中标后满足）售后服务点（提供维修的详细地址及工程师联系方式），负责设备的安装调试； 3.3.有操作、维护、维修培训计划，每个设备至少两名以上医务人员熟练掌握使用设备为止；3.4.保证供应设备的维修与配件；3.5.到货时，设备软、硬件为最新版本，验收前必须提供设备合格的性能检测报告。</w:t>
            </w:r>
          </w:p>
          <w:p/>
          <w:p>
            <w:r>
              <w:rPr/>
              <w:t>4.专用工具:中标人应提供一套维修所需的专用工具及其清单。（如有）</w:t>
            </w:r>
          </w:p>
          <w:p/>
          <w:p>
            <w:r>
              <w:rPr/>
              <w:t>5.其他:中标人列明报价设备的全套系统配置清单及单价。</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r>
              <w:rPr/>
              <w:t>△</w:t>
            </w:r>
          </w:p>
        </w:tc>
        <w:tc>
          <w:tcPr>
            <w:tcW w:type="dxa" w:w="1923"/>
          </w:tcPr>
          <w:p>
            <w:r>
              <w:rPr/>
              <w:t>消毒灭菌设备及器具</w:t>
            </w:r>
          </w:p>
        </w:tc>
        <w:tc>
          <w:tcPr>
            <w:tcW w:type="dxa" w:w="1923"/>
          </w:tcPr>
          <w:p>
            <w:r>
              <w:rPr/>
              <w:t>多腔清洗消毒机</w:t>
            </w:r>
          </w:p>
        </w:tc>
        <w:tc>
          <w:tcPr>
            <w:tcW w:type="dxa" w:w="385"/>
          </w:tcPr>
          <w:p>
            <w:r>
              <w:rPr/>
              <w:t>套</w:t>
            </w:r>
          </w:p>
        </w:tc>
        <w:tc>
          <w:tcPr>
            <w:tcW w:type="dxa" w:w="769"/>
          </w:tcPr>
          <w:p>
            <w:pPr>
              <w:jc w:val="right"/>
            </w:pPr>
            <w:r>
              <w:rPr/>
              <w:t>1.0000</w:t>
            </w:r>
          </w:p>
        </w:tc>
        <w:tc>
          <w:tcPr>
            <w:tcW w:type="dxa" w:w="769"/>
          </w:tcPr>
          <w:p>
            <w:pPr>
              <w:jc w:val="right"/>
            </w:pPr>
            <w:r>
              <w:rPr/>
              <w:t>3,050,000.00</w:t>
            </w:r>
          </w:p>
        </w:tc>
        <w:tc>
          <w:tcPr>
            <w:tcW w:type="dxa" w:w="769"/>
          </w:tcPr>
          <w:p>
            <w:pPr>
              <w:jc w:val="right"/>
            </w:pPr>
            <w:r>
              <w:rPr/>
              <w:t>3,050,000.00</w:t>
            </w:r>
          </w:p>
        </w:tc>
        <w:tc>
          <w:tcPr>
            <w:tcW w:type="dxa" w:w="769"/>
          </w:tcPr>
          <w:p>
            <w:r>
              <w:rPr/>
              <w:t>工业</w:t>
            </w:r>
          </w:p>
        </w:tc>
        <w:tc>
          <w:tcPr>
            <w:tcW w:type="dxa" w:w="385"/>
          </w:tcPr>
          <w:p>
            <w:r>
              <w:rPr/>
              <w:t>详见附表一</w:t>
            </w:r>
          </w:p>
        </w:tc>
      </w:tr>
      <w:tr>
        <w:tc>
          <w:tcPr>
            <w:tcW w:type="dxa" w:w="231"/>
          </w:tcPr>
          <w:p>
            <w:r>
              <w:rPr/>
              <w:t>2</w:t>
            </w:r>
          </w:p>
        </w:tc>
        <w:tc>
          <w:tcPr>
            <w:tcW w:type="dxa" w:w="385"/>
          </w:tcPr>
          <w:p/>
        </w:tc>
        <w:tc>
          <w:tcPr>
            <w:tcW w:type="dxa" w:w="1923"/>
          </w:tcPr>
          <w:p>
            <w:r>
              <w:rPr/>
              <w:t>消毒灭菌设备及器具</w:t>
            </w:r>
          </w:p>
        </w:tc>
        <w:tc>
          <w:tcPr>
            <w:tcW w:type="dxa" w:w="1923"/>
          </w:tcPr>
          <w:p>
            <w:r>
              <w:rPr/>
              <w:t>单腔清洗消毒机</w:t>
            </w:r>
          </w:p>
        </w:tc>
        <w:tc>
          <w:tcPr>
            <w:tcW w:type="dxa" w:w="385"/>
          </w:tcPr>
          <w:p>
            <w:r>
              <w:rPr/>
              <w:t>套</w:t>
            </w:r>
          </w:p>
        </w:tc>
        <w:tc>
          <w:tcPr>
            <w:tcW w:type="dxa" w:w="769"/>
          </w:tcPr>
          <w:p>
            <w:pPr>
              <w:jc w:val="right"/>
            </w:pPr>
            <w:r>
              <w:rPr/>
              <w:t>1.0000</w:t>
            </w:r>
          </w:p>
        </w:tc>
        <w:tc>
          <w:tcPr>
            <w:tcW w:type="dxa" w:w="769"/>
          </w:tcPr>
          <w:p>
            <w:pPr>
              <w:jc w:val="right"/>
            </w:pPr>
            <w:r>
              <w:rPr/>
              <w:t>800,000.00</w:t>
            </w:r>
          </w:p>
        </w:tc>
        <w:tc>
          <w:tcPr>
            <w:tcW w:type="dxa" w:w="769"/>
          </w:tcPr>
          <w:p>
            <w:pPr>
              <w:jc w:val="right"/>
            </w:pPr>
            <w:r>
              <w:rPr/>
              <w:t>800,000.00</w:t>
            </w:r>
          </w:p>
        </w:tc>
        <w:tc>
          <w:tcPr>
            <w:tcW w:type="dxa" w:w="769"/>
          </w:tcPr>
          <w:p>
            <w:r>
              <w:rPr/>
              <w:t>工业</w:t>
            </w:r>
          </w:p>
        </w:tc>
        <w:tc>
          <w:tcPr>
            <w:tcW w:type="dxa" w:w="385"/>
          </w:tcPr>
          <w:p>
            <w:r>
              <w:rPr/>
              <w:t>详见附表二</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多腔清洗消毒机</w:t>
      </w:r>
      <w:r>
        <w:rPr>
          <w:b/>
          <w:sz w:val="24"/>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left"/>
            </w:pPr>
            <w:r>
              <w:rPr>
                <w:sz w:val="21"/>
              </w:rPr>
              <w:t>1.适用范围：可对手术器械、器皿等物品进行清洗、消毒、超声及干燥处理。</w:t>
            </w:r>
          </w:p>
          <w:p>
            <w:pPr>
              <w:jc w:val="left"/>
            </w:pPr>
            <w:r>
              <w:rPr>
                <w:sz w:val="21"/>
              </w:rPr>
              <w:t>2.设备构造：四腔串联设计，分别为装载台、清洗腔、超声腔、漂洗腔、干燥腔、卸载台。</w:t>
            </w:r>
          </w:p>
          <w:p>
            <w:pPr>
              <w:jc w:val="left"/>
            </w:pPr>
            <w:r>
              <w:rPr>
                <w:sz w:val="21"/>
              </w:rPr>
              <w:t>3.材质：清洗腔、漂洗腔、干燥腔腔体由316L不锈钢制成，氩弧焊接，可防止清洗剂对其产生腐蚀，所有水平面均做了斜坡处理。超声腔由316L不锈钢制成。</w:t>
            </w:r>
          </w:p>
          <w:p>
            <w:pPr>
              <w:jc w:val="left"/>
            </w:pPr>
            <w:r>
              <w:rPr>
                <w:sz w:val="21"/>
              </w:rPr>
              <w:t>4.腔体运作方式：腔体门单独开关，而非三个门同开同关。每个腔体独立运行，当干燥腔体工作完成，清洗架可直接输送到卸载台，无需等待漂洗腔体工作完成后再打开漂洗腔体出口与干燥腔体两侧的门，从而提高工作效率。</w:t>
            </w:r>
          </w:p>
          <w:p>
            <w:pPr>
              <w:jc w:val="left"/>
            </w:pPr>
            <w:r>
              <w:rPr>
                <w:sz w:val="21"/>
              </w:rPr>
              <w:t>5.观察窗：装载侧与卸载侧均为大尺寸双层钢化玻璃观察窗。</w:t>
            </w:r>
          </w:p>
          <w:p>
            <w:pPr>
              <w:jc w:val="left"/>
            </w:pPr>
            <w:r>
              <w:rPr>
                <w:sz w:val="21"/>
              </w:rPr>
              <w:t>▲6.外形尺寸 (宽×深mm)：总宽度≤1250mm，包含自动装、卸载台深度≤5550mm。</w:t>
            </w:r>
          </w:p>
          <w:p>
            <w:pPr>
              <w:jc w:val="left"/>
            </w:pPr>
            <w:r>
              <w:rPr>
                <w:sz w:val="21"/>
              </w:rPr>
              <w:t>▲7.每个腔内尺寸(宽x深mm)：宽度≥730mm，深度≥680mm，且宽度与深度相差不大于50mm，以便喷淋臂旋转时，不存在清洗死角。</w:t>
            </w:r>
          </w:p>
          <w:p>
            <w:pPr>
              <w:jc w:val="left"/>
            </w:pPr>
            <w:r>
              <w:rPr>
                <w:sz w:val="21"/>
              </w:rPr>
              <w:t>8.腔体密封圈：配置密封圈，防止水与水汽外泄。</w:t>
            </w:r>
          </w:p>
          <w:p>
            <w:pPr>
              <w:jc w:val="left"/>
            </w:pPr>
            <w:r>
              <w:rPr>
                <w:sz w:val="21"/>
              </w:rPr>
              <w:t>▲9.传送方式：腔体及装、卸载台均为滚轴驱动系统，无接缝，非滚轮式设计。</w:t>
            </w:r>
          </w:p>
          <w:p>
            <w:pPr>
              <w:jc w:val="left"/>
            </w:pPr>
            <w:r>
              <w:rPr>
                <w:sz w:val="21"/>
              </w:rPr>
              <w:t>10.加热方式：蒸汽加热、电加热可选。</w:t>
            </w:r>
          </w:p>
          <w:p>
            <w:pPr>
              <w:jc w:val="left"/>
            </w:pPr>
            <w:r>
              <w:rPr>
                <w:sz w:val="21"/>
              </w:rPr>
              <w:t>11.控制总线：PC控制总线，提供三种模式：监督模式、服务模式、循环模式，每个程序均设计有超限保护，如果设置的值超过范围，则提示，直到输入正确的值为止。</w:t>
            </w:r>
          </w:p>
          <w:p>
            <w:pPr>
              <w:jc w:val="left"/>
            </w:pPr>
            <w:r>
              <w:rPr>
                <w:sz w:val="21"/>
              </w:rPr>
              <w:t>12.控制终端：控制侧≥12.1” 触屏HMI彩色面板，界面友好，显示清晰直观。</w:t>
            </w:r>
          </w:p>
          <w:p>
            <w:pPr>
              <w:jc w:val="left"/>
            </w:pPr>
            <w:r>
              <w:rPr>
                <w:sz w:val="21"/>
              </w:rPr>
              <w:t>13.显示方式：操作界面可显示每个腔内的清洗腔、超声腔、漂洗腔、干燥腔体工作状态、温度和持续时间，并可显示任何不正常的情况与报警。</w:t>
            </w:r>
          </w:p>
          <w:p>
            <w:pPr>
              <w:jc w:val="left"/>
            </w:pPr>
            <w:r>
              <w:rPr>
                <w:sz w:val="21"/>
              </w:rPr>
              <w:t>14.工作状态判断：用背景色块辨别各个阶段。</w:t>
            </w:r>
          </w:p>
          <w:p>
            <w:pPr>
              <w:jc w:val="left"/>
            </w:pPr>
            <w:r>
              <w:rPr>
                <w:sz w:val="21"/>
              </w:rPr>
              <w:t>15.循环剩余时间显示：采用阿拉伯数字的倒计时与条形爬行填充方式直观显示循环剩余时间，时间精准到秒。</w:t>
            </w:r>
          </w:p>
          <w:p>
            <w:pPr>
              <w:jc w:val="left"/>
            </w:pPr>
            <w:r>
              <w:rPr>
                <w:sz w:val="21"/>
              </w:rPr>
              <w:t>16.清洗时间：第一个清洗架清洗、超声、上油、干燥的完成时间35分钟，以后每个清洗架8-12分钟完成。</w:t>
            </w:r>
          </w:p>
          <w:p>
            <w:pPr>
              <w:jc w:val="left"/>
            </w:pPr>
            <w:r>
              <w:rPr>
                <w:sz w:val="21"/>
              </w:rPr>
              <w:t>17.自动化控制方式：配备自动化装卸载系统，具有自动选择程序功能，全工作过程无需人员手工操作，自动完成程序及装卸载。</w:t>
            </w:r>
          </w:p>
          <w:p>
            <w:pPr>
              <w:jc w:val="left"/>
            </w:pPr>
            <w:r>
              <w:rPr>
                <w:sz w:val="21"/>
              </w:rPr>
              <w:t>18.配电盒：所有腔体带有单独配电盒，方便各腔体独立运行、维修。</w:t>
            </w:r>
          </w:p>
          <w:p>
            <w:pPr>
              <w:jc w:val="left"/>
            </w:pPr>
            <w:r>
              <w:rPr>
                <w:sz w:val="21"/>
              </w:rPr>
              <w:t>19.扫描系统：装载端配有红外条码扫描装置可针对清洗架进行独立扫描、归类、入档及清洗程序自动选择，避免感应芯片的读取故障。</w:t>
            </w:r>
          </w:p>
          <w:p>
            <w:pPr>
              <w:jc w:val="left"/>
            </w:pPr>
            <w:r>
              <w:rPr>
                <w:sz w:val="21"/>
              </w:rPr>
              <w:t>20.独立腔体过滤网：所有腔体带有独立排水过滤网，方便拆卸进行清洗维修。</w:t>
            </w:r>
          </w:p>
          <w:p>
            <w:pPr>
              <w:jc w:val="left"/>
            </w:pPr>
            <w:r>
              <w:rPr>
                <w:sz w:val="21"/>
              </w:rPr>
              <w:t>21.腔体结构：腔体采用双胆式或双层结构，避免腔内温度流失，减少工作噪音。</w:t>
            </w:r>
          </w:p>
          <w:p>
            <w:pPr>
              <w:jc w:val="left"/>
            </w:pPr>
            <w:r>
              <w:rPr>
                <w:sz w:val="21"/>
              </w:rPr>
              <w:t>22.感染管控功能：机器工作过程中出现故障或者物品未完成消毒，可将未消毒物品反方向送回污染区，防止污染物品进入清洗区域，真正实现污染区和清洗区的隔离。</w:t>
            </w:r>
          </w:p>
          <w:p>
            <w:pPr>
              <w:jc w:val="left"/>
            </w:pPr>
            <w:r>
              <w:rPr>
                <w:sz w:val="21"/>
              </w:rPr>
              <w:t>23.工作流程：预清洗、清洗（加酶）、超声、漂洗（上油）、干燥，以上功能流水线一次完成。</w:t>
            </w:r>
          </w:p>
          <w:p>
            <w:pPr>
              <w:jc w:val="left"/>
            </w:pPr>
            <w:r>
              <w:rPr>
                <w:sz w:val="21"/>
              </w:rPr>
              <w:t>24.清洗、烘干温度和时间可由用户设定≥6个预设周期和≥13个自编程序。</w:t>
            </w:r>
          </w:p>
          <w:p>
            <w:pPr>
              <w:jc w:val="left"/>
            </w:pPr>
            <w:r>
              <w:rPr>
                <w:sz w:val="21"/>
              </w:rPr>
              <w:t>25.循环泵：不锈钢材质，由双速电动机驱动，配有防滴架、磁启动器、超载保护装置及密封的轴承，不需定期润滑。</w:t>
            </w:r>
          </w:p>
          <w:p>
            <w:pPr>
              <w:jc w:val="left"/>
            </w:pPr>
            <w:r>
              <w:rPr>
                <w:sz w:val="21"/>
              </w:rPr>
              <w:t>26.清洗碗、盆类时循环泵输出功率≤1.5kw。</w:t>
            </w:r>
          </w:p>
          <w:p>
            <w:pPr>
              <w:jc w:val="left"/>
            </w:pPr>
            <w:r>
              <w:rPr>
                <w:sz w:val="21"/>
              </w:rPr>
              <w:t>▲27.清洗手术器械时循环泵输出功率≥5kw，流量≥910L/min。</w:t>
            </w:r>
          </w:p>
          <w:p>
            <w:pPr>
              <w:jc w:val="left"/>
            </w:pPr>
            <w:r>
              <w:rPr>
                <w:sz w:val="21"/>
              </w:rPr>
              <w:t>28.喷淋臂：喷淋臂≥62cm，圆柱形360度出水，喷淋臂末端向外45度角喷水，形成扇面，腔体及清洗架的水平面须为正方形，确保清洗架与喷淋臂匹配，才能全覆盖。</w:t>
            </w:r>
          </w:p>
          <w:p>
            <w:pPr>
              <w:jc w:val="left"/>
            </w:pPr>
            <w:r>
              <w:rPr>
                <w:sz w:val="21"/>
              </w:rPr>
              <w:t>29.超声源为两个独立超声发生器，每个超声发生器有3处超声源。</w:t>
            </w:r>
          </w:p>
          <w:p>
            <w:pPr>
              <w:jc w:val="left"/>
            </w:pPr>
            <w:r>
              <w:rPr>
                <w:sz w:val="21"/>
              </w:rPr>
              <w:t>▲30.超声腔工作方式：可完全浸没550mm以上高度的5层清洗架、同时超声腔顶部需配置一个旋转喷淋臂。</w:t>
            </w:r>
          </w:p>
          <w:p>
            <w:pPr>
              <w:jc w:val="left"/>
            </w:pPr>
            <w:r>
              <w:rPr>
                <w:sz w:val="21"/>
              </w:rPr>
              <w:t>31.超声腔除气：超声腔带有自动除气功能，除气时间可选。</w:t>
            </w:r>
          </w:p>
          <w:p>
            <w:pPr>
              <w:jc w:val="left"/>
            </w:pPr>
            <w:r>
              <w:rPr>
                <w:sz w:val="21"/>
              </w:rPr>
              <w:t>32.高精密耗材注入泵：可选配高精密耗材注入泵，达到 0.2ml/L精度。</w:t>
            </w:r>
          </w:p>
          <w:p>
            <w:pPr>
              <w:jc w:val="left"/>
            </w:pPr>
            <w:r>
              <w:rPr>
                <w:sz w:val="21"/>
              </w:rPr>
              <w:t>33.注液泵≥7个。分别为清洗腔≥4个、超声腔≥2个、漂洗腔≥3个。</w:t>
            </w:r>
          </w:p>
          <w:p>
            <w:pPr>
              <w:jc w:val="left"/>
            </w:pPr>
            <w:r>
              <w:rPr>
                <w:sz w:val="21"/>
              </w:rPr>
              <w:t>34.污水排放冷却功能：污水排放温度≤60°C。</w:t>
            </w:r>
          </w:p>
          <w:p>
            <w:pPr>
              <w:jc w:val="left"/>
            </w:pPr>
            <w:r>
              <w:rPr>
                <w:sz w:val="21"/>
              </w:rPr>
              <w:t>35.信息接口预留：操作区域有USB接口，方便数据下载，USB接口位于装载端操作面板上，配有局域网网线接口。</w:t>
            </w:r>
          </w:p>
          <w:p>
            <w:pPr>
              <w:jc w:val="left"/>
            </w:pPr>
            <w:r>
              <w:rPr>
                <w:sz w:val="21"/>
              </w:rPr>
              <w:t>36.开门方式：每个腔体均有全电动垂直滑门，开门须自下而上。</w:t>
            </w:r>
          </w:p>
          <w:p>
            <w:pPr>
              <w:jc w:val="left"/>
            </w:pPr>
            <w:r>
              <w:rPr>
                <w:sz w:val="21"/>
              </w:rPr>
              <w:t>37.安全参数：故障报警、自动故障诊断系统、门未关好不能启动程序、清洗消毒失误时清洁区侧门不能打开、双门互锁 （不能同时打开）。</w:t>
            </w:r>
          </w:p>
          <w:p>
            <w:pPr>
              <w:jc w:val="left"/>
            </w:pPr>
            <w:r>
              <w:rPr>
                <w:sz w:val="21"/>
              </w:rPr>
              <w:t>▲38.进水方式：清洗腔侧壁进水，使得循环系统内部湍流最小化，从而最小化了水流在管路中遇到的阻力，实现腔体内的水流更大且更为平稳均匀，从而获得更好的清洗效果。</w:t>
            </w:r>
          </w:p>
          <w:p>
            <w:pPr>
              <w:jc w:val="left"/>
            </w:pPr>
            <w:r>
              <w:rPr>
                <w:sz w:val="21"/>
              </w:rPr>
              <w:t>39.干燥方式：配备HEPA高效过滤器，空气可在层架和腔体中循环，一部分排出室外，热空气同时进入层架和喷淋臂中。</w:t>
            </w:r>
          </w:p>
          <w:p>
            <w:pPr>
              <w:jc w:val="left"/>
            </w:pPr>
            <w:r>
              <w:rPr>
                <w:sz w:val="21"/>
              </w:rPr>
              <w:t>40.顶部集成连接：所有通风、蒸汽、电和水均集成于机器顶部，管道、阀门和电器部件、连接线均可从维护面板到达。</w:t>
            </w:r>
          </w:p>
          <w:p>
            <w:pPr>
              <w:jc w:val="left"/>
            </w:pPr>
            <w:r>
              <w:rPr>
                <w:sz w:val="21"/>
              </w:rPr>
              <w:t>41.安全切断性能：具备安全切断性能，门必须完全关闭循环才能开始，如果门在循环运行时打开，所有通往清洗腔的供应被切断，循环停止。</w:t>
            </w:r>
          </w:p>
          <w:p>
            <w:pPr>
              <w:jc w:val="left"/>
            </w:pPr>
            <w:r>
              <w:rPr>
                <w:sz w:val="21"/>
              </w:rPr>
              <w:t>42.配置清单</w:t>
            </w:r>
          </w:p>
          <w:p>
            <w:pPr>
              <w:ind w:firstLine="210"/>
              <w:jc w:val="left"/>
            </w:pPr>
            <w:r>
              <w:rPr>
                <w:sz w:val="21"/>
              </w:rPr>
              <w:t>42.1.</w:t>
            </w:r>
            <w:r>
              <w:rPr>
                <w:sz w:val="21"/>
              </w:rPr>
              <w:t>主机</w:t>
            </w:r>
            <w:r>
              <w:rPr>
                <w:sz w:val="21"/>
              </w:rPr>
              <w:t>1台（含自动装载传输台1套、自动卸载传输台1套）</w:t>
            </w:r>
            <w:r>
              <w:rPr>
                <w:sz w:val="21"/>
              </w:rPr>
              <w:t>；</w:t>
            </w:r>
          </w:p>
          <w:p>
            <w:pPr>
              <w:ind w:firstLine="210"/>
              <w:jc w:val="left"/>
            </w:pPr>
            <w:r>
              <w:rPr>
                <w:sz w:val="21"/>
              </w:rPr>
              <w:t>42.2.</w:t>
            </w:r>
            <w:r>
              <w:rPr>
                <w:sz w:val="21"/>
              </w:rPr>
              <w:t>装卸载推车</w:t>
            </w:r>
            <w:r>
              <w:rPr>
                <w:sz w:val="21"/>
              </w:rPr>
              <w:t>4台</w:t>
            </w:r>
            <w:r>
              <w:rPr>
                <w:sz w:val="21"/>
              </w:rPr>
              <w:t>；</w:t>
            </w:r>
          </w:p>
          <w:p>
            <w:pPr>
              <w:ind w:firstLine="210"/>
              <w:jc w:val="left"/>
            </w:pPr>
            <w:r>
              <w:rPr>
                <w:sz w:val="21"/>
              </w:rPr>
              <w:t>42.</w:t>
            </w:r>
            <w:r>
              <w:rPr>
                <w:sz w:val="21"/>
              </w:rPr>
              <w:t>3</w:t>
            </w:r>
            <w:r>
              <w:rPr>
                <w:sz w:val="21"/>
              </w:rPr>
              <w:t>.</w:t>
            </w:r>
            <w:r>
              <w:rPr>
                <w:sz w:val="21"/>
              </w:rPr>
              <w:t>五层多功能基础清洗架</w:t>
            </w:r>
            <w:r>
              <w:rPr>
                <w:sz w:val="21"/>
              </w:rPr>
              <w:t>4个</w:t>
            </w:r>
            <w:r>
              <w:rPr>
                <w:sz w:val="21"/>
              </w:rPr>
              <w:t>；</w:t>
            </w:r>
          </w:p>
          <w:p>
            <w:pPr>
              <w:ind w:firstLine="210"/>
              <w:jc w:val="left"/>
            </w:pPr>
            <w:r>
              <w:rPr>
                <w:sz w:val="21"/>
              </w:rPr>
              <w:t>42.</w:t>
            </w:r>
            <w:r>
              <w:rPr>
                <w:sz w:val="21"/>
              </w:rPr>
              <w:t>4</w:t>
            </w:r>
            <w:r>
              <w:rPr>
                <w:sz w:val="21"/>
              </w:rPr>
              <w:t>.</w:t>
            </w:r>
            <w:r>
              <w:rPr>
                <w:sz w:val="21"/>
              </w:rPr>
              <w:t>二层架</w:t>
            </w:r>
            <w:r>
              <w:rPr>
                <w:sz w:val="21"/>
              </w:rPr>
              <w:t>1个</w:t>
            </w:r>
            <w:r>
              <w:rPr>
                <w:sz w:val="21"/>
              </w:rPr>
              <w:t>；</w:t>
            </w:r>
          </w:p>
          <w:p>
            <w:pPr>
              <w:ind w:firstLine="210"/>
              <w:jc w:val="left"/>
            </w:pPr>
            <w:r>
              <w:rPr>
                <w:sz w:val="21"/>
              </w:rPr>
              <w:t>42.</w:t>
            </w:r>
            <w:r>
              <w:rPr>
                <w:sz w:val="21"/>
              </w:rPr>
              <w:t>5</w:t>
            </w:r>
            <w:r>
              <w:rPr>
                <w:sz w:val="21"/>
              </w:rPr>
              <w:t>.</w:t>
            </w:r>
            <w:r>
              <w:rPr>
                <w:sz w:val="21"/>
              </w:rPr>
              <w:t>四层架</w:t>
            </w:r>
            <w:r>
              <w:rPr>
                <w:sz w:val="21"/>
              </w:rPr>
              <w:t>1个</w:t>
            </w:r>
            <w:r>
              <w:rPr>
                <w:sz w:val="21"/>
              </w:rPr>
              <w:t>；</w:t>
            </w:r>
          </w:p>
          <w:p>
            <w:pPr>
              <w:ind w:firstLine="210"/>
              <w:jc w:val="left"/>
            </w:pPr>
            <w:r>
              <w:rPr>
                <w:sz w:val="21"/>
              </w:rPr>
              <w:t>42.</w:t>
            </w:r>
            <w:r>
              <w:rPr>
                <w:sz w:val="21"/>
              </w:rPr>
              <w:t>6</w:t>
            </w:r>
            <w:r>
              <w:rPr>
                <w:sz w:val="21"/>
              </w:rPr>
              <w:t>.</w:t>
            </w:r>
            <w:r>
              <w:rPr>
                <w:sz w:val="21"/>
              </w:rPr>
              <w:t>硬式内镜器械架</w:t>
            </w:r>
            <w:r>
              <w:rPr>
                <w:sz w:val="21"/>
              </w:rPr>
              <w:t>1个</w:t>
            </w:r>
            <w:r>
              <w:rPr>
                <w:sz w:val="21"/>
              </w:rPr>
              <w:t>；</w:t>
            </w:r>
          </w:p>
          <w:p>
            <w:pPr>
              <w:ind w:firstLine="210"/>
              <w:jc w:val="left"/>
            </w:pPr>
            <w:r>
              <w:rPr>
                <w:sz w:val="21"/>
              </w:rPr>
              <w:t>42.</w:t>
            </w:r>
            <w:r>
              <w:rPr>
                <w:sz w:val="21"/>
              </w:rPr>
              <w:t>7</w:t>
            </w:r>
            <w:r>
              <w:rPr>
                <w:sz w:val="21"/>
              </w:rPr>
              <w:t>.</w:t>
            </w:r>
            <w:r>
              <w:rPr>
                <w:sz w:val="21"/>
              </w:rPr>
              <w:t>碗盆架</w:t>
            </w:r>
            <w:r>
              <w:rPr>
                <w:sz w:val="21"/>
              </w:rPr>
              <w:t>1个</w:t>
            </w:r>
            <w:r>
              <w:rPr>
                <w:sz w:val="21"/>
              </w:rPr>
              <w:t>；</w:t>
            </w:r>
          </w:p>
          <w:p>
            <w:pPr>
              <w:ind w:firstLine="210"/>
              <w:jc w:val="left"/>
            </w:pPr>
            <w:r>
              <w:rPr>
                <w:sz w:val="21"/>
              </w:rPr>
              <w:t>42.</w:t>
            </w:r>
            <w:r>
              <w:rPr>
                <w:sz w:val="21"/>
              </w:rPr>
              <w:t>8</w:t>
            </w:r>
            <w:r>
              <w:rPr>
                <w:sz w:val="21"/>
              </w:rPr>
              <w:t>.</w:t>
            </w:r>
            <w:r>
              <w:rPr>
                <w:sz w:val="21"/>
              </w:rPr>
              <w:t>呼吸球囊清洗奶瓶清洗架</w:t>
            </w:r>
            <w:r>
              <w:rPr>
                <w:sz w:val="21"/>
              </w:rPr>
              <w:t>1个</w:t>
            </w:r>
            <w:r>
              <w:rPr>
                <w:sz w:val="21"/>
              </w:rPr>
              <w:t>；</w:t>
            </w:r>
          </w:p>
          <w:p>
            <w:pPr>
              <w:ind w:firstLine="210"/>
              <w:jc w:val="left"/>
            </w:pPr>
            <w:r>
              <w:rPr>
                <w:sz w:val="21"/>
              </w:rPr>
              <w:t>42.</w:t>
            </w:r>
            <w:r>
              <w:rPr>
                <w:sz w:val="21"/>
              </w:rPr>
              <w:t>9</w:t>
            </w:r>
            <w:r>
              <w:rPr>
                <w:sz w:val="21"/>
              </w:rPr>
              <w:t>.</w:t>
            </w:r>
            <w:r>
              <w:rPr>
                <w:sz w:val="21"/>
              </w:rPr>
              <w:t>大号器械盘</w:t>
            </w:r>
            <w:r>
              <w:rPr>
                <w:sz w:val="21"/>
              </w:rPr>
              <w:t>30个</w:t>
            </w:r>
            <w:r>
              <w:rPr>
                <w:sz w:val="21"/>
              </w:rPr>
              <w:t>；</w:t>
            </w:r>
          </w:p>
          <w:p>
            <w:pPr>
              <w:ind w:firstLine="210"/>
              <w:jc w:val="left"/>
            </w:pPr>
            <w:r>
              <w:rPr>
                <w:sz w:val="21"/>
              </w:rPr>
              <w:t>42.</w:t>
            </w:r>
            <w:r>
              <w:rPr>
                <w:sz w:val="21"/>
              </w:rPr>
              <w:t>10</w:t>
            </w:r>
            <w:r>
              <w:rPr>
                <w:sz w:val="21"/>
              </w:rPr>
              <w:t>.</w:t>
            </w:r>
            <w:r>
              <w:rPr>
                <w:sz w:val="21"/>
              </w:rPr>
              <w:t>中号器械盘</w:t>
            </w:r>
            <w:r>
              <w:rPr>
                <w:sz w:val="21"/>
              </w:rPr>
              <w:t>50个</w:t>
            </w:r>
            <w:r>
              <w:rPr>
                <w:sz w:val="21"/>
              </w:rPr>
              <w:t>；</w:t>
            </w:r>
          </w:p>
          <w:p>
            <w:pPr>
              <w:ind w:firstLine="210"/>
              <w:jc w:val="left"/>
            </w:pPr>
            <w:r>
              <w:rPr>
                <w:sz w:val="21"/>
              </w:rPr>
              <w:t>42.</w:t>
            </w:r>
            <w:r>
              <w:rPr>
                <w:sz w:val="21"/>
              </w:rPr>
              <w:t>11</w:t>
            </w:r>
            <w:r>
              <w:rPr>
                <w:sz w:val="21"/>
              </w:rPr>
              <w:t>.</w:t>
            </w:r>
            <w:r>
              <w:rPr>
                <w:sz w:val="21"/>
              </w:rPr>
              <w:t>带盖器械盘</w:t>
            </w:r>
            <w:r>
              <w:rPr>
                <w:sz w:val="21"/>
              </w:rPr>
              <w:t>20个</w:t>
            </w:r>
            <w:r>
              <w:rPr>
                <w:sz w:val="21"/>
              </w:rPr>
              <w:t>；</w:t>
            </w:r>
          </w:p>
          <w:p>
            <w:pPr>
              <w:ind w:firstLine="210"/>
              <w:jc w:val="left"/>
            </w:pPr>
            <w:r>
              <w:rPr>
                <w:sz w:val="21"/>
              </w:rPr>
              <w:t>42.</w:t>
            </w:r>
            <w:r>
              <w:rPr>
                <w:sz w:val="21"/>
              </w:rPr>
              <w:t>12</w:t>
            </w:r>
            <w:r>
              <w:rPr>
                <w:sz w:val="21"/>
              </w:rPr>
              <w:t>.条形码阅读包</w:t>
            </w:r>
            <w:r>
              <w:rPr>
                <w:sz w:val="21"/>
              </w:rPr>
              <w:t>20个</w:t>
            </w:r>
            <w:r>
              <w:rPr>
                <w:sz w:val="21"/>
              </w:rPr>
              <w:t>；</w:t>
            </w:r>
          </w:p>
          <w:p>
            <w:pPr>
              <w:ind w:firstLine="210"/>
              <w:jc w:val="left"/>
            </w:pPr>
            <w:r>
              <w:rPr>
                <w:sz w:val="21"/>
              </w:rPr>
              <w:t>42.</w:t>
            </w:r>
            <w:r>
              <w:rPr>
                <w:sz w:val="21"/>
              </w:rPr>
              <w:t>13</w:t>
            </w:r>
            <w:r>
              <w:rPr>
                <w:sz w:val="21"/>
              </w:rPr>
              <w:t>.医用</w:t>
            </w:r>
            <w:r>
              <w:rPr>
                <w:sz w:val="21"/>
              </w:rPr>
              <w:t>打印机</w:t>
            </w:r>
            <w:r>
              <w:rPr>
                <w:sz w:val="21"/>
              </w:rPr>
              <w:t>1套</w:t>
            </w:r>
            <w:r>
              <w:rPr>
                <w:sz w:val="21"/>
              </w:rPr>
              <w:t>；</w:t>
            </w:r>
          </w:p>
          <w:p>
            <w:pPr>
              <w:jc w:val="both"/>
            </w:pPr>
            <w:r>
              <w:rPr>
                <w:sz w:val="21"/>
              </w:rPr>
              <w:t xml:space="preserve">  42.</w:t>
            </w:r>
            <w:r>
              <w:rPr>
                <w:sz w:val="21"/>
              </w:rPr>
              <w:t>14</w:t>
            </w:r>
            <w:r>
              <w:rPr>
                <w:sz w:val="21"/>
              </w:rPr>
              <w:t>.</w:t>
            </w:r>
            <w:r>
              <w:rPr>
                <w:sz w:val="21"/>
              </w:rPr>
              <w:t>数据联网板</w:t>
            </w:r>
            <w:r>
              <w:rPr>
                <w:sz w:val="21"/>
              </w:rPr>
              <w:t>1套</w:t>
            </w:r>
            <w:r>
              <w:rPr>
                <w:sz w:val="21"/>
              </w:rPr>
              <w:t>。</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二</w:t>
      </w:r>
      <w:r>
        <w:rPr>
          <w:b/>
          <w:sz w:val="24"/>
        </w:rPr>
        <w:t>：</w:t>
      </w:r>
      <w:r>
        <w:rPr>
          <w:b/>
          <w:sz w:val="24"/>
        </w:rPr>
        <w:t>单腔清洗消毒机</w:t>
      </w:r>
      <w:r>
        <w:rPr>
          <w:b/>
          <w:sz w:val="24"/>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1"/>
              </w:rPr>
              <w:t>投标人所投设备如属于医疗器械设备，需提供医疗器械注册证或备案证明（提供证明材料复印件加盖公章），所投设备必须是在医疗器械注册证或备案证明</w:t>
            </w:r>
            <w:r>
              <w:rPr>
                <w:sz w:val="21"/>
              </w:rPr>
              <w:t>有效期</w:t>
            </w:r>
            <w:r>
              <w:rPr>
                <w:sz w:val="21"/>
              </w:rPr>
              <w:t>内生产的产品。不属于医疗器械设备无须提供。</w:t>
            </w:r>
          </w:p>
        </w:tc>
      </w:tr>
      <w:tr>
        <w:tc>
          <w:tcPr>
            <w:tcW w:type="dxa" w:w="2076"/>
          </w:tcPr>
          <w:p/>
        </w:tc>
        <w:tc>
          <w:tcPr>
            <w:tcW w:type="dxa" w:w="415"/>
          </w:tcPr>
          <w:p>
            <w:r>
              <w:rPr/>
              <w:t>2</w:t>
            </w:r>
          </w:p>
        </w:tc>
        <w:tc>
          <w:tcPr>
            <w:tcW w:type="dxa" w:w="5814"/>
          </w:tcPr>
          <w:p>
            <w:pPr>
              <w:jc w:val="both"/>
            </w:pPr>
            <w:r>
              <w:rPr>
                <w:sz w:val="21"/>
              </w:rPr>
              <w:t>1.提供设备外型尺寸及重量</w:t>
            </w:r>
            <w:r>
              <w:rPr>
                <w:b/>
                <w:sz w:val="21"/>
              </w:rPr>
              <w:t>（提供图纸及数据）</w:t>
            </w:r>
            <w:r>
              <w:rPr>
                <w:sz w:val="21"/>
              </w:rPr>
              <w:t>及产地。</w:t>
            </w:r>
          </w:p>
          <w:p>
            <w:pPr>
              <w:jc w:val="both"/>
            </w:pPr>
            <w:r>
              <w:rPr>
                <w:sz w:val="21"/>
              </w:rPr>
              <w:t>2.用途：该产品适用于对手术器械、麻醉呼吸管道、换药碗等进行清洗、消毒、上油及干燥处理。</w:t>
            </w:r>
          </w:p>
          <w:p>
            <w:pPr>
              <w:jc w:val="both"/>
            </w:pPr>
            <w:r>
              <w:rPr>
                <w:sz w:val="21"/>
              </w:rPr>
              <w:t>3.观察窗：装卸双门提供大尺寸钢化玻璃观察窗。</w:t>
            </w:r>
          </w:p>
          <w:p>
            <w:pPr>
              <w:jc w:val="both"/>
            </w:pPr>
            <w:r>
              <w:rPr>
                <w:sz w:val="21"/>
              </w:rPr>
              <w:t>4.外形尺寸 (宽×高×深mm)：≤1110x1960x990。</w:t>
            </w:r>
          </w:p>
          <w:p>
            <w:pPr>
              <w:jc w:val="both"/>
            </w:pPr>
            <w:r>
              <w:rPr>
                <w:sz w:val="21"/>
              </w:rPr>
              <w:t>▲5.舱门：全电动升降双门，整体双层防暴玻璃门，门是自上往下滑动关闭，具备互锁及防夹功能，有效保证清洁区与污染区分开，装载高度：距地≤800mm。</w:t>
            </w:r>
          </w:p>
          <w:p>
            <w:pPr>
              <w:jc w:val="both"/>
            </w:pPr>
            <w:r>
              <w:rPr>
                <w:sz w:val="21"/>
              </w:rPr>
              <w:t>6.腔体容积≥480升/台。</w:t>
            </w:r>
          </w:p>
          <w:p>
            <w:pPr>
              <w:jc w:val="both"/>
            </w:pPr>
            <w:r>
              <w:rPr>
                <w:sz w:val="21"/>
              </w:rPr>
              <w:t>7.装载量：一次循环可清洗的器械量，标准DIN器械篮筐数量：≥18个，清洗架容积≥350升/台。</w:t>
            </w:r>
          </w:p>
          <w:p>
            <w:pPr>
              <w:jc w:val="both"/>
            </w:pPr>
            <w:r>
              <w:rPr>
                <w:sz w:val="21"/>
              </w:rPr>
              <w:t>8.腔体密封圈：需要配置密封圈，防止水与水汽外泄。</w:t>
            </w:r>
          </w:p>
          <w:p>
            <w:pPr>
              <w:jc w:val="both"/>
            </w:pPr>
            <w:r>
              <w:rPr>
                <w:sz w:val="21"/>
              </w:rPr>
              <w:t>▲9.清洗时间：快速手术器械清洗程序全程（包括干燥时间）≤28分钟，无需额外添置加热水箱。</w:t>
            </w:r>
            <w:r>
              <w:rPr>
                <w:b/>
                <w:sz w:val="21"/>
              </w:rPr>
              <w:t>并提供中文彩页显示时间说明</w:t>
            </w:r>
          </w:p>
          <w:p>
            <w:pPr>
              <w:jc w:val="both"/>
            </w:pPr>
            <w:r>
              <w:rPr>
                <w:sz w:val="21"/>
              </w:rPr>
              <w:t>10.加热方式：蒸汽或电加热。</w:t>
            </w:r>
          </w:p>
          <w:p>
            <w:pPr>
              <w:jc w:val="both"/>
            </w:pPr>
            <w:r>
              <w:rPr>
                <w:sz w:val="21"/>
              </w:rPr>
              <w:t>11.控制方式：全自动微机控制。</w:t>
            </w:r>
          </w:p>
          <w:p>
            <w:pPr>
              <w:jc w:val="both"/>
            </w:pPr>
            <w:r>
              <w:rPr>
                <w:sz w:val="21"/>
              </w:rPr>
              <w:t>12.显示方式：≥7寸医用彩色液晶触摸屏两个，装卸载侧末端各配有一个大型医用全彩色触摸操作屏，用全屏颜色和倒计时显示工作阶段和剩余时间。</w:t>
            </w:r>
            <w:r>
              <w:rPr>
                <w:b/>
                <w:sz w:val="21"/>
              </w:rPr>
              <w:t>（需提供技术白皮书证明）</w:t>
            </w:r>
          </w:p>
          <w:p>
            <w:pPr>
              <w:jc w:val="both"/>
            </w:pPr>
            <w:r>
              <w:rPr>
                <w:sz w:val="21"/>
              </w:rPr>
              <w:t>13.内腔材质：</w:t>
            </w:r>
            <w:r>
              <w:rPr>
                <w:sz w:val="21"/>
              </w:rPr>
              <w:t>316L</w:t>
            </w:r>
            <w:r>
              <w:rPr>
                <w:sz w:val="21"/>
              </w:rPr>
              <w:t>或以上耐酸、耐碱、耐腐蚀不锈钢。</w:t>
            </w:r>
          </w:p>
          <w:p>
            <w:pPr>
              <w:jc w:val="both"/>
            </w:pPr>
            <w:r>
              <w:rPr>
                <w:sz w:val="21"/>
              </w:rPr>
              <w:t>14.工作流程：预清洗、清洗（加酶）、漂洗（上油）、干燥。</w:t>
            </w:r>
          </w:p>
          <w:p>
            <w:pPr>
              <w:jc w:val="both"/>
            </w:pPr>
            <w:r>
              <w:rPr>
                <w:sz w:val="21"/>
              </w:rPr>
              <w:t>15.清洗消毒程序：≥8个可调循环，≥3个自编程序。</w:t>
            </w:r>
          </w:p>
          <w:p>
            <w:pPr>
              <w:jc w:val="both"/>
            </w:pPr>
            <w:r>
              <w:rPr>
                <w:sz w:val="21"/>
              </w:rPr>
              <w:t>▲16.清洗泵输出功率根据不同程序自动调节：可≤2马力或≥7马力两种功率可调。</w:t>
            </w:r>
          </w:p>
          <w:p>
            <w:pPr>
              <w:jc w:val="both"/>
            </w:pPr>
            <w:r>
              <w:rPr>
                <w:sz w:val="21"/>
              </w:rPr>
              <w:t>▲17.清洗碗、盆类器械时水压为低水压：循环泵输出功率≤1.5kw，流量≤360L/min。</w:t>
            </w:r>
          </w:p>
          <w:p>
            <w:pPr>
              <w:jc w:val="both"/>
            </w:pPr>
            <w:r>
              <w:rPr>
                <w:sz w:val="21"/>
              </w:rPr>
              <w:t>▲18.清洗手术器械时水压为高水压：循环泵输出功率≥5kw，流量≥900L/min。</w:t>
            </w:r>
          </w:p>
          <w:p>
            <w:pPr>
              <w:jc w:val="both"/>
            </w:pPr>
            <w:r>
              <w:rPr>
                <w:sz w:val="21"/>
              </w:rPr>
              <w:t>19.污水排放冷却功能：污水排放温度不高于60°C。</w:t>
            </w:r>
          </w:p>
          <w:p>
            <w:pPr>
              <w:jc w:val="both"/>
            </w:pPr>
            <w:r>
              <w:rPr>
                <w:sz w:val="21"/>
              </w:rPr>
              <w:t>20.信息接口预留：USB接口1个位于装载端操作面板上，局域网网线接口1个。</w:t>
            </w:r>
          </w:p>
          <w:p>
            <w:pPr>
              <w:jc w:val="both"/>
            </w:pPr>
            <w:r>
              <w:rPr>
                <w:sz w:val="21"/>
              </w:rPr>
              <w:t>21.打印机：可选择装或卸侧，卷轴纸、打印报告可选。</w:t>
            </w:r>
          </w:p>
          <w:p>
            <w:pPr>
              <w:jc w:val="both"/>
            </w:pPr>
            <w:r>
              <w:rPr>
                <w:sz w:val="21"/>
              </w:rPr>
              <w:t>22.高精密耗材注入泵：≥3个高精密耗材注入泵，精度达到 ≤0.3ml/L。</w:t>
            </w:r>
          </w:p>
          <w:p>
            <w:pPr>
              <w:jc w:val="both"/>
            </w:pPr>
            <w:r>
              <w:rPr>
                <w:sz w:val="21"/>
              </w:rPr>
              <w:t>23.安全参数：故障报警、自动故障诊断系统、门未关好不能启动程序、清洗消毒失误时清洁区侧门不能打开、双门互锁 （不能同时打开）。</w:t>
            </w:r>
          </w:p>
          <w:p>
            <w:pPr>
              <w:jc w:val="both"/>
            </w:pPr>
            <w:r>
              <w:rPr>
                <w:sz w:val="21"/>
              </w:rPr>
              <w:t>▲24.进水方式：清洗腔侧壁进水，使得循环系统内部湍流最小化，从而最小化了水流在管路中遇到的阻力，实现腔体内的水流更大且更为平稳均匀，从而获得更好的清洗效果。</w:t>
            </w:r>
          </w:p>
          <w:p>
            <w:pPr>
              <w:jc w:val="both"/>
            </w:pPr>
            <w:r>
              <w:rPr>
                <w:sz w:val="21"/>
              </w:rPr>
              <w:t>25.干燥方式：双效加热系统，采用热交换器充分利用系统中的热量，节约电能，降低热污染。</w:t>
            </w:r>
          </w:p>
          <w:p>
            <w:pPr>
              <w:jc w:val="both"/>
            </w:pPr>
            <w:r>
              <w:rPr>
                <w:sz w:val="21"/>
              </w:rPr>
              <w:t>26.最高冲洗温度：≥90°C。</w:t>
            </w:r>
          </w:p>
          <w:p>
            <w:pPr>
              <w:jc w:val="both"/>
            </w:pPr>
            <w:r>
              <w:rPr>
                <w:sz w:val="21"/>
              </w:rPr>
              <w:t>27.最高烘干温度：≥115°C。</w:t>
            </w:r>
          </w:p>
          <w:p>
            <w:pPr>
              <w:jc w:val="both"/>
            </w:pPr>
            <w:r>
              <w:rPr>
                <w:sz w:val="21"/>
              </w:rPr>
              <w:t>▲28.需配备机械臂专用清洗程序。</w:t>
            </w:r>
          </w:p>
          <w:p>
            <w:pPr>
              <w:jc w:val="both"/>
            </w:pPr>
            <w:r>
              <w:rPr>
                <w:sz w:val="21"/>
              </w:rPr>
              <w:t>▲29.机械臂专用清洗程序需要获得厂家的认可或推荐</w:t>
            </w:r>
            <w:r>
              <w:rPr>
                <w:b/>
                <w:sz w:val="21"/>
              </w:rPr>
              <w:t>（需提供证明文件）</w:t>
            </w:r>
          </w:p>
          <w:p>
            <w:pPr>
              <w:jc w:val="both"/>
            </w:pPr>
            <w:r>
              <w:rPr>
                <w:sz w:val="21"/>
              </w:rPr>
              <w:t>30.配置清单：</w:t>
            </w:r>
          </w:p>
          <w:p>
            <w:pPr>
              <w:ind w:firstLine="210"/>
              <w:jc w:val="both"/>
            </w:pPr>
            <w:r>
              <w:rPr>
                <w:sz w:val="21"/>
              </w:rPr>
              <w:t>30.1.主机1台；</w:t>
            </w:r>
          </w:p>
          <w:p>
            <w:pPr>
              <w:ind w:firstLine="210"/>
              <w:jc w:val="both"/>
            </w:pPr>
            <w:r>
              <w:rPr>
                <w:sz w:val="21"/>
              </w:rPr>
              <w:t>30.2.装卸载车2台；</w:t>
            </w:r>
          </w:p>
          <w:p>
            <w:pPr>
              <w:ind w:firstLine="210"/>
              <w:jc w:val="both"/>
            </w:pPr>
            <w:r>
              <w:rPr>
                <w:sz w:val="21"/>
              </w:rPr>
              <w:t>30.3.五层架1个；</w:t>
            </w:r>
          </w:p>
          <w:p>
            <w:pPr>
              <w:ind w:firstLine="210"/>
              <w:jc w:val="both"/>
            </w:pPr>
            <w:r>
              <w:rPr>
                <w:sz w:val="21"/>
              </w:rPr>
              <w:t>30.4.器械装载篮筐50个；</w:t>
            </w:r>
          </w:p>
          <w:p>
            <w:pPr>
              <w:ind w:firstLine="210"/>
              <w:jc w:val="both"/>
            </w:pPr>
            <w:r>
              <w:rPr>
                <w:sz w:val="21"/>
              </w:rPr>
              <w:t>30.5.医用打印机1套；</w:t>
            </w:r>
          </w:p>
          <w:p>
            <w:pPr>
              <w:ind w:firstLine="210"/>
              <w:jc w:val="both"/>
            </w:pPr>
            <w:r>
              <w:rPr>
                <w:sz w:val="21"/>
              </w:rPr>
              <w:t>30.6.数据联网版1套；</w:t>
            </w:r>
          </w:p>
          <w:p>
            <w:pPr>
              <w:ind w:firstLine="210"/>
              <w:jc w:val="both"/>
            </w:pPr>
            <w:r>
              <w:rPr>
                <w:sz w:val="21"/>
              </w:rPr>
              <w:t>30.7.手术机器人清洗套件和管腔清洗架1个；</w:t>
            </w:r>
          </w:p>
          <w:p>
            <w:pPr>
              <w:ind w:firstLine="210"/>
              <w:jc w:val="both"/>
            </w:pPr>
            <w:r>
              <w:rPr>
                <w:sz w:val="21"/>
              </w:rPr>
              <w:t>30.8.四层架1个；</w:t>
            </w:r>
          </w:p>
          <w:p>
            <w:pPr>
              <w:ind w:firstLine="210"/>
              <w:jc w:val="both"/>
            </w:pPr>
            <w:r>
              <w:rPr>
                <w:sz w:val="21"/>
              </w:rPr>
              <w:t>30.9.硬式内镜器械架1个；</w:t>
            </w:r>
          </w:p>
          <w:p>
            <w:pPr>
              <w:jc w:val="both"/>
            </w:pPr>
            <w:r>
              <w:rPr>
                <w:sz w:val="21"/>
              </w:rPr>
              <w:t xml:space="preserve">  30.10.碗盆架各1个。</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t>采购包2（中山市人民医院消毒供应中心清洗消毒机采购项目（包组二））：</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签订合同后30天内完成安装调试。</w:t>
            </w:r>
          </w:p>
        </w:tc>
      </w:tr>
      <w:tr>
        <w:tc>
          <w:tcPr>
            <w:tcW w:type="dxa" w:w="4153"/>
          </w:tcPr>
          <w:p>
            <w:r>
              <w:rPr/>
              <w:t>标的提供的地点</w:t>
            </w:r>
          </w:p>
        </w:tc>
        <w:tc>
          <w:tcPr>
            <w:tcW w:type="dxa" w:w="4153"/>
          </w:tcPr>
          <w:p>
            <w:pPr>
              <w:jc w:val="left"/>
            </w:pPr>
          </w:p>
          <w:p>
            <w:r>
              <w:rPr/>
              <w:t>中山市人民医院使用科室。</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1期：支付比例100%，采购人验收合格收到发票后，30天内支付合同货款总额的100%。</w:t>
            </w:r>
          </w:p>
        </w:tc>
      </w:tr>
      <w:tr>
        <w:tc>
          <w:tcPr>
            <w:tcW w:type="dxa" w:w="4153"/>
          </w:tcPr>
          <w:p>
            <w:r>
              <w:rPr/>
              <w:t>验收要求</w:t>
            </w:r>
          </w:p>
        </w:tc>
        <w:tc>
          <w:tcPr>
            <w:tcW w:type="dxa" w:w="4153"/>
          </w:tcPr>
          <w:p>
            <w:pPr>
              <w:jc w:val="left"/>
            </w:pPr>
          </w:p>
          <w:p/>
          <w:p/>
          <w:p>
            <w:r>
              <w:rPr/>
              <w:t>1期：合同设备安装调试完成并移交所有资料文档后10个工作日内验收，验收应在双方共同参加下进行，验收标准按照国家有关标准。</w:t>
            </w:r>
          </w:p>
        </w:tc>
      </w:tr>
      <w:tr>
        <w:tc>
          <w:tcPr>
            <w:tcW w:type="dxa" w:w="4153"/>
          </w:tcPr>
          <w:p>
            <w:r>
              <w:rPr/>
              <w:t>履约保证金</w:t>
            </w:r>
          </w:p>
        </w:tc>
        <w:tc>
          <w:tcPr>
            <w:tcW w:type="dxa" w:w="4153"/>
          </w:tcPr>
          <w:p>
            <w:pPr>
              <w:jc w:val="left"/>
            </w:pPr>
          </w:p>
          <w:p/>
          <w:p/>
          <w:p/>
          <w:p>
            <w:r>
              <w:rPr/>
              <w:t>收取比例：5%,说明：合同金额大于10万元（含10万元）的，采购人在支付货款前需收到中标人合同总额5%的履约保证金或银行保函；质保期满，经考核合格，履约保证金不计利息一次性返还。</w:t>
            </w:r>
          </w:p>
        </w:tc>
      </w:tr>
      <w:tr>
        <w:tc>
          <w:tcPr>
            <w:tcW w:type="dxa" w:w="4153"/>
          </w:tcPr>
          <w:p>
            <w:r>
              <w:rPr/>
              <w:t>其他</w:t>
            </w:r>
          </w:p>
        </w:tc>
        <w:tc>
          <w:tcPr>
            <w:tcW w:type="dxa" w:w="4153"/>
          </w:tcPr>
          <w:p>
            <w:pPr>
              <w:jc w:val="left"/>
            </w:pPr>
          </w:p>
          <w:p/>
          <w:p>
            <w:r>
              <w:rPr/>
              <w:t>1.报价要求:报价以人民币报价。投标报价应包括硬件、软件对接服务费、技术培训费、安装调试费等杂费，含全额发票及合同实施过程中的应预见或不可预见费用等完成合同规定责任和义务、达到合同目的的一切费用及企业利润。</w:t>
            </w:r>
          </w:p>
          <w:p/>
          <w:p>
            <w:r>
              <w:rPr/>
              <w:t>2.质保期:2.1.设备安装调试验收合格之日起，整机保修3年；2.2.保修期内免费维修。设备发生故障时，中标人在接到采购人的故障通知后2小时内响应，4小时内答复，24小时内到达现场维修；2.3.保修期内厂家每年免费回访设备至少2次。</w:t>
            </w:r>
          </w:p>
          <w:p/>
          <w:p>
            <w:r>
              <w:rPr/>
              <w:t>3.技术服务承诺:3.1.提供技术资料，含使用说明书、图纸等；3.2.中标人须在广东省珠三角设有（或提供承诺函承诺中标后满足）售后服务点（提供维修的详细地址及工程师联系方式），负责设备的安装调试；3.3.有操作、维护、维修培训计划，每个设备至少两名以上医务人员熟练掌握使用设备为止；3.4.保证供应设备的维修与配件；3.5.到货时，设备软、硬件为最新版本，验收前必须提供设备合格的性能检测报告。</w:t>
            </w:r>
          </w:p>
          <w:p/>
          <w:p>
            <w:r>
              <w:rPr/>
              <w:t>4.专用工具:中标人应提供一套维修所需的专用工具及其清单。（如有）</w:t>
            </w:r>
          </w:p>
          <w:p/>
          <w:p>
            <w:r>
              <w:rPr/>
              <w:t>5.其他:5.1.中标人列明报价设备的全套系统配置清单及单价；5.2.保证提供的是新产品，没有使用过；合同必须注明该产品（或主机）产地。</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r>
              <w:rPr/>
              <w:t>△</w:t>
            </w:r>
          </w:p>
        </w:tc>
        <w:tc>
          <w:tcPr>
            <w:tcW w:type="dxa" w:w="1923"/>
          </w:tcPr>
          <w:p>
            <w:r>
              <w:rPr/>
              <w:t>消毒灭菌设备及器具</w:t>
            </w:r>
          </w:p>
        </w:tc>
        <w:tc>
          <w:tcPr>
            <w:tcW w:type="dxa" w:w="1923"/>
          </w:tcPr>
          <w:p>
            <w:r>
              <w:rPr/>
              <w:t>大型清洗消毒机</w:t>
            </w:r>
          </w:p>
        </w:tc>
        <w:tc>
          <w:tcPr>
            <w:tcW w:type="dxa" w:w="385"/>
          </w:tcPr>
          <w:p>
            <w:r>
              <w:rPr/>
              <w:t>套</w:t>
            </w:r>
          </w:p>
        </w:tc>
        <w:tc>
          <w:tcPr>
            <w:tcW w:type="dxa" w:w="769"/>
          </w:tcPr>
          <w:p>
            <w:pPr>
              <w:jc w:val="right"/>
            </w:pPr>
            <w:r>
              <w:rPr/>
              <w:t>1.0000</w:t>
            </w:r>
          </w:p>
        </w:tc>
        <w:tc>
          <w:tcPr>
            <w:tcW w:type="dxa" w:w="769"/>
          </w:tcPr>
          <w:p>
            <w:pPr>
              <w:jc w:val="right"/>
            </w:pPr>
            <w:r>
              <w:rPr/>
              <w:t>2,500,000.00</w:t>
            </w:r>
          </w:p>
        </w:tc>
        <w:tc>
          <w:tcPr>
            <w:tcW w:type="dxa" w:w="769"/>
          </w:tcPr>
          <w:p>
            <w:pPr>
              <w:jc w:val="right"/>
            </w:pPr>
            <w:r>
              <w:rPr/>
              <w:t>2,500,000.00</w:t>
            </w:r>
          </w:p>
        </w:tc>
        <w:tc>
          <w:tcPr>
            <w:tcW w:type="dxa" w:w="769"/>
          </w:tcPr>
          <w:p>
            <w:r>
              <w:rPr/>
              <w:t>工业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大型清洗消毒机</w:t>
      </w:r>
      <w:r>
        <w:rPr>
          <w:b/>
          <w:sz w:val="24"/>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1"/>
              </w:rPr>
              <w:t>投标人所投设备如属于医疗器械设备，需提供医疗器械注册证或备案证明（提供证明材料复印件加盖公章），所投设备必须是在医疗器械注册证或备案证明</w:t>
            </w:r>
            <w:r>
              <w:rPr>
                <w:sz w:val="21"/>
              </w:rPr>
              <w:t>有效期</w:t>
            </w:r>
            <w:r>
              <w:rPr>
                <w:sz w:val="21"/>
              </w:rPr>
              <w:t>内生产的产品。不属于医疗器械设备无须提供。</w:t>
            </w:r>
          </w:p>
        </w:tc>
      </w:tr>
      <w:tr>
        <w:tc>
          <w:tcPr>
            <w:tcW w:type="dxa" w:w="2076"/>
          </w:tcPr>
          <w:p/>
        </w:tc>
        <w:tc>
          <w:tcPr>
            <w:tcW w:type="dxa" w:w="415"/>
          </w:tcPr>
          <w:p>
            <w:r>
              <w:rPr/>
              <w:t>2</w:t>
            </w:r>
          </w:p>
        </w:tc>
        <w:tc>
          <w:tcPr>
            <w:tcW w:type="dxa" w:w="5814"/>
          </w:tcPr>
          <w:p>
            <w:pPr>
              <w:jc w:val="left"/>
            </w:pPr>
            <w:r>
              <w:rPr>
                <w:sz w:val="21"/>
              </w:rPr>
              <w:t>1.</w:t>
            </w:r>
            <w:r>
              <w:rPr>
                <w:sz w:val="21"/>
              </w:rPr>
              <w:t>用途：用于对器械</w:t>
            </w:r>
            <w:r>
              <w:rPr>
                <w:sz w:val="21"/>
              </w:rPr>
              <w:t>、</w:t>
            </w:r>
            <w:r>
              <w:rPr>
                <w:sz w:val="21"/>
              </w:rPr>
              <w:t>器械盒</w:t>
            </w:r>
            <w:r>
              <w:rPr>
                <w:sz w:val="21"/>
              </w:rPr>
              <w:t>、</w:t>
            </w:r>
            <w:r>
              <w:rPr>
                <w:sz w:val="21"/>
              </w:rPr>
              <w:t>盒盖</w:t>
            </w:r>
            <w:r>
              <w:rPr>
                <w:sz w:val="21"/>
              </w:rPr>
              <w:t>、</w:t>
            </w:r>
            <w:r>
              <w:rPr>
                <w:sz w:val="21"/>
              </w:rPr>
              <w:t>塑料箱</w:t>
            </w:r>
            <w:r>
              <w:rPr>
                <w:sz w:val="21"/>
              </w:rPr>
              <w:t>、</w:t>
            </w:r>
            <w:r>
              <w:rPr>
                <w:sz w:val="21"/>
              </w:rPr>
              <w:t>手术鞋</w:t>
            </w:r>
            <w:r>
              <w:rPr>
                <w:sz w:val="21"/>
              </w:rPr>
              <w:t>、</w:t>
            </w:r>
            <w:r>
              <w:rPr>
                <w:sz w:val="21"/>
              </w:rPr>
              <w:t>转运车等大型物品进行热消毒处理。</w:t>
            </w:r>
          </w:p>
          <w:p>
            <w:pPr>
              <w:jc w:val="left"/>
            </w:pPr>
            <w:r>
              <w:rPr>
                <w:sz w:val="21"/>
              </w:rPr>
              <w:t>2.</w:t>
            </w:r>
            <w:r>
              <w:rPr>
                <w:sz w:val="21"/>
              </w:rPr>
              <w:t>可根据不同的物品种类选择合适的清洗过程程序，典型的清洗消毒过程包括：清洗、消毒、干燥。</w:t>
            </w:r>
          </w:p>
          <w:p>
            <w:pPr>
              <w:jc w:val="left"/>
            </w:pPr>
            <w:r>
              <w:rPr>
                <w:sz w:val="21"/>
              </w:rPr>
              <w:t>3.</w:t>
            </w:r>
            <w:r>
              <w:rPr>
                <w:sz w:val="21"/>
              </w:rPr>
              <w:t>门：铰链双门机型，具备双门互锁功能。</w:t>
            </w:r>
          </w:p>
          <w:p>
            <w:pPr>
              <w:jc w:val="left"/>
            </w:pPr>
            <w:r>
              <w:rPr>
                <w:sz w:val="21"/>
              </w:rPr>
              <w:t>4.</w:t>
            </w:r>
            <w:r>
              <w:rPr>
                <w:sz w:val="21"/>
              </w:rPr>
              <w:t>腔体容积：</w:t>
            </w:r>
            <w:r>
              <w:rPr>
                <w:sz w:val="21"/>
              </w:rPr>
              <w:t>≥3100升，腔体尺寸：宽x深x高≥1050x1500x1800mm</w:t>
            </w:r>
            <w:r>
              <w:rPr>
                <w:sz w:val="21"/>
              </w:rPr>
              <w:t>。</w:t>
            </w:r>
            <w:r>
              <w:rPr>
                <w:b/>
                <w:sz w:val="21"/>
              </w:rPr>
              <w:t>（</w:t>
            </w:r>
            <w:r>
              <w:rPr>
                <w:b/>
                <w:sz w:val="21"/>
              </w:rPr>
              <w:t>提供说明文件</w:t>
            </w:r>
            <w:r>
              <w:rPr>
                <w:b/>
                <w:sz w:val="21"/>
              </w:rPr>
              <w:t>）</w:t>
            </w:r>
          </w:p>
          <w:p>
            <w:pPr>
              <w:jc w:val="left"/>
            </w:pPr>
            <w:r>
              <w:rPr>
                <w:sz w:val="21"/>
              </w:rPr>
              <w:t>▲</w:t>
            </w:r>
            <w:r>
              <w:rPr>
                <w:sz w:val="21"/>
              </w:rPr>
              <w:t>5.</w:t>
            </w:r>
            <w:r>
              <w:rPr>
                <w:sz w:val="21"/>
              </w:rPr>
              <w:t>整机安装宽度：</w:t>
            </w:r>
            <w:r>
              <w:rPr>
                <w:sz w:val="21"/>
              </w:rPr>
              <w:t>≤1800mm，安装整体高度≤2600mm</w:t>
            </w:r>
            <w:r>
              <w:rPr>
                <w:sz w:val="21"/>
              </w:rPr>
              <w:t>。</w:t>
            </w:r>
            <w:r>
              <w:rPr>
                <w:b/>
                <w:sz w:val="21"/>
              </w:rPr>
              <w:t>（</w:t>
            </w:r>
            <w:r>
              <w:rPr>
                <w:b/>
                <w:sz w:val="21"/>
              </w:rPr>
              <w:t>提供说明文件</w:t>
            </w:r>
            <w:r>
              <w:rPr>
                <w:b/>
                <w:sz w:val="21"/>
              </w:rPr>
              <w:t>）</w:t>
            </w:r>
          </w:p>
          <w:p>
            <w:pPr>
              <w:jc w:val="left"/>
            </w:pPr>
            <w:r>
              <w:rPr>
                <w:sz w:val="21"/>
              </w:rPr>
              <w:t>▲</w:t>
            </w:r>
            <w:r>
              <w:rPr>
                <w:sz w:val="21"/>
              </w:rPr>
              <w:t>6.</w:t>
            </w:r>
            <w:r>
              <w:rPr>
                <w:sz w:val="21"/>
              </w:rPr>
              <w:t>具备器械清洗功能，清洗推车具备专用接口，用于连接带喷臂的推车，可以处理医用器械，器械盒和盖子</w:t>
            </w:r>
            <w:r>
              <w:rPr>
                <w:sz w:val="21"/>
              </w:rPr>
              <w:t>、</w:t>
            </w:r>
            <w:r>
              <w:rPr>
                <w:sz w:val="21"/>
              </w:rPr>
              <w:t>鞋子</w:t>
            </w:r>
            <w:r>
              <w:rPr>
                <w:sz w:val="21"/>
              </w:rPr>
              <w:t>、</w:t>
            </w:r>
            <w:r>
              <w:rPr>
                <w:sz w:val="21"/>
              </w:rPr>
              <w:t>塑料箱或其大型物品等。</w:t>
            </w:r>
          </w:p>
          <w:p>
            <w:pPr>
              <w:jc w:val="left"/>
            </w:pPr>
            <w:r>
              <w:rPr>
                <w:sz w:val="21"/>
              </w:rPr>
              <w:t>7.</w:t>
            </w:r>
            <w:r>
              <w:rPr>
                <w:sz w:val="21"/>
              </w:rPr>
              <w:t>单次处理量：</w:t>
            </w:r>
            <w:r>
              <w:rPr>
                <w:sz w:val="21"/>
              </w:rPr>
              <w:t>≥16个DIN标器械盒。</w:t>
            </w:r>
          </w:p>
          <w:p>
            <w:pPr>
              <w:jc w:val="left"/>
            </w:pPr>
            <w:r>
              <w:rPr>
                <w:sz w:val="21"/>
              </w:rPr>
              <w:t>8.</w:t>
            </w:r>
            <w:r>
              <w:rPr>
                <w:sz w:val="21"/>
              </w:rPr>
              <w:t>材质：腔体内采用</w:t>
            </w:r>
            <w:r>
              <w:rPr>
                <w:sz w:val="21"/>
              </w:rPr>
              <w:t>AISI 316L不锈钢材料制成。</w:t>
            </w:r>
          </w:p>
          <w:p>
            <w:pPr>
              <w:jc w:val="left"/>
            </w:pPr>
            <w:r>
              <w:rPr>
                <w:sz w:val="21"/>
              </w:rPr>
              <w:t>9.</w:t>
            </w:r>
            <w:r>
              <w:rPr>
                <w:sz w:val="21"/>
              </w:rPr>
              <w:t>腔体导轨：腔体内装有推车导轨，便于推车的装载。</w:t>
            </w:r>
          </w:p>
          <w:p>
            <w:pPr>
              <w:jc w:val="left"/>
            </w:pPr>
            <w:r>
              <w:rPr>
                <w:sz w:val="21"/>
              </w:rPr>
              <w:t>▲</w:t>
            </w:r>
            <w:r>
              <w:rPr>
                <w:sz w:val="21"/>
              </w:rPr>
              <w:t>10.</w:t>
            </w:r>
            <w:r>
              <w:rPr>
                <w:sz w:val="21"/>
              </w:rPr>
              <w:t>预热水箱：</w:t>
            </w:r>
            <w:r>
              <w:rPr>
                <w:sz w:val="21"/>
              </w:rPr>
              <w:t>≥2个316L不锈钢预热水箱，单个容积≥115L，有效缩短程序时间</w:t>
            </w:r>
            <w:r>
              <w:rPr>
                <w:sz w:val="21"/>
              </w:rPr>
              <w:t>。</w:t>
            </w:r>
            <w:r>
              <w:rPr>
                <w:b/>
                <w:sz w:val="21"/>
              </w:rPr>
              <w:t>（</w:t>
            </w:r>
            <w:r>
              <w:rPr>
                <w:b/>
                <w:sz w:val="21"/>
              </w:rPr>
              <w:t>提供说明文件</w:t>
            </w:r>
            <w:r>
              <w:rPr>
                <w:b/>
                <w:sz w:val="21"/>
              </w:rPr>
              <w:t>）</w:t>
            </w:r>
          </w:p>
          <w:p>
            <w:pPr>
              <w:jc w:val="left"/>
            </w:pPr>
            <w:r>
              <w:rPr>
                <w:sz w:val="21"/>
              </w:rPr>
              <w:t>11.</w:t>
            </w:r>
            <w:r>
              <w:rPr>
                <w:sz w:val="21"/>
              </w:rPr>
              <w:t>温度监测：</w:t>
            </w:r>
            <w:r>
              <w:rPr>
                <w:sz w:val="21"/>
              </w:rPr>
              <w:t>≥2个PT1000的温度探头，对消毒阶段温度进行精确控制，A0值可达3000。</w:t>
            </w:r>
          </w:p>
          <w:p>
            <w:pPr>
              <w:jc w:val="left"/>
            </w:pPr>
            <w:r>
              <w:rPr>
                <w:sz w:val="21"/>
              </w:rPr>
              <w:t>12.</w:t>
            </w:r>
            <w:r>
              <w:rPr>
                <w:sz w:val="21"/>
              </w:rPr>
              <w:t>喷淋系统：腔体两侧各</w:t>
            </w:r>
            <w:r>
              <w:rPr>
                <w:sz w:val="21"/>
              </w:rPr>
              <w:t>≥6根喷淋管，总喷头数≥66个，实现清洗过程中物品的全面覆盖。喷头易于拆卸，便于清洁和维护</w:t>
            </w:r>
            <w:r>
              <w:rPr>
                <w:sz w:val="21"/>
              </w:rPr>
              <w:t>。</w:t>
            </w:r>
            <w:r>
              <w:rPr>
                <w:b/>
                <w:sz w:val="21"/>
              </w:rPr>
              <w:t>（</w:t>
            </w:r>
            <w:r>
              <w:rPr>
                <w:b/>
                <w:sz w:val="21"/>
              </w:rPr>
              <w:t>提供说明文件</w:t>
            </w:r>
            <w:r>
              <w:rPr>
                <w:b/>
                <w:sz w:val="21"/>
              </w:rPr>
              <w:t>）</w:t>
            </w:r>
          </w:p>
          <w:p>
            <w:pPr>
              <w:jc w:val="left"/>
            </w:pPr>
            <w:r>
              <w:rPr>
                <w:sz w:val="21"/>
              </w:rPr>
              <w:t>13.</w:t>
            </w:r>
            <w:r>
              <w:rPr>
                <w:sz w:val="21"/>
              </w:rPr>
              <w:t>循环泵流量：</w:t>
            </w:r>
            <w:r>
              <w:rPr>
                <w:sz w:val="21"/>
              </w:rPr>
              <w:t>≥1000L/min，并带有专用压力开关。</w:t>
            </w:r>
          </w:p>
          <w:p>
            <w:pPr>
              <w:jc w:val="left"/>
            </w:pPr>
            <w:r>
              <w:rPr>
                <w:sz w:val="21"/>
              </w:rPr>
              <w:t>14.</w:t>
            </w:r>
            <w:r>
              <w:rPr>
                <w:sz w:val="21"/>
              </w:rPr>
              <w:t>清洗剂泵：</w:t>
            </w:r>
            <w:r>
              <w:rPr>
                <w:sz w:val="21"/>
              </w:rPr>
              <w:t>≥2个清洗剂泵，带有流量控制，实现清洗剂的精确添加。</w:t>
            </w:r>
          </w:p>
          <w:p>
            <w:pPr>
              <w:jc w:val="left"/>
            </w:pPr>
            <w:r>
              <w:rPr>
                <w:sz w:val="21"/>
              </w:rPr>
              <w:t>▲</w:t>
            </w:r>
            <w:r>
              <w:rPr>
                <w:sz w:val="21"/>
              </w:rPr>
              <w:t>15.</w:t>
            </w:r>
            <w:r>
              <w:rPr>
                <w:sz w:val="21"/>
              </w:rPr>
              <w:t>配置</w:t>
            </w:r>
            <w:r>
              <w:rPr>
                <w:sz w:val="21"/>
              </w:rPr>
              <w:t>≥550W自清洁过滤器泵，自清洁过滤器网格≤0.37mm</w:t>
            </w:r>
            <w:r>
              <w:rPr>
                <w:b/>
                <w:sz w:val="21"/>
              </w:rPr>
              <w:t>。</w:t>
            </w:r>
            <w:r>
              <w:rPr>
                <w:b/>
                <w:sz w:val="21"/>
              </w:rPr>
              <w:t>（</w:t>
            </w:r>
            <w:r>
              <w:rPr>
                <w:b/>
                <w:sz w:val="21"/>
              </w:rPr>
              <w:t>提供说明文件</w:t>
            </w:r>
            <w:r>
              <w:rPr>
                <w:b/>
                <w:sz w:val="21"/>
              </w:rPr>
              <w:t>）</w:t>
            </w:r>
          </w:p>
          <w:p>
            <w:pPr>
              <w:jc w:val="left"/>
            </w:pPr>
            <w:r>
              <w:rPr>
                <w:sz w:val="21"/>
              </w:rPr>
              <w:t>16.</w:t>
            </w:r>
            <w:r>
              <w:rPr>
                <w:sz w:val="21"/>
              </w:rPr>
              <w:t>干燥系统</w:t>
            </w:r>
            <w:r>
              <w:rPr>
                <w:sz w:val="21"/>
              </w:rPr>
              <w:t>：干燥加热元件可将空气加热</w:t>
            </w:r>
            <w:r>
              <w:rPr>
                <w:sz w:val="21"/>
              </w:rPr>
              <w:t>≥140℃，空气流量≥2200m3/h，实现快速干燥</w:t>
            </w:r>
            <w:r>
              <w:rPr>
                <w:sz w:val="21"/>
              </w:rPr>
              <w:t>。</w:t>
            </w:r>
            <w:r>
              <w:rPr>
                <w:b/>
                <w:sz w:val="21"/>
              </w:rPr>
              <w:t>（</w:t>
            </w:r>
            <w:r>
              <w:rPr>
                <w:b/>
                <w:sz w:val="21"/>
              </w:rPr>
              <w:t>提供说明文件</w:t>
            </w:r>
            <w:r>
              <w:rPr>
                <w:b/>
                <w:sz w:val="21"/>
              </w:rPr>
              <w:t>）</w:t>
            </w:r>
          </w:p>
          <w:p>
            <w:pPr>
              <w:jc w:val="left"/>
            </w:pPr>
            <w:r>
              <w:rPr>
                <w:sz w:val="21"/>
              </w:rPr>
              <w:t>17.</w:t>
            </w:r>
            <w:r>
              <w:rPr>
                <w:sz w:val="21"/>
              </w:rPr>
              <w:t>干燥过滤器：配备</w:t>
            </w:r>
            <w:r>
              <w:rPr>
                <w:sz w:val="21"/>
              </w:rPr>
              <w:t>F5初过滤器和HEPA 14高效空气过滤器</w:t>
            </w:r>
            <w:r>
              <w:rPr>
                <w:sz w:val="21"/>
              </w:rPr>
              <w:t>。</w:t>
            </w:r>
            <w:r>
              <w:rPr>
                <w:b/>
                <w:sz w:val="21"/>
              </w:rPr>
              <w:t>（</w:t>
            </w:r>
            <w:r>
              <w:rPr>
                <w:b/>
                <w:sz w:val="21"/>
              </w:rPr>
              <w:t>提供说明文件</w:t>
            </w:r>
            <w:r>
              <w:rPr>
                <w:b/>
                <w:sz w:val="21"/>
              </w:rPr>
              <w:t>）</w:t>
            </w:r>
          </w:p>
          <w:p>
            <w:pPr>
              <w:jc w:val="left"/>
            </w:pPr>
            <w:r>
              <w:rPr>
                <w:sz w:val="21"/>
              </w:rPr>
              <w:t>▲</w:t>
            </w:r>
            <w:r>
              <w:rPr>
                <w:sz w:val="21"/>
              </w:rPr>
              <w:t>18.</w:t>
            </w:r>
            <w:r>
              <w:rPr>
                <w:sz w:val="21"/>
              </w:rPr>
              <w:t>清洗剂存放空间：设备下部带有清洗剂存放空间，可同时放置</w:t>
            </w:r>
            <w:r>
              <w:rPr>
                <w:sz w:val="21"/>
              </w:rPr>
              <w:t>2桶10L的清洗剂，并通过铰链门封存。</w:t>
            </w:r>
          </w:p>
          <w:p>
            <w:pPr>
              <w:jc w:val="left"/>
            </w:pPr>
            <w:r>
              <w:rPr>
                <w:sz w:val="21"/>
              </w:rPr>
              <w:t>19.</w:t>
            </w:r>
            <w:r>
              <w:rPr>
                <w:sz w:val="21"/>
              </w:rPr>
              <w:t>操作界面：控制侧</w:t>
            </w:r>
            <w:r>
              <w:rPr>
                <w:sz w:val="21"/>
              </w:rPr>
              <w:t>≥5.5英寸彩色触屏控制面板，非控制侧≥3.5英寸触屏控制面板。</w:t>
            </w:r>
          </w:p>
          <w:p>
            <w:pPr>
              <w:jc w:val="left"/>
            </w:pPr>
            <w:r>
              <w:rPr>
                <w:sz w:val="21"/>
              </w:rPr>
              <w:t>20.</w:t>
            </w:r>
            <w:r>
              <w:rPr>
                <w:sz w:val="21"/>
              </w:rPr>
              <w:t>控制系统：</w:t>
            </w:r>
            <w:r>
              <w:rPr>
                <w:sz w:val="21"/>
              </w:rPr>
              <w:t>PLC控制系统，带有过程诊断</w:t>
            </w:r>
            <w:r>
              <w:rPr>
                <w:sz w:val="21"/>
              </w:rPr>
              <w:t>。</w:t>
            </w:r>
          </w:p>
          <w:p>
            <w:pPr>
              <w:jc w:val="left"/>
            </w:pPr>
            <w:r>
              <w:rPr>
                <w:sz w:val="21"/>
              </w:rPr>
              <w:t>21.</w:t>
            </w:r>
            <w:r>
              <w:rPr>
                <w:sz w:val="21"/>
              </w:rPr>
              <w:t>程序组：可存储</w:t>
            </w:r>
            <w:r>
              <w:rPr>
                <w:sz w:val="21"/>
              </w:rPr>
              <w:t>≥65个程序，其中出厂预设程序≥10个，用于可定义程序≥50个。</w:t>
            </w:r>
          </w:p>
          <w:p>
            <w:pPr>
              <w:jc w:val="left"/>
            </w:pPr>
            <w:r>
              <w:rPr>
                <w:sz w:val="21"/>
              </w:rPr>
              <w:t>22.</w:t>
            </w:r>
            <w:r>
              <w:rPr>
                <w:sz w:val="21"/>
              </w:rPr>
              <w:t>加热方式：蒸汽加热。</w:t>
            </w:r>
          </w:p>
          <w:p>
            <w:pPr>
              <w:jc w:val="left"/>
            </w:pPr>
            <w:r>
              <w:rPr>
                <w:sz w:val="21"/>
              </w:rPr>
              <w:t>23.</w:t>
            </w:r>
            <w:r>
              <w:rPr>
                <w:sz w:val="21"/>
              </w:rPr>
              <w:t>过程记录：配置内置</w:t>
            </w:r>
            <w:r>
              <w:rPr>
                <w:sz w:val="21"/>
              </w:rPr>
              <w:t>医用</w:t>
            </w:r>
            <w:r>
              <w:rPr>
                <w:sz w:val="21"/>
              </w:rPr>
              <w:t>热敏打印机。</w:t>
            </w:r>
          </w:p>
          <w:p>
            <w:pPr>
              <w:jc w:val="left"/>
            </w:pPr>
            <w:r>
              <w:rPr>
                <w:sz w:val="21"/>
              </w:rPr>
              <w:t>24.</w:t>
            </w:r>
            <w:r>
              <w:rPr>
                <w:sz w:val="21"/>
              </w:rPr>
              <w:t>配备网络通讯接口，开放数据，配合与医院整体软件系统进行数据连接。</w:t>
            </w:r>
          </w:p>
          <w:p>
            <w:pPr>
              <w:jc w:val="left"/>
            </w:pPr>
            <w:r>
              <w:rPr>
                <w:sz w:val="21"/>
              </w:rPr>
              <w:t>25.配置清单：</w:t>
            </w:r>
          </w:p>
          <w:p>
            <w:pPr>
              <w:ind w:firstLine="210"/>
              <w:jc w:val="left"/>
            </w:pPr>
            <w:r>
              <w:rPr>
                <w:sz w:val="21"/>
              </w:rPr>
              <w:t>25.1通用清洗层架（三层架）≥2台；</w:t>
            </w:r>
          </w:p>
          <w:p>
            <w:pPr>
              <w:ind w:firstLine="210"/>
              <w:jc w:val="left"/>
            </w:pPr>
            <w:r>
              <w:rPr>
                <w:sz w:val="21"/>
              </w:rPr>
              <w:t>25.2数据采集系统≥1套；</w:t>
            </w:r>
          </w:p>
          <w:p>
            <w:pPr>
              <w:ind w:firstLine="210"/>
              <w:jc w:val="left"/>
            </w:pPr>
            <w:r>
              <w:rPr>
                <w:sz w:val="21"/>
              </w:rPr>
              <w:t>25.3器械装载篮筐20个；</w:t>
            </w:r>
          </w:p>
          <w:p>
            <w:pPr>
              <w:ind w:firstLine="210"/>
              <w:jc w:val="left"/>
            </w:pPr>
            <w:r>
              <w:rPr>
                <w:sz w:val="21"/>
              </w:rPr>
              <w:t>25.4医用</w:t>
            </w:r>
            <w:r>
              <w:rPr>
                <w:sz w:val="21"/>
              </w:rPr>
              <w:t>热敏</w:t>
            </w:r>
            <w:r>
              <w:rPr>
                <w:sz w:val="21"/>
              </w:rPr>
              <w:t>打印机</w:t>
            </w:r>
            <w:r>
              <w:rPr>
                <w:sz w:val="21"/>
              </w:rPr>
              <w:t>1套；</w:t>
            </w:r>
          </w:p>
          <w:p>
            <w:pPr>
              <w:ind w:firstLine="210"/>
              <w:jc w:val="left"/>
            </w:pPr>
            <w:r>
              <w:rPr>
                <w:sz w:val="21"/>
              </w:rPr>
              <w:t>25.5推车清洗接口架1个；</w:t>
            </w:r>
          </w:p>
          <w:p>
            <w:pPr>
              <w:ind w:firstLine="210"/>
              <w:jc w:val="left"/>
            </w:pPr>
            <w:r>
              <w:rPr>
                <w:sz w:val="21"/>
              </w:rPr>
              <w:t>25.6碗盘架1个；</w:t>
            </w:r>
          </w:p>
          <w:p>
            <w:pPr>
              <w:ind w:firstLine="210"/>
              <w:jc w:val="left"/>
            </w:pPr>
            <w:r>
              <w:rPr>
                <w:sz w:val="21"/>
              </w:rPr>
              <w:t>25.7手术鞋清洗架1个；</w:t>
            </w:r>
          </w:p>
          <w:p>
            <w:pPr>
              <w:jc w:val="both"/>
            </w:pPr>
            <w:r>
              <w:rPr>
                <w:sz w:val="21"/>
              </w:rPr>
              <w:t xml:space="preserve">  25.8硬质灭菌盒清洗架1个。</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2</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tc>
      </w:tr>
      <w:tr>
        <w:tc>
          <w:tcPr>
            <w:tcW w:type="dxa" w:w="1051"/>
          </w:tcPr>
          <w:p>
            <w:r>
              <w:rPr/>
              <w:t>5</w:t>
            </w:r>
          </w:p>
        </w:tc>
        <w:tc>
          <w:tcPr>
            <w:tcW w:type="dxa" w:w="2252"/>
          </w:tcPr>
          <w:p>
            <w:r>
              <w:rPr/>
              <w:t>报价形式</w:t>
            </w:r>
          </w:p>
        </w:tc>
        <w:tc>
          <w:tcPr>
            <w:tcW w:type="dxa" w:w="5004"/>
          </w:tcPr>
          <w:p/>
          <w:p>
            <w:r>
              <w:rPr/>
              <w:t>采购包1：总价</w:t>
            </w:r>
          </w:p>
          <w:p/>
          <w:p>
            <w:r>
              <w:rPr/>
              <w:t>采购包2：总价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r>
              <w:rPr/>
              <w:t>采购包2：保证金人民币：0.00元整。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p>
            <w:r>
              <w:rPr/>
              <w:t>采购包2：</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无：本项目兼投兼中。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采购机构代理服务收费标准：参照国家发展计划委员会颁发的[2002]1980号文《招标代理服务收费管理暂行办法》及发改价[2011]534号文的规定收取。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
            <w:pPr>
              <w:jc w:val="left"/>
            </w:pPr>
          </w:p>
          <w:p>
            <w:r>
              <w:rPr/>
              <w:t>一、代理服务费收取方式，招标代理服务费以银行付款的形式以人民币一次性支付至以下账户（请在汇款单上写明本项目的项目名称+中标服务费）：开户银行：中国银行股份有限公司中山中山五路支行 ，帐号：695172408489 ，收款人：智林招标（广东）有限公司。</w:t>
            </w:r>
          </w:p>
          <w:p>
            <w:pPr>
              <w:jc w:val="left"/>
            </w:pPr>
          </w:p>
          <w:p>
            <w:r>
              <w:rPr/>
              <w:t>二、需落实的政府采购政策，1）《政府采购促进中小企业发展管理办法》（财库〔2020〕46号）； 2）《关于政府采购支持监狱企业发展有关问题》（财库〔2014〕68 号）； 3）《关于促进残疾人就业政府采购政策的通知》（财库〔2017〕141 号）； 4）《关于印发环境标志产品政府采购品目清单的通知》（财库〔2019〕18号）； 5）《关于印发节能产品政府采购品目 清单的通知》（财库〔2019〕19号）；6）《关于建立政府强制采购节能产品制度的通知》（国办发〔2007〕51号）；7）《关于运用政府采购政策支持脱贫攻坚的通知》（财库[2019]27号）。</w:t>
            </w:r>
          </w:p>
          <w:p>
            <w:pPr>
              <w:jc w:val="left"/>
            </w:pPr>
          </w:p>
          <w:p>
            <w:r>
              <w:rPr/>
              <w:t>三、采购标的对应的中小企业划分标准所属行业，工业</w:t>
            </w:r>
          </w:p>
          <w:p>
            <w:pPr>
              <w:jc w:val="left"/>
            </w:pPr>
          </w:p>
          <w:p>
            <w:r>
              <w:rPr/>
              <w:t>四、关于贯彻落实《中国人民银行中山市中心支行 中山市财政局 中山市经济和信息化局 中山市人民政府金融工作局关于印发的通知》的告知，1、根据《中国人民银行中山市中心支行 中山市财政局 中山市经济和信息化局 中山市 人民政府金融工作局关于印发的通知》（中人银发【2017】82号）规定，凡通过政府采购法定程序取得我市政府采购合同的中小微企 业，均可向辖区内开展政府采购质押融资业务的银行机构申请办理融资业务。 2、 截至当前，辖区内开展政府采购质押融资业务的银行机构报备的联系方式如下： 政府采购质押融资业务的银行机构联系人名单 序号 银行机构 经办部门 联系人 联系方式 1 中国农业发展银行中山市分行 客 户业务部邹可仕 18802598981 信贷与风险管理部 陈小龙 15889891688 2 中国工商 银行中山分行普惠金融事业部 陈炳菁 18928108782 普惠金融事业部 杨培鹏 15900085352 3 中国农业银行中山分行 普惠金融事业部 赖思韵 22644682 4 广发银行中山分行 普惠 金融部 林光宇 888 62643 5 中国邮政储蓄银行中山市分行 小企业金融部 黄嘉霖138247207 41 6 中山农村商业银 行 总行公司业务部 杜保森 88884181 7 平安银行中山分行 普惠金融部 林晓冰 13823931817 8 兴业银行中山分行 企业金融部 刘中芳 0760-88368666-203172 9 招商银行中山分行公司金融事业部 唐庆颖 13924998608 10 中国光大银行中山分行 公司业 务管理部 张梓颖 076 0-88858067 11 广州银行中山分行 公司金融部 杨顺龙 88776919 12 中信银行中山分行 普惠金融部 陈廷忠 15113386853 普惠金融部 余超贤 15918291829 13 渤海银行中山分行 公司金融部 李建夏 13631124024、0760-87911816 分行营业部 徐艺 13928142042、0760-87911808 14 华夏银行中山分行 营销管理部 叶怡 28137 855 15 东莞银行中山分行 业务部赵荣耀 13042854636/86939959 16 东亚银行（中国）有限公司中山支行 中山支行 王涛89986282/18926998881 17 浦发银行中山分行 交易银行部 付涛 0760-89982303 3、中小微企业有融资需求的，可通过应收账款融资服务平台（网址： www.crcrfsp.com）和中山市社会征信和金融服务一体化系统（网址：www.zsythxt.zs.gov .cn）向辖区内特定或非特定银行机构咨询并提出融资申请。4、采购人应当及时在应收账款融资 服务平台（网址：www.crcrf sp.com）确认债权债务关系，支持中小微企业融资。5、中小微企业与银行机构签订政府采购质押融资合同的，由采购人牵头与中小微企业和银行机构三方签 署《政府采购合同项下政府采购资金唯一回款账户确认函》，确保合同款支付到中小微企业在融资银行机构开立的回款账号。 6、财政部门根据《政府采购法》等相关法规、规章规定，对参加政府采购活动的供应商的不良行为予以记录，并纳入中山市社会征信和金融服务一体化系统，供银行机构融资授信时审慎性参考。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r>
              <w:rPr/>
              <w:t>19</w:t>
            </w:r>
          </w:p>
        </w:tc>
        <w:tc>
          <w:tcPr>
            <w:tcW w:type="dxa" w:w="2252"/>
          </w:tcPr>
          <w:p>
            <w:r>
              <w:rPr/>
              <w:t>开标解密时长</w:t>
            </w:r>
          </w:p>
        </w:tc>
        <w:tc>
          <w:tcPr>
            <w:tcW w:type="dxa" w:w="5004"/>
          </w:tcPr>
          <w:p>
            <w:r>
              <w:rPr/>
              <w:t>120分钟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采购包1：否</w:t>
            </w:r>
          </w:p>
          <w:p>
            <w:pPr>
              <w:jc w:val="left"/>
            </w:pPr>
            <w:r>
              <w:rPr/>
              <w:t>采购包2：否</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5.5联合体各方均应满足采购文件规定的资格要求。由同一资质条件的投标人组成的联合体，应当按照资质等级较低的投标人确定联合体资质等级。</w:t>
      </w:r>
    </w:p>
    <w:p>
      <w:pPr>
        <w:ind w:firstLine="480"/>
      </w:pPr>
      <w:r>
        <w:rPr/>
        <w:t>5.6联合体各方应当共同与采购人签订采购合同，就合同约定的事项对采购人承担连带责任。</w:t>
      </w:r>
    </w:p>
    <w:p>
      <w:pPr>
        <w:ind w:firstLine="480"/>
      </w:pPr>
      <w:r>
        <w:rPr/>
        <w:t>5.7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，中山市政府采购网（http://113.106.13.242:8088/zfcg/），中山市公共资源交易网（http://ggzyjy.zs .gov.cn/），智林招标（广东）有限公司官网（http://www.智林招标.com/）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，中山市政府采购网（http://113.106.13.242:8088/zfcg/），中山市公共资源交易网（http://ggzyjy.zs .gov.cn/），智林招标（广东）有限公司官网（http://www.智林招标.com/）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zhilinzb@163.com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广州市规定自《中标通知书》发出之日起二十日内签订合同），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山市人民医院消毒供应中心清洗消毒机采购项目（包组一）)：综合评分法,是指投标文件满足招标文件全部实质性要求，且按照评审因素的量化指标评审得分最高的投标人为中标候选人的评标方法。（最低报价不是中标的唯一依据。）</w:t>
      </w:r>
    </w:p>
    <w:p/>
    <w:p>
      <w:r>
        <w:rPr/>
        <w:t>采购包2(中山市人民医院消毒供应中心清洗消毒机采购项目（包组二）)：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 不同投标人的电子投标文件上传计算机的网卡MAC地址硬件信息相同的（开标现场上传电子投标文件的除外）；</w:t>
      </w:r>
    </w:p>
    <w:p>
      <w:pPr>
        <w:ind w:firstLine="480"/>
      </w:pPr>
      <w:r>
        <w:rPr/>
        <w:t>4.8投标人上传的电子投标文件使用该项目其他投标人的数字证书加密的或加盖该项目的其他投标人的电子印章的。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采购包1（中山市人民医院消毒供应中心清洗消毒机采购项目（包组一））：</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投标（响应）产品均由小微企业生产且使用该小微企业商号或者注册商标</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5%</w:t>
            </w:r>
          </w:p>
        </w:tc>
        <w:tc>
          <w:tcPr>
            <w:tcW w:type="dxa" w:w="2160"/>
          </w:tcPr>
          <w:p>
            <w:pPr>
              <w:jc w:val="left"/>
            </w:pPr>
            <w:r>
              <w:rPr/>
              <w:t>对获得节能产品认证证书或环境标志产品认证证书的产品给予5%的价格扣除，具体扣除比例根据节能产品或环境标志产品在采购项目中的重要性、所占比重等因素确定。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r>
        <w:rPr/>
        <w:t>采购包2（中山市人民医院消毒供应中心清洗消毒机采购项目（包组二））：</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投标（响应）产品均由小微企业生产且使用该小微企业商号或者注册商标</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5%</w:t>
            </w:r>
          </w:p>
        </w:tc>
        <w:tc>
          <w:tcPr>
            <w:tcW w:type="dxa" w:w="2160"/>
          </w:tcPr>
          <w:p>
            <w:pPr>
              <w:jc w:val="left"/>
            </w:pPr>
            <w:r>
              <w:rPr/>
              <w:t>对获得节能产品认证证书或环境标志产品认证证书的产品给予5%的价格扣除，具体扣除比例根据节能产品或环境标志产品在采购项目中的重要性、所占比重等因素确定。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系统抓取并记录到供应商与同项目（采购包）其他投标（响应）供应商电子投标文件上传计算机的网卡MAC地址硬件信息相同（开标现场上传电子投标文件的除外）的情形，评标委员会应认定其投标（响应）无效。</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采购包1（中山市人民医院消毒供应中心清洗消毒机采购项目（包组一））：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财务状况报告或基本开户行出具的资信证明或投标截止日前12个月内任意1个月的财务报表，包括：资产负债表、利润表复印件加盖投标人公章）。</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本项目特定资格要求</w:t>
            </w:r>
          </w:p>
        </w:tc>
        <w:tc>
          <w:tcPr>
            <w:tcW w:type="dxa" w:w="4238"/>
          </w:tcPr>
          <w:p>
            <w:r>
              <w:rPr/>
              <w:t>供应商须具有其中一项有效的许可证明：《医疗器械生产许可证》、《医疗器械生产备案证》、《医疗器械经营许可证》、《医疗器械经营备案证》、《食品药品经营许可证》（提供相应证明文件复印件并加盖投标人公章）。</w:t>
            </w:r>
          </w:p>
        </w:tc>
      </w:tr>
      <w:tr>
        <w:tc>
          <w:tcPr>
            <w:tcW w:type="dxa" w:w="890"/>
          </w:tcPr>
          <w:p>
            <w:r>
              <w:rPr/>
              <w:t>7</w:t>
            </w:r>
          </w:p>
        </w:tc>
        <w:tc>
          <w:tcPr>
            <w:tcW w:type="dxa" w:w="3178"/>
          </w:tcPr>
          <w:p>
            <w:r>
              <w:rPr/>
              <w:t>信用记录</w:t>
            </w:r>
          </w:p>
        </w:tc>
        <w:tc>
          <w:tcPr>
            <w:tcW w:type="dxa" w:w="4238"/>
          </w:tcPr>
          <w:p>
            <w:r>
              <w:rPr/>
              <w:t>供应商未被列入“信用中国”网站(www.creditchina.gov.cn)“记录失信被执行人或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8</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9</w:t>
            </w:r>
          </w:p>
        </w:tc>
        <w:tc>
          <w:tcPr>
            <w:tcW w:type="dxa" w:w="3178"/>
          </w:tcPr>
          <w:p>
            <w:r>
              <w:rPr/>
              <w:t>落实政府采购政策需满足的资格要求</w:t>
            </w:r>
          </w:p>
        </w:tc>
        <w:tc>
          <w:tcPr>
            <w:tcW w:type="dxa" w:w="4238"/>
          </w:tcPr>
          <w:p>
            <w:r>
              <w:rPr/>
              <w:t>本项目不专门面向中小企业采购</w:t>
            </w:r>
          </w:p>
        </w:tc>
      </w:tr>
    </w:tbl>
    <w:p/>
    <w:p>
      <w:r>
        <w:rPr/>
        <w:t>采购包2（中山市人民医院消毒供应中心清洗消毒机采购项目（包组二））：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财务状况报告或基本开户行出具的资信证明或投标截止日前12个月内任意1个月的财务报表，包括：资产负债表、利润表复印件加盖投标人公章）。</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本项目特定资格要求</w:t>
            </w:r>
          </w:p>
        </w:tc>
        <w:tc>
          <w:tcPr>
            <w:tcW w:type="dxa" w:w="4238"/>
          </w:tcPr>
          <w:p>
            <w:r>
              <w:rPr/>
              <w:t>供应商须具有其中一项有效的许可证明：《医疗器械生产许可证》、《医疗器械生产备案证》、《医疗器械经营许可证》、《医疗器械经营备案证》、《食品药品经营许可证》（提供相应证明文件复印件并加盖投标人公章）。</w:t>
            </w:r>
          </w:p>
        </w:tc>
      </w:tr>
      <w:tr>
        <w:tc>
          <w:tcPr>
            <w:tcW w:type="dxa" w:w="890"/>
          </w:tcPr>
          <w:p>
            <w:r>
              <w:rPr/>
              <w:t>7</w:t>
            </w:r>
          </w:p>
        </w:tc>
        <w:tc>
          <w:tcPr>
            <w:tcW w:type="dxa" w:w="3178"/>
          </w:tcPr>
          <w:p>
            <w:r>
              <w:rPr/>
              <w:t>信用记录</w:t>
            </w:r>
          </w:p>
        </w:tc>
        <w:tc>
          <w:tcPr>
            <w:tcW w:type="dxa" w:w="4238"/>
          </w:tcPr>
          <w:p>
            <w:r>
              <w:rPr/>
              <w:t>供应商未被列入“信用中国”网站(www.creditchina.gov.cn)“记录失信被执行人或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8</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9</w:t>
            </w:r>
          </w:p>
        </w:tc>
        <w:tc>
          <w:tcPr>
            <w:tcW w:type="dxa" w:w="3178"/>
          </w:tcPr>
          <w:p>
            <w:r>
              <w:rPr/>
              <w:t>落实政府采购政策需满足的资格要求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采购包1（中山市人民医院消毒供应中心清洗消毒机采购项目（包组一））：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投标函及投标有效期</w:t>
            </w:r>
          </w:p>
        </w:tc>
        <w:tc>
          <w:tcPr>
            <w:tcW w:type="dxa" w:w="4238"/>
          </w:tcPr>
          <w:p>
            <w:r>
              <w:rPr/>
              <w:t>投标函及投标有效期符合要求（90天）。</w:t>
            </w:r>
          </w:p>
        </w:tc>
      </w:tr>
      <w:tr>
        <w:tc>
          <w:tcPr>
            <w:tcW w:type="dxa" w:w="890"/>
          </w:tcPr>
          <w:p>
            <w:r>
              <w:rPr/>
              <w:t>2</w:t>
            </w:r>
          </w:p>
        </w:tc>
        <w:tc>
          <w:tcPr>
            <w:tcW w:type="dxa" w:w="3178"/>
          </w:tcPr>
          <w:p>
            <w:r>
              <w:rPr/>
              <w:t>投标文件格式</w:t>
            </w:r>
          </w:p>
        </w:tc>
        <w:tc>
          <w:tcPr>
            <w:tcW w:type="dxa" w:w="4238"/>
          </w:tcPr>
          <w:p>
            <w:r>
              <w:rPr/>
              <w:t>按投标文件格式规定盖章和签署。</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投标（报价）总金额是固定价且是唯一的，未超过本项目采购预算。</w:t>
            </w:r>
          </w:p>
        </w:tc>
      </w:tr>
      <w:tr>
        <w:tc>
          <w:tcPr>
            <w:tcW w:type="dxa" w:w="890"/>
          </w:tcPr>
          <w:p>
            <w:r>
              <w:rPr/>
              <w:t>5</w:t>
            </w:r>
          </w:p>
        </w:tc>
        <w:tc>
          <w:tcPr>
            <w:tcW w:type="dxa" w:w="3178"/>
          </w:tcPr>
          <w:p>
            <w:r>
              <w:rPr/>
              <w:t>带“★”号条款要求</w:t>
            </w:r>
          </w:p>
        </w:tc>
        <w:tc>
          <w:tcPr>
            <w:tcW w:type="dxa" w:w="4238"/>
          </w:tcPr>
          <w:p>
            <w:r>
              <w:rPr/>
              <w:t>实质性满足采购需求的带“★”号条款要求。</w:t>
            </w:r>
          </w:p>
        </w:tc>
      </w:tr>
      <w:tr>
        <w:tc>
          <w:tcPr>
            <w:tcW w:type="dxa" w:w="890"/>
          </w:tcPr>
          <w:p>
            <w:r>
              <w:rPr/>
              <w:t>6</w:t>
            </w:r>
          </w:p>
        </w:tc>
        <w:tc>
          <w:tcPr>
            <w:tcW w:type="dxa" w:w="3178"/>
          </w:tcPr>
          <w:p>
            <w:r>
              <w:rPr/>
              <w:t>其他</w:t>
            </w:r>
          </w:p>
        </w:tc>
        <w:tc>
          <w:tcPr>
            <w:tcW w:type="dxa" w:w="4238"/>
          </w:tcPr>
          <w:p>
            <w:r>
              <w:rPr/>
              <w:t>无招标文件或法规明确规定可以废标的其他情形。</w:t>
            </w:r>
          </w:p>
        </w:tc>
      </w:tr>
    </w:tbl>
    <w:p/>
    <w:p>
      <w:r>
        <w:rPr/>
        <w:t>采购包2（中山市人民医院消毒供应中心清洗消毒机采购项目（包组二））：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投标函及投标有效期</w:t>
            </w:r>
          </w:p>
        </w:tc>
        <w:tc>
          <w:tcPr>
            <w:tcW w:type="dxa" w:w="4238"/>
          </w:tcPr>
          <w:p>
            <w:r>
              <w:rPr/>
              <w:t>投标函及投标有效期符合要求（90天）。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投标（报价）总金额是固定价且是唯一的，未超过本项目采购预算。</w:t>
            </w:r>
          </w:p>
        </w:tc>
      </w:tr>
      <w:tr>
        <w:tc>
          <w:tcPr>
            <w:tcW w:type="dxa" w:w="890"/>
          </w:tcPr>
          <w:p>
            <w:r>
              <w:rPr/>
              <w:t>5</w:t>
            </w:r>
          </w:p>
        </w:tc>
        <w:tc>
          <w:tcPr>
            <w:tcW w:type="dxa" w:w="3178"/>
          </w:tcPr>
          <w:p>
            <w:r>
              <w:rPr/>
              <w:t>带“★”号条款要求</w:t>
            </w:r>
          </w:p>
        </w:tc>
        <w:tc>
          <w:tcPr>
            <w:tcW w:type="dxa" w:w="4238"/>
          </w:tcPr>
          <w:p>
            <w:r>
              <w:rPr/>
              <w:t>实质性满足采购需求的带“★”号条款要求。</w:t>
            </w:r>
          </w:p>
        </w:tc>
      </w:tr>
      <w:tr>
        <w:tc>
          <w:tcPr>
            <w:tcW w:type="dxa" w:w="890"/>
          </w:tcPr>
          <w:p>
            <w:r>
              <w:rPr/>
              <w:t>6</w:t>
            </w:r>
          </w:p>
        </w:tc>
        <w:tc>
          <w:tcPr>
            <w:tcW w:type="dxa" w:w="3178"/>
          </w:tcPr>
          <w:p>
            <w:r>
              <w:rPr/>
              <w:t>其他</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中山市人民医院消毒供应中心清洗消毒机采购项目（包组一）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商务部分15.0分</w:t>
            </w:r>
          </w:p>
          <w:p>
            <w:r>
              <w:rPr/>
              <w:t>技术部分55.0分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中“具体技术（参数）要求”条款的 响应情况 (40.0分)</w:t>
            </w:r>
          </w:p>
        </w:tc>
        <w:tc>
          <w:tcPr>
            <w:tcW w:type="dxa" w:w="5076"/>
          </w:tcPr>
          <w:p>
            <w:pPr>
              <w:jc w:val="left"/>
            </w:pPr>
            <w:r>
              <w:rPr/>
              <w:t>考核投标人对招标文件第二章《采购需求》中采购包 1 的附表一、附表二“具体技术（参数）要求”中所有条款的响应程度（每条条款最小一级序号均以一项计算）：①完全响应技术要求的得40分；②“▲”条款参数每负偏离一项扣4分，本项共24分，扣完为止；③非“▲”条款每负偏离一项扣0.5分，本项共16分，扣完为止。 注：投标文件中提供技术指标相应的技术支持文件复印件并加盖投标人或生产厂家公章（技术支持文件不限于原厂彩页证明文件、技术白皮书、产品功能界面截图、检测报告等），如采购需求有具体要求，以具体要求为准。未提供或未按要求提供相关证明材料的不得分。</w:t>
            </w:r>
          </w:p>
        </w:tc>
      </w:tr>
      <w:tr>
        <w:tc>
          <w:tcPr>
            <w:tcW w:type="dxa" w:w="922"/>
            <w:gridSpan w:val="2"/>
            <w:vMerge/>
          </w:tcPr>
          <w:p/>
        </w:tc>
        <w:tc>
          <w:tcPr>
            <w:tcW w:type="dxa" w:w="2307"/>
          </w:tcPr>
          <w:p>
            <w:pPr>
              <w:jc w:val="left"/>
            </w:pPr>
            <w:r>
              <w:rPr/>
              <w:t>安装、检测、验收、操作及培训计划  (5.0分)</w:t>
            </w:r>
            <w:r>
              <w:rPr/>
              <w:t>，（等次分值选择：</w:t>
            </w:r>
            <w:r>
              <w:rPr/>
              <w:t>0.0;</w:t>
            </w:r>
            <w:r>
              <w:rPr/>
              <w:t>0.5;</w:t>
            </w:r>
            <w:r>
              <w:rPr/>
              <w:t>2.0;</w:t>
            </w:r>
            <w:r>
              <w:rPr/>
              <w:t>3.5;</w:t>
            </w:r>
            <w:r>
              <w:rPr/>
              <w:t>5.0;</w:t>
            </w:r>
            <w:r>
              <w:rPr/>
              <w:t>）</w:t>
            </w:r>
          </w:p>
        </w:tc>
        <w:tc>
          <w:tcPr>
            <w:tcW w:type="dxa" w:w="5076"/>
          </w:tcPr>
          <w:p>
            <w:pPr>
              <w:jc w:val="left"/>
            </w:pPr>
            <w:r>
              <w:rPr/>
              <w:t>评委对各投标人提供的安装、检测、验收、操作及培训计划进行评审 。 1、安装、检测、验收、培训计划条理清晰，脉络分明，操作性强，人性化，能体现以人为本、服务至上的售后理念，得5 分； 2、安装、检测、验收、培训计划条理较清晰，脉络较分明，操作性较强，能体现以人为本、服务至上的售后理念，得3.5分； 3、安装、检测、验收、培训计划条理模糊，脉络较分明，操作性一般，不能体现以人为本、 服务至上的售后理念，得2分； 4、安装、检测、验收、培训计划条理模糊 ，脉络不分明，操作性差，不能体现以人为本、服务至上的售后理念，得 0.5分； 5、不提供计划得0分。</w:t>
            </w:r>
          </w:p>
        </w:tc>
      </w:tr>
      <w:tr>
        <w:tc>
          <w:tcPr>
            <w:tcW w:type="dxa" w:w="922"/>
            <w:gridSpan w:val="2"/>
            <w:vMerge/>
          </w:tcPr>
          <w:p/>
        </w:tc>
        <w:tc>
          <w:tcPr>
            <w:tcW w:type="dxa" w:w="2307"/>
          </w:tcPr>
          <w:p>
            <w:pPr>
              <w:jc w:val="left"/>
            </w:pPr>
            <w:r>
              <w:rPr/>
              <w:t>产品的配置、选型及性能 (5.0分)</w:t>
            </w:r>
            <w:r>
              <w:rPr/>
              <w:t>，（等次分值选择：</w:t>
            </w:r>
            <w:r>
              <w:rPr/>
              <w:t>0.0;</w:t>
            </w:r>
            <w:r>
              <w:rPr/>
              <w:t>0.5;</w:t>
            </w:r>
            <w:r>
              <w:rPr/>
              <w:t>2.0;</w:t>
            </w:r>
            <w:r>
              <w:rPr/>
              <w:t>3.5;</w:t>
            </w:r>
            <w:r>
              <w:rPr/>
              <w:t>5.0;</w:t>
            </w:r>
            <w:r>
              <w:rPr/>
              <w:t>）</w:t>
            </w:r>
          </w:p>
        </w:tc>
        <w:tc>
          <w:tcPr>
            <w:tcW w:type="dxa" w:w="5076"/>
          </w:tcPr>
          <w:p>
            <w:pPr>
              <w:jc w:val="left"/>
            </w:pPr>
            <w:r>
              <w:rPr/>
              <w:t>评委综合各投标人提供的产品配置、选型及性能进行评审。 1、所投产品的配置完全满足或优于招标文件要求，选型及性能非常好，完全能满足采购人需求，得 5 分； 2、所投产品的配置基本满足招标文件要求，选型及性能比较好，比较能满足采购人需求，得 3.5 分； 3、所投产品的配置勉强满足招标文件要求，选型及性能一般，勉强能满足采购人需求，得 2 分； 4、所投产品的配置不能满足招标文件要求，选型及性能不太好，不能满足采购人需求，得0.5 分； 5、不提供得0分。</w:t>
            </w:r>
          </w:p>
        </w:tc>
      </w:tr>
      <w:tr>
        <w:tc>
          <w:tcPr>
            <w:tcW w:type="dxa" w:w="922"/>
            <w:gridSpan w:val="2"/>
            <w:vMerge/>
          </w:tcPr>
          <w:p/>
        </w:tc>
        <w:tc>
          <w:tcPr>
            <w:tcW w:type="dxa" w:w="2307"/>
          </w:tcPr>
          <w:p>
            <w:pPr>
              <w:jc w:val="left"/>
            </w:pPr>
            <w:r>
              <w:rPr/>
              <w:t>服务响应、维护保养及应急措施方案 (5.0分)</w:t>
            </w:r>
            <w:r>
              <w:rPr/>
              <w:t>，（等次分值选择：</w:t>
            </w:r>
            <w:r>
              <w:rPr/>
              <w:t>0.0;</w:t>
            </w:r>
            <w:r>
              <w:rPr/>
              <w:t>0.5;</w:t>
            </w:r>
            <w:r>
              <w:rPr/>
              <w:t>2.0;</w:t>
            </w:r>
            <w:r>
              <w:rPr/>
              <w:t>3.5;</w:t>
            </w:r>
            <w:r>
              <w:rPr/>
              <w:t>5.0;</w:t>
            </w:r>
            <w:r>
              <w:rPr/>
              <w:t>）</w:t>
            </w:r>
          </w:p>
        </w:tc>
        <w:tc>
          <w:tcPr>
            <w:tcW w:type="dxa" w:w="5076"/>
          </w:tcPr>
          <w:p>
            <w:pPr>
              <w:jc w:val="left"/>
            </w:pPr>
            <w:r>
              <w:rPr/>
              <w:t>评委对各投标人服务响应、维护保养及应急措施方案进行评审。（招标文件要求：接到通知后2小时内响应，4小时内答复，24小时内到达现场维修。） 1、服务响应时间优于招标文件要求，处理问题能力强，质保期、维护保养方案优，应急预案好，考虑情况全面，处理措施完善，得5分；  2、服务响应时间满足招标文件要求，处理问题能力较强，质保期、维护保养方案较好，应急预案较好，考虑情况较全面，处理措施较好，得3.5分； 3、服务响应时间满足招标文件要求，处理问题能力一般；质保期、维护保养方案一般，应急预案一般，考虑情况一般，处理措施一般 ，得2分； 4、服务响应时间未能满足招标文件要求，处理问题能力较弱，质保期、维护保养方案不够具体，应急预案考虑情况不太周全，处理措施不够完善，得0.5分； 5、不提供方案得0分。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(8.0分)</w:t>
            </w:r>
          </w:p>
        </w:tc>
        <w:tc>
          <w:tcPr>
            <w:tcW w:type="dxa" w:w="5076"/>
          </w:tcPr>
          <w:p>
            <w:pPr>
              <w:jc w:val="left"/>
            </w:pPr>
            <w:r>
              <w:rPr/>
              <w:t>考核对采购需求中“主要商务要求”所有小点的响应程度。 完全响应要求的得 8 分； 每负偏离一项扣0.5分，本项8分，扣完为止。</w:t>
            </w:r>
          </w:p>
        </w:tc>
      </w:tr>
      <w:tr>
        <w:tc>
          <w:tcPr>
            <w:tcW w:type="dxa" w:w="922"/>
            <w:gridSpan w:val="2"/>
            <w:vMerge/>
          </w:tcPr>
          <w:p/>
        </w:tc>
        <w:tc>
          <w:tcPr>
            <w:tcW w:type="dxa" w:w="2307"/>
          </w:tcPr>
          <w:p>
            <w:pPr>
              <w:jc w:val="left"/>
            </w:pPr>
            <w:r>
              <w:rPr/>
              <w:t>企业资质 (3.0分)</w:t>
            </w:r>
          </w:p>
        </w:tc>
        <w:tc>
          <w:tcPr>
            <w:tcW w:type="dxa" w:w="5076"/>
          </w:tcPr>
          <w:p>
            <w:pPr>
              <w:jc w:val="left"/>
            </w:pPr>
            <w:r>
              <w:rPr/>
              <w:t>①质量管理体系认证证书（1分） ②环境管理体系认证证书（1分） ③职业健康安全管理体系证书（1分） 注：投标人或所投设备生产厂家具备以上证书，每提供一个证书得1分，满分3分。 提供有效期内的证书复印件并加盖投标人的公章，不按要求提供不等分。</w:t>
            </w:r>
          </w:p>
        </w:tc>
      </w:tr>
      <w:tr>
        <w:tc>
          <w:tcPr>
            <w:tcW w:type="dxa" w:w="922"/>
            <w:gridSpan w:val="2"/>
            <w:vMerge/>
          </w:tcPr>
          <w:p/>
        </w:tc>
        <w:tc>
          <w:tcPr>
            <w:tcW w:type="dxa" w:w="2307"/>
          </w:tcPr>
          <w:p>
            <w:pPr>
              <w:jc w:val="left"/>
            </w:pPr>
            <w:r>
              <w:rPr/>
              <w:t>同类项目业绩 (3.0分)</w:t>
            </w:r>
          </w:p>
        </w:tc>
        <w:tc>
          <w:tcPr>
            <w:tcW w:type="dxa" w:w="5076"/>
          </w:tcPr>
          <w:p>
            <w:pPr>
              <w:jc w:val="left"/>
            </w:pPr>
            <w:r>
              <w:rPr/>
              <w:t>评标委员会应根据投标人提供的业绩情况进行评审： 2019年1月1日以来 （以合同签订日期为准）投标人承接的同类项目业绩，每提供一个项目业绩得1分，最多得3分。 注：按招标文件格式十四填写《投标人业绩情况表 》并提供加盖投标人公章的业绩合同关键页复印件（《投标人业绩情况表 》里客户名称、项目名称及合同金额、签订合同时间为必填项；关键页内容必须清晰阐明项目名称、双方单位名称、合同签订日期、合同履行主要内容），未按要求提供的不得分。</w:t>
            </w:r>
          </w:p>
        </w:tc>
      </w:tr>
      <w:tr>
        <w:tc>
          <w:tcPr>
            <w:tcW w:type="dxa" w:w="922"/>
            <w:gridSpan w:val="2"/>
            <w:vMerge/>
          </w:tcPr>
          <w:p/>
        </w:tc>
        <w:tc>
          <w:tcPr>
            <w:tcW w:type="dxa" w:w="2307"/>
          </w:tcPr>
          <w:p>
            <w:pPr>
              <w:jc w:val="left"/>
            </w:pPr>
            <w:r>
              <w:rPr/>
              <w:t>信用证明 (1.0分)</w:t>
            </w:r>
          </w:p>
        </w:tc>
        <w:tc>
          <w:tcPr>
            <w:tcW w:type="dxa" w:w="5076"/>
          </w:tcPr>
          <w:p>
            <w:pPr>
              <w:jc w:val="left"/>
            </w:pPr>
            <w:r>
              <w:rPr/>
              <w:t>提供由中国人民银行出具的企业信用报告或由有资质的第三方信用机构出具的企业信用报告 ①提供信用报告且无不良记录的得 1 分； ②不提供信用报告或提供信用报告但是有不良记录的均不得分。 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中山市人民医院消毒供应中心清洗消毒机采购项目（包组二）</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商务部分15.0分</w:t>
            </w:r>
          </w:p>
          <w:p>
            <w:r>
              <w:rPr/>
              <w:t>技术部分55.0分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中“具体技术（参数）要求”条款的 响应情况  (25.0分)</w:t>
            </w:r>
          </w:p>
        </w:tc>
        <w:tc>
          <w:tcPr>
            <w:tcW w:type="dxa" w:w="5076"/>
          </w:tcPr>
          <w:p>
            <w:pPr>
              <w:jc w:val="left"/>
            </w:pPr>
            <w:r>
              <w:rPr/>
              <w:t>考核投标人对招标文件第二章《采购需求》中采购包 2 的附表一“具体技术（参数）要求”中所有条款的响应程度（每条条款最小一级序号均以一项计算）：①完全响应技术要求的得25分；②“▲”条款参数每负偏离一项扣4分，本项共12分，扣完为止；③非“▲”条款每负偏离一项扣1分，本项共13分，扣完为止。 注：投标文件中提供技术指标相应的技术支持文件复印件并加盖投标人或生产厂家公章（技术支持文件不限于原厂彩页证明文件、技术白皮书、产品功能界面截图、检测报告等），如采购需求有具体要求，以具体要求为准。未提供或未按要求提供相关证明材料的不得分。</w:t>
            </w:r>
          </w:p>
        </w:tc>
      </w:tr>
      <w:tr>
        <w:tc>
          <w:tcPr>
            <w:tcW w:type="dxa" w:w="922"/>
            <w:gridSpan w:val="2"/>
            <w:vMerge/>
          </w:tcPr>
          <w:p/>
        </w:tc>
        <w:tc>
          <w:tcPr>
            <w:tcW w:type="dxa" w:w="2307"/>
          </w:tcPr>
          <w:p>
            <w:pPr>
              <w:jc w:val="left"/>
            </w:pPr>
            <w:r>
              <w:rPr/>
              <w:t>安装、检测、验收、操作及培训计划 (10.0分)</w:t>
            </w:r>
            <w:r>
              <w:rPr/>
              <w:t>，（等次分值选择：</w:t>
            </w:r>
            <w:r>
              <w:rPr/>
              <w:t>0.0;</w:t>
            </w:r>
            <w:r>
              <w:rPr/>
              <w:t>1.0;</w:t>
            </w:r>
            <w:r>
              <w:rPr/>
              <w:t>4.0;</w:t>
            </w:r>
            <w:r>
              <w:rPr/>
              <w:t>7.0;</w:t>
            </w:r>
            <w:r>
              <w:rPr/>
              <w:t>10.0;</w:t>
            </w:r>
            <w:r>
              <w:rPr/>
              <w:t>）</w:t>
            </w:r>
          </w:p>
        </w:tc>
        <w:tc>
          <w:tcPr>
            <w:tcW w:type="dxa" w:w="5076"/>
          </w:tcPr>
          <w:p>
            <w:pPr>
              <w:jc w:val="left"/>
            </w:pPr>
            <w:r>
              <w:rPr/>
              <w:t>评委对各投标人提供的安装、检测、验收、操作及培训计划进行评审 。 1、安装、检测、验收、培训计划条理清晰，脉络分明，操作性强，人性化，能体现以人为本、服务至上的售后理念，得10 分； 2、安装、检测、验收、培训计划条理较清晰，脉络较分明，操作性较强，能体现以人为本、服务至上的售后理念，得7分； 3、安装、检测、验收、培训计划条理模糊，脉络较分明，操作性一般，不能体现以人为本、 服务至上的售后理念，得4分； 4、安装、检测、验收、培训计划条理模糊 ，脉络不分明，操作性差，不能体现以人为本、服务至上的售后理念，得1分； 5、不提供计划得0分。</w:t>
            </w:r>
          </w:p>
        </w:tc>
      </w:tr>
      <w:tr>
        <w:tc>
          <w:tcPr>
            <w:tcW w:type="dxa" w:w="922"/>
            <w:gridSpan w:val="2"/>
            <w:vMerge/>
          </w:tcPr>
          <w:p/>
        </w:tc>
        <w:tc>
          <w:tcPr>
            <w:tcW w:type="dxa" w:w="2307"/>
          </w:tcPr>
          <w:p>
            <w:pPr>
              <w:jc w:val="left"/>
            </w:pPr>
            <w:r>
              <w:rPr/>
              <w:t>产品的配置、选型及性能 (10.0分)</w:t>
            </w:r>
            <w:r>
              <w:rPr/>
              <w:t>，（等次分值选择：</w:t>
            </w:r>
            <w:r>
              <w:rPr/>
              <w:t>0.0;</w:t>
            </w:r>
            <w:r>
              <w:rPr/>
              <w:t>1.0;</w:t>
            </w:r>
            <w:r>
              <w:rPr/>
              <w:t>4.0;</w:t>
            </w:r>
            <w:r>
              <w:rPr/>
              <w:t>7.0;</w:t>
            </w:r>
            <w:r>
              <w:rPr/>
              <w:t>10.0;</w:t>
            </w:r>
            <w:r>
              <w:rPr/>
              <w:t>）</w:t>
            </w:r>
          </w:p>
        </w:tc>
        <w:tc>
          <w:tcPr>
            <w:tcW w:type="dxa" w:w="5076"/>
          </w:tcPr>
          <w:p>
            <w:pPr>
              <w:jc w:val="left"/>
            </w:pPr>
            <w:r>
              <w:rPr/>
              <w:t>评委综合各投标人提供的产品配置、选型及性能进行评审。1、所投产品的配置完全满足或优于招标文件要求，选型及性能非常好，完全能满足采购人需求，得 10分； 2、所投产品的配置基本满足招标文件要求，选型及性能比较好，比较能满足采购人需求，得7分； 3、所投产品的配置勉强满足招标文件要求，选型及性能一般，勉强能满足采购人需求，得4分；4、所投产品的配置不能满足招标文件要求，选型及性能不太好，不能满足采购人需求，得1分；5、不提供得0分。</w:t>
            </w:r>
          </w:p>
        </w:tc>
      </w:tr>
      <w:tr>
        <w:tc>
          <w:tcPr>
            <w:tcW w:type="dxa" w:w="922"/>
            <w:gridSpan w:val="2"/>
            <w:vMerge/>
          </w:tcPr>
          <w:p/>
        </w:tc>
        <w:tc>
          <w:tcPr>
            <w:tcW w:type="dxa" w:w="2307"/>
          </w:tcPr>
          <w:p>
            <w:pPr>
              <w:jc w:val="left"/>
            </w:pPr>
            <w:r>
              <w:rPr/>
              <w:t>服务响应、维护保养及应急措施方案 (10.0分)</w:t>
            </w:r>
            <w:r>
              <w:rPr/>
              <w:t>，（等次分值选择：</w:t>
            </w:r>
            <w:r>
              <w:rPr/>
              <w:t>0.0;</w:t>
            </w:r>
            <w:r>
              <w:rPr/>
              <w:t>1.0;</w:t>
            </w:r>
            <w:r>
              <w:rPr/>
              <w:t>4.0;</w:t>
            </w:r>
            <w:r>
              <w:rPr/>
              <w:t>7.0;</w:t>
            </w:r>
            <w:r>
              <w:rPr/>
              <w:t>10.0;</w:t>
            </w:r>
            <w:r>
              <w:rPr/>
              <w:t>）</w:t>
            </w:r>
          </w:p>
        </w:tc>
        <w:tc>
          <w:tcPr>
            <w:tcW w:type="dxa" w:w="5076"/>
          </w:tcPr>
          <w:p>
            <w:pPr>
              <w:jc w:val="left"/>
            </w:pPr>
            <w:r>
              <w:rPr/>
              <w:t>评委对各投标人服务响应、维护保养及应急措施方案进行评审。（招标文件要求：接到通知后2小时内响应，4小时内答复，24小时内到达现场维修。） 1、服务响应时间优于招标文件要求，处理问题能力强，质保期、维护保养方案优，应急预案好，考虑情况全面，处理措施完善，得10分； 2、服务响应时间满足招标文件要求，处理问题能力较强，质保期、维护保养方案较好，应急预案较好，考虑情况较全面，处理措施较好，得7分； 3、服务响应时间满足招标文件要求，处理问题能力一般；质保期、维护保养方案一般，应急预案一般，考虑情况一般，处理措施一般 ，得4分； 4、服务响应时间未能满足招标文件要求，处理问题能力较弱，质保期、维护保养方案不够具体，应急预案考虑情况不太周全，处理措施不够完善，得1分； 5、不提供方案得0分。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(8.0分)</w:t>
            </w:r>
          </w:p>
        </w:tc>
        <w:tc>
          <w:tcPr>
            <w:tcW w:type="dxa" w:w="5076"/>
          </w:tcPr>
          <w:p>
            <w:pPr>
              <w:jc w:val="left"/>
            </w:pPr>
            <w:r>
              <w:rPr/>
              <w:t>考核对采购需求中“主要商务要求”所有小点的响应程度。完全响应要求的得 8 分； 每负偏离一项扣0.5分，本项8分，扣完为止。</w:t>
            </w:r>
          </w:p>
        </w:tc>
      </w:tr>
      <w:tr>
        <w:tc>
          <w:tcPr>
            <w:tcW w:type="dxa" w:w="922"/>
            <w:gridSpan w:val="2"/>
            <w:vMerge/>
          </w:tcPr>
          <w:p/>
        </w:tc>
        <w:tc>
          <w:tcPr>
            <w:tcW w:type="dxa" w:w="2307"/>
          </w:tcPr>
          <w:p>
            <w:pPr>
              <w:jc w:val="left"/>
            </w:pPr>
            <w:r>
              <w:rPr/>
              <w:t>企业资质  (3.0分)</w:t>
            </w:r>
          </w:p>
        </w:tc>
        <w:tc>
          <w:tcPr>
            <w:tcW w:type="dxa" w:w="5076"/>
          </w:tcPr>
          <w:p>
            <w:pPr>
              <w:jc w:val="left"/>
            </w:pPr>
            <w:r>
              <w:rPr/>
              <w:t>①质量管理体系认证证书（1分） ②环境管理体系认证证书（1分） ③职业健康安全管理体系证书（1分） 注：投标人或所投设备生产厂家具备以上证书，每提供一个证书得1分，满分3分。 提供有效期内的证书复印件并加盖投标人的公章，不按要求提供不等分。</w:t>
            </w:r>
          </w:p>
        </w:tc>
      </w:tr>
      <w:tr>
        <w:tc>
          <w:tcPr>
            <w:tcW w:type="dxa" w:w="922"/>
            <w:gridSpan w:val="2"/>
            <w:vMerge/>
          </w:tcPr>
          <w:p/>
        </w:tc>
        <w:tc>
          <w:tcPr>
            <w:tcW w:type="dxa" w:w="2307"/>
          </w:tcPr>
          <w:p>
            <w:pPr>
              <w:jc w:val="left"/>
            </w:pPr>
            <w:r>
              <w:rPr/>
              <w:t>同类项目业绩 (3.0分)</w:t>
            </w:r>
          </w:p>
        </w:tc>
        <w:tc>
          <w:tcPr>
            <w:tcW w:type="dxa" w:w="5076"/>
          </w:tcPr>
          <w:p>
            <w:pPr>
              <w:jc w:val="left"/>
            </w:pPr>
            <w:r>
              <w:rPr/>
              <w:t>评标委员会应根据投标人提供的业绩情况进行评审： 2019年1月1日以来（以合同签订日期为准）投标人承接的同类项目业绩，每提供一个项目业绩得1分，最多得3分。注：按招标文件格式十四填写《投标人业绩情况表 》并提供加盖投标人公章的业绩合同关键页复印件（《投标人业绩情况表 》里客户名称、项目名称及合同金额、签订合同时间为必填项；关键页内容必须清晰阐明项目名称、双方单位名称、合同签订日期、合同履行主要内容），未按要求提供的不得分。</w:t>
            </w:r>
          </w:p>
        </w:tc>
      </w:tr>
      <w:tr>
        <w:tc>
          <w:tcPr>
            <w:tcW w:type="dxa" w:w="922"/>
            <w:gridSpan w:val="2"/>
            <w:vMerge/>
          </w:tcPr>
          <w:p/>
        </w:tc>
        <w:tc>
          <w:tcPr>
            <w:tcW w:type="dxa" w:w="2307"/>
          </w:tcPr>
          <w:p>
            <w:pPr>
              <w:jc w:val="left"/>
            </w:pPr>
            <w:r>
              <w:rPr/>
              <w:t>信用证明 (1.0分)</w:t>
            </w:r>
          </w:p>
        </w:tc>
        <w:tc>
          <w:tcPr>
            <w:tcW w:type="dxa" w:w="5076"/>
          </w:tcPr>
          <w:p>
            <w:pPr>
              <w:jc w:val="left"/>
            </w:pPr>
            <w:r>
              <w:rPr/>
              <w:t>提供由中国人民银行出具的企业信用报告或由有资质的第三方信用机构出具的企业信用报告 ①提供信用报告且无不良记录的得 1 分； ②不提供信用报告或提供信用报告但是有不良记录的均不得分。 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采购包2：</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rPr>
          <w:b/>
          <w:sz w:val="24"/>
        </w:rPr>
        <w:t>（本合同范本仅供参考，中标人与采购人可根据双方的具体要求进行修订，双方所签订的合同不得对招标文件确定的事项和中标人投标文件作实质性修改。）</w:t>
      </w:r>
    </w:p>
    <w:p>
      <w:pPr>
        <w:jc w:val="center"/>
      </w:pPr>
    </w:p>
    <w:p/>
    <w:p>
      <w:pPr>
        <w:jc w:val="left"/>
      </w:pPr>
      <w:r>
        <w:rPr>
          <w:b/>
          <w:sz w:val="28"/>
        </w:rPr>
        <w:t>合同编号</w:t>
      </w:r>
      <w:r>
        <w:rPr>
          <w:b/>
          <w:sz w:val="28"/>
        </w:rPr>
        <w:t>：</w:t>
      </w:r>
      <w:r>
        <w:rPr>
          <w:b/>
          <w:sz w:val="44"/>
        </w:rPr>
        <w:t xml:space="preserve"> </w:t>
      </w:r>
    </w:p>
    <w:p>
      <w:pPr>
        <w:jc w:val="center"/>
      </w:pPr>
    </w:p>
    <w:p>
      <w:pPr>
        <w:jc w:val="center"/>
      </w:pPr>
      <w:r>
        <w:rPr>
          <w:b/>
          <w:sz w:val="36"/>
        </w:rPr>
        <w:t>中山市人民医院医疗设备采购合同</w:t>
      </w:r>
    </w:p>
    <w:p>
      <w:pPr>
        <w:jc w:val="center"/>
      </w:pPr>
    </w:p>
    <w:p>
      <w:pPr>
        <w:jc w:val="center"/>
      </w:pPr>
    </w:p>
    <w:p>
      <w:pPr>
        <w:jc w:val="center"/>
      </w:pPr>
    </w:p>
    <w:p>
      <w:pPr>
        <w:jc w:val="center"/>
      </w:pPr>
    </w:p>
    <w:p>
      <w:pPr>
        <w:jc w:val="center"/>
      </w:pPr>
    </w:p>
    <w:p>
      <w:pPr>
        <w:jc w:val="center"/>
      </w:pPr>
    </w:p>
    <w:p>
      <w:pPr>
        <w:jc w:val="center"/>
      </w:pPr>
    </w:p>
    <w:p>
      <w:pPr>
        <w:jc w:val="center"/>
      </w:pPr>
      <w:r>
        <w:rPr>
          <w:b/>
          <w:sz w:val="33"/>
        </w:rPr>
        <w:t>项目名称：</w:t>
      </w:r>
      <w:r>
        <w:rPr>
          <w:b/>
          <w:sz w:val="33"/>
          <w:u w:val="single"/>
        </w:rPr>
        <w:t xml:space="preserve">        </w:t>
      </w:r>
      <w:r>
        <w:rPr>
          <w:b/>
          <w:sz w:val="33"/>
          <w:u w:val="single"/>
        </w:rPr>
        <w:t xml:space="preserve">           </w:t>
      </w:r>
    </w:p>
    <w:p>
      <w:pPr>
        <w:jc w:val="center"/>
      </w:pPr>
      <w:r>
        <w:rPr>
          <w:b/>
          <w:sz w:val="33"/>
        </w:rPr>
        <w:t>甲方：</w:t>
      </w:r>
      <w:r>
        <w:rPr>
          <w:b/>
          <w:sz w:val="33"/>
          <w:u w:val="single"/>
        </w:rPr>
        <w:t xml:space="preserve">             </w:t>
      </w:r>
    </w:p>
    <w:p>
      <w:pPr>
        <w:jc w:val="center"/>
      </w:pPr>
      <w:r>
        <w:rPr>
          <w:b/>
          <w:sz w:val="33"/>
        </w:rPr>
        <w:t>乙方：</w:t>
      </w:r>
      <w:r>
        <w:rPr>
          <w:b/>
          <w:sz w:val="33"/>
          <w:u w:val="single"/>
        </w:rPr>
        <w:t xml:space="preserve">             </w:t>
      </w:r>
    </w:p>
    <w:p/>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p>
    <w:p>
      <w:pPr>
        <w:jc w:val="center"/>
      </w:pPr>
      <w:r>
        <w:rPr>
          <w:b/>
          <w:sz w:val="40"/>
        </w:rPr>
        <w:t>中山市人民医院医疗设备采购合同</w:t>
      </w:r>
    </w:p>
    <w:p>
      <w:pPr>
        <w:jc w:val="both"/>
      </w:pPr>
    </w:p>
    <w:p>
      <w:pPr>
        <w:jc w:val="both"/>
      </w:pPr>
      <w:r>
        <w:rPr>
          <w:b/>
          <w:sz w:val="28"/>
        </w:rPr>
        <w:t>甲方：中山市人民医院</w:t>
      </w:r>
      <w:r>
        <w:rPr>
          <w:b/>
          <w:sz w:val="28"/>
        </w:rPr>
        <w:t xml:space="preserve">              </w:t>
      </w:r>
      <w:r>
        <w:rPr>
          <w:b/>
          <w:sz w:val="28"/>
        </w:rPr>
        <w:t>合同签订地：</w:t>
      </w:r>
    </w:p>
    <w:p>
      <w:pPr>
        <w:jc w:val="both"/>
      </w:pPr>
      <w:r>
        <w:rPr>
          <w:b/>
          <w:sz w:val="28"/>
        </w:rPr>
        <w:t>乙方：</w:t>
      </w:r>
      <w:r>
        <w:rPr>
          <w:b/>
          <w:sz w:val="28"/>
        </w:rPr>
        <w:t xml:space="preserve">                                 </w:t>
      </w:r>
    </w:p>
    <w:p>
      <w:pPr>
        <w:ind w:firstLine="480"/>
        <w:jc w:val="left"/>
      </w:pPr>
      <w:r>
        <w:rPr>
          <w:color w:val="000000"/>
          <w:sz w:val="24"/>
        </w:rPr>
        <w:t>为保护甲乙双方合法权益，根据</w:t>
      </w:r>
      <w:r>
        <w:rPr>
          <w:sz w:val="21"/>
          <w:u w:val="single"/>
        </w:rPr>
        <w:t xml:space="preserve">         </w:t>
      </w:r>
      <w:r>
        <w:rPr>
          <w:color w:val="000000"/>
          <w:sz w:val="24"/>
        </w:rPr>
        <w:t>采购项目（项目编号：</w:t>
      </w:r>
      <w:r>
        <w:rPr>
          <w:sz w:val="21"/>
          <w:u w:val="single"/>
        </w:rPr>
        <w:t xml:space="preserve">          </w:t>
      </w:r>
      <w:r>
        <w:rPr>
          <w:color w:val="000000"/>
          <w:sz w:val="24"/>
        </w:rPr>
        <w:t>）的采购结果，以及《中华人民共和国民法典》、《中华人民共和国政府采购法》等相关法律、法规，以及广东省定点采购相关规定，签订本合同，并共同遵守。</w:t>
      </w:r>
    </w:p>
    <w:p>
      <w:pPr>
        <w:jc w:val="both"/>
      </w:pPr>
    </w:p>
    <w:p>
      <w:pPr>
        <w:jc w:val="both"/>
      </w:pPr>
      <w:r>
        <w:rPr>
          <w:b/>
          <w:sz w:val="24"/>
        </w:rPr>
        <w:t>第一条</w:t>
      </w:r>
      <w:r>
        <w:rPr>
          <w:b/>
          <w:sz w:val="24"/>
        </w:rPr>
        <w:t>合同设备</w:t>
      </w:r>
    </w:p>
    <w:p>
      <w:pPr>
        <w:ind w:firstLine="480"/>
        <w:jc w:val="both"/>
      </w:pPr>
      <w:r>
        <w:rPr>
          <w:sz w:val="24"/>
        </w:rPr>
        <w:t>乙方负责向甲方供应下表中所列设备及负责安装调试。</w:t>
      </w:r>
    </w:p>
    <w:p>
      <w:pPr>
        <w:ind w:firstLine="200"/>
        <w:jc w:val="both"/>
      </w:pPr>
    </w:p>
    <w:p>
      <w:pPr>
        <w:ind w:firstLine="200"/>
        <w:jc w:val="center"/>
      </w:pPr>
      <w:r>
        <w:rPr>
          <w:b/>
          <w:sz w:val="24"/>
        </w:rPr>
        <w:t>设备采购明细表</w:t>
      </w:r>
    </w:p>
    <w:p>
      <w:pPr>
        <w:ind w:firstLine="200"/>
        <w:jc w:val="center"/>
      </w:pPr>
    </w:p>
    <w:tbl>
      <w:tblPr>
        <w:tblW w:w="0" w:type="auto"/>
        <w:tblBorders>
          <w:top w:val="none" w:color="000000" w:sz="4"/>
          <w:left w:val="none" w:color="000000" w:sz="4"/>
          <w:bottom w:val="none" w:color="000000" w:sz="4"/>
          <w:right w:val="none" w:color="000000" w:sz="4"/>
          <w:insideH w:val="none"/>
          <w:insideV w:val="none"/>
        </w:tblBorders>
      </w:tblPr>
      <w:tblGrid>
        <w:gridCol w:w="1457"/>
        <w:gridCol w:w="1092"/>
        <w:gridCol w:w="859"/>
        <w:gridCol w:w="830"/>
        <w:gridCol w:w="845"/>
        <w:gridCol w:w="1107"/>
        <w:gridCol w:w="1034"/>
        <w:gridCol w:w="1078"/>
      </w:tblGrid>
      <w:tr>
        <w:tc>
          <w:tcPr>
            <w:tcW w:type="dxa" w:w="1457"/>
            <w:tcBorders>
              <w:top w:val="single" w:color="000000" w:sz="4"/>
              <w:left w:val="single" w:color="000000" w:sz="4"/>
              <w:bottom w:val="single" w:color="000000" w:sz="4"/>
              <w:right w:val="single" w:color="000000" w:sz="4"/>
            </w:tcBorders>
            <w:vAlign w:val="top"/>
          </w:tcPr>
          <w:p>
            <w:pPr>
              <w:jc w:val="center"/>
            </w:pPr>
            <w:r>
              <w:rPr>
                <w:sz w:val="21"/>
              </w:rPr>
              <w:t>设备名称</w:t>
            </w:r>
          </w:p>
        </w:tc>
        <w:tc>
          <w:tcPr>
            <w:tcW w:type="dxa" w:w="1092"/>
            <w:tcBorders>
              <w:top w:val="single" w:color="000000" w:sz="4"/>
              <w:left w:val="single" w:color="000000" w:sz="4"/>
              <w:bottom w:val="single" w:color="000000" w:sz="4"/>
              <w:right w:val="single" w:color="000000" w:sz="4"/>
            </w:tcBorders>
            <w:vAlign w:val="top"/>
          </w:tcPr>
          <w:p>
            <w:pPr>
              <w:jc w:val="center"/>
            </w:pPr>
            <w:r>
              <w:rPr>
                <w:sz w:val="21"/>
              </w:rPr>
              <w:t>规格型号</w:t>
            </w:r>
          </w:p>
        </w:tc>
        <w:tc>
          <w:tcPr>
            <w:tcW w:type="dxa" w:w="859"/>
            <w:tcBorders>
              <w:top w:val="single" w:color="000000" w:sz="4"/>
              <w:left w:val="single" w:color="000000" w:sz="4"/>
              <w:bottom w:val="single" w:color="000000" w:sz="4"/>
              <w:right w:val="single" w:color="000000" w:sz="4"/>
            </w:tcBorders>
            <w:vAlign w:val="top"/>
          </w:tcPr>
          <w:p>
            <w:pPr>
              <w:jc w:val="center"/>
            </w:pPr>
            <w:r>
              <w:rPr>
                <w:sz w:val="21"/>
              </w:rPr>
              <w:t>产地</w:t>
            </w:r>
          </w:p>
        </w:tc>
        <w:tc>
          <w:tcPr>
            <w:tcW w:type="dxa" w:w="830"/>
            <w:tcBorders>
              <w:top w:val="single" w:color="000000" w:sz="4"/>
              <w:left w:val="single" w:color="000000" w:sz="4"/>
              <w:bottom w:val="single" w:color="000000" w:sz="4"/>
              <w:right w:val="single" w:color="000000" w:sz="4"/>
            </w:tcBorders>
            <w:vAlign w:val="top"/>
          </w:tcPr>
          <w:p>
            <w:pPr>
              <w:jc w:val="center"/>
            </w:pPr>
            <w:r>
              <w:rPr>
                <w:sz w:val="21"/>
              </w:rPr>
              <w:t>单位</w:t>
            </w:r>
          </w:p>
        </w:tc>
        <w:tc>
          <w:tcPr>
            <w:tcW w:type="dxa" w:w="845"/>
            <w:tcBorders>
              <w:top w:val="single" w:color="000000" w:sz="4"/>
              <w:left w:val="single" w:color="000000" w:sz="4"/>
              <w:bottom w:val="single" w:color="000000" w:sz="4"/>
              <w:right w:val="single" w:color="000000" w:sz="4"/>
            </w:tcBorders>
            <w:vAlign w:val="top"/>
          </w:tcPr>
          <w:p>
            <w:pPr>
              <w:jc w:val="center"/>
            </w:pPr>
            <w:r>
              <w:rPr>
                <w:sz w:val="21"/>
              </w:rPr>
              <w:t>数量</w:t>
            </w:r>
          </w:p>
        </w:tc>
        <w:tc>
          <w:tcPr>
            <w:tcW w:type="dxa" w:w="1107"/>
            <w:tcBorders>
              <w:top w:val="single" w:color="000000" w:sz="4"/>
              <w:left w:val="single" w:color="000000" w:sz="4"/>
              <w:bottom w:val="single" w:color="000000" w:sz="4"/>
              <w:right w:val="single" w:color="000000" w:sz="4"/>
            </w:tcBorders>
            <w:vAlign w:val="top"/>
          </w:tcPr>
          <w:p>
            <w:pPr>
              <w:jc w:val="center"/>
            </w:pPr>
            <w:r>
              <w:rPr>
                <w:sz w:val="21"/>
              </w:rPr>
              <w:t>单价（元）</w:t>
            </w:r>
          </w:p>
        </w:tc>
        <w:tc>
          <w:tcPr>
            <w:tcW w:type="dxa" w:w="1034"/>
            <w:tcBorders>
              <w:top w:val="single" w:color="000000" w:sz="4"/>
              <w:left w:val="single" w:color="000000" w:sz="4"/>
              <w:bottom w:val="single" w:color="000000" w:sz="4"/>
              <w:right w:val="single" w:color="000000" w:sz="4"/>
            </w:tcBorders>
            <w:vAlign w:val="top"/>
          </w:tcPr>
          <w:p>
            <w:r>
              <w:rPr>
                <w:sz w:val="21"/>
              </w:rPr>
              <w:t>总价（元）</w:t>
            </w:r>
          </w:p>
        </w:tc>
        <w:tc>
          <w:tcPr>
            <w:tcW w:type="dxa" w:w="1078"/>
            <w:tcBorders>
              <w:top w:val="single" w:color="000000" w:sz="4"/>
              <w:left w:val="single" w:color="000000" w:sz="4"/>
              <w:bottom w:val="single" w:color="000000" w:sz="4"/>
              <w:right w:val="single" w:color="000000" w:sz="4"/>
            </w:tcBorders>
            <w:vAlign w:val="top"/>
          </w:tcPr>
          <w:p>
            <w:pPr>
              <w:jc w:val="center"/>
            </w:pPr>
            <w:r>
              <w:rPr>
                <w:sz w:val="21"/>
              </w:rPr>
              <w:t>备注</w:t>
            </w:r>
          </w:p>
        </w:tc>
      </w:tr>
      <w:tr>
        <w:tc>
          <w:tcPr>
            <w:tcW w:type="dxa" w:w="1457"/>
            <w:tcBorders>
              <w:top w:val="none" w:color="000000" w:sz="4"/>
              <w:left w:val="single" w:color="000000" w:sz="4"/>
              <w:bottom w:val="single" w:color="000000" w:sz="4"/>
              <w:right w:val="single" w:color="000000" w:sz="4"/>
            </w:tcBorders>
            <w:vAlign w:val="top"/>
          </w:tcPr>
          <w:p>
            <w:pPr>
              <w:jc w:val="both"/>
            </w:pPr>
          </w:p>
        </w:tc>
        <w:tc>
          <w:tcPr>
            <w:tcW w:type="dxa" w:w="1092"/>
            <w:tcBorders>
              <w:top w:val="none" w:color="000000" w:sz="4"/>
              <w:left w:val="single" w:color="000000" w:sz="4"/>
              <w:bottom w:val="single" w:color="000000" w:sz="4"/>
              <w:right w:val="single" w:color="000000" w:sz="4"/>
            </w:tcBorders>
            <w:vAlign w:val="top"/>
          </w:tcPr>
          <w:p>
            <w:pPr>
              <w:ind w:firstLine="200"/>
              <w:jc w:val="both"/>
            </w:pPr>
          </w:p>
        </w:tc>
        <w:tc>
          <w:tcPr>
            <w:tcW w:type="dxa" w:w="859"/>
            <w:tcBorders>
              <w:top w:val="none" w:color="000000" w:sz="4"/>
              <w:left w:val="single" w:color="000000" w:sz="4"/>
              <w:bottom w:val="single" w:color="000000" w:sz="4"/>
              <w:right w:val="single" w:color="000000" w:sz="4"/>
            </w:tcBorders>
            <w:vAlign w:val="top"/>
          </w:tcPr>
          <w:p>
            <w:pPr>
              <w:ind w:firstLine="200"/>
              <w:jc w:val="both"/>
            </w:pPr>
          </w:p>
        </w:tc>
        <w:tc>
          <w:tcPr>
            <w:tcW w:type="dxa" w:w="830"/>
            <w:tcBorders>
              <w:top w:val="none" w:color="000000" w:sz="4"/>
              <w:left w:val="single" w:color="000000" w:sz="4"/>
              <w:bottom w:val="single" w:color="000000" w:sz="4"/>
              <w:right w:val="single" w:color="000000" w:sz="4"/>
            </w:tcBorders>
            <w:vAlign w:val="top"/>
          </w:tcPr>
          <w:p>
            <w:pPr>
              <w:ind w:firstLine="200"/>
              <w:jc w:val="both"/>
            </w:pPr>
          </w:p>
        </w:tc>
        <w:tc>
          <w:tcPr>
            <w:tcW w:type="dxa" w:w="845"/>
            <w:tcBorders>
              <w:top w:val="none" w:color="000000" w:sz="4"/>
              <w:left w:val="single" w:color="000000" w:sz="4"/>
              <w:bottom w:val="single" w:color="000000" w:sz="4"/>
              <w:right w:val="single" w:color="000000" w:sz="4"/>
            </w:tcBorders>
            <w:vAlign w:val="top"/>
          </w:tcPr>
          <w:p>
            <w:pPr>
              <w:ind w:firstLine="200"/>
              <w:jc w:val="both"/>
            </w:pPr>
          </w:p>
        </w:tc>
        <w:tc>
          <w:tcPr>
            <w:tcW w:type="dxa" w:w="1107"/>
            <w:tcBorders>
              <w:top w:val="none" w:color="000000" w:sz="4"/>
              <w:left w:val="single" w:color="000000" w:sz="4"/>
              <w:bottom w:val="single" w:color="000000" w:sz="4"/>
              <w:right w:val="single" w:color="000000" w:sz="4"/>
            </w:tcBorders>
            <w:vAlign w:val="top"/>
          </w:tcPr>
          <w:p>
            <w:pPr>
              <w:ind w:firstLine="200"/>
              <w:jc w:val="both"/>
            </w:pPr>
          </w:p>
        </w:tc>
        <w:tc>
          <w:tcPr>
            <w:tcW w:type="dxa" w:w="1034"/>
            <w:tcBorders>
              <w:top w:val="none" w:color="000000" w:sz="4"/>
              <w:left w:val="single" w:color="000000" w:sz="4"/>
              <w:bottom w:val="single" w:color="000000" w:sz="4"/>
              <w:right w:val="single" w:color="000000" w:sz="4"/>
            </w:tcBorders>
            <w:vAlign w:val="top"/>
          </w:tcPr>
          <w:p>
            <w:pPr>
              <w:ind w:firstLine="200"/>
              <w:jc w:val="both"/>
            </w:pPr>
          </w:p>
        </w:tc>
        <w:tc>
          <w:tcPr>
            <w:tcW w:type="dxa" w:w="1078"/>
            <w:tcBorders>
              <w:top w:val="none" w:color="000000" w:sz="4"/>
              <w:left w:val="single" w:color="000000" w:sz="4"/>
              <w:bottom w:val="single" w:color="000000" w:sz="4"/>
              <w:right w:val="single" w:color="000000" w:sz="4"/>
            </w:tcBorders>
            <w:vAlign w:val="top"/>
          </w:tcPr>
          <w:p>
            <w:pPr>
              <w:ind w:firstLine="200"/>
              <w:jc w:val="both"/>
            </w:pPr>
          </w:p>
        </w:tc>
      </w:tr>
      <w:tr>
        <w:tc>
          <w:tcPr>
            <w:tcW w:type="dxa" w:w="1457"/>
            <w:tcBorders>
              <w:top w:val="none" w:color="000000" w:sz="4"/>
              <w:left w:val="single" w:color="000000" w:sz="4"/>
              <w:bottom w:val="single" w:color="000000" w:sz="4"/>
              <w:right w:val="single" w:color="000000" w:sz="4"/>
            </w:tcBorders>
            <w:vAlign w:val="top"/>
          </w:tcPr>
          <w:p>
            <w:pPr>
              <w:ind w:firstLine="200"/>
              <w:jc w:val="both"/>
            </w:pPr>
            <w:r>
              <w:rPr>
                <w:sz w:val="24"/>
              </w:rPr>
              <w:t>总价</w:t>
            </w:r>
            <w:r>
              <w:rPr>
                <w:sz w:val="24"/>
              </w:rPr>
              <w:t>（元）</w:t>
            </w:r>
          </w:p>
        </w:tc>
        <w:tc>
          <w:tcPr>
            <w:tcW w:type="dxa" w:w="6845"/>
            <w:gridSpan w:val="7"/>
            <w:tcBorders>
              <w:top w:val="none" w:color="000000" w:sz="4"/>
              <w:left w:val="single" w:color="000000" w:sz="4"/>
              <w:bottom w:val="single" w:color="000000" w:sz="4"/>
              <w:right w:val="single" w:color="000000" w:sz="4"/>
            </w:tcBorders>
            <w:vAlign w:val="top"/>
          </w:tcPr>
          <w:p>
            <w:pPr>
              <w:ind w:firstLine="200"/>
              <w:jc w:val="both"/>
            </w:pPr>
            <w:r>
              <w:rPr>
                <w:sz w:val="24"/>
              </w:rPr>
              <w:t>（大写）人民币</w:t>
            </w:r>
            <w:r>
              <w:rPr>
                <w:sz w:val="21"/>
                <w:u w:val="single"/>
              </w:rPr>
              <w:t xml:space="preserve">                  </w:t>
            </w:r>
            <w:r>
              <w:rPr>
                <w:sz w:val="24"/>
              </w:rPr>
              <w:t>，</w:t>
            </w:r>
          </w:p>
          <w:p>
            <w:pPr>
              <w:ind w:firstLine="200"/>
              <w:jc w:val="both"/>
            </w:pPr>
            <w:r>
              <w:rPr>
                <w:sz w:val="24"/>
              </w:rPr>
              <w:t>（小写）￥</w:t>
            </w:r>
            <w:r>
              <w:rPr>
                <w:sz w:val="21"/>
                <w:u w:val="single"/>
              </w:rPr>
              <w:t xml:space="preserve">                     </w:t>
            </w:r>
          </w:p>
        </w:tc>
      </w:tr>
    </w:tbl>
    <w:p>
      <w:pPr>
        <w:jc w:val="both"/>
      </w:pPr>
    </w:p>
    <w:p>
      <w:pPr>
        <w:jc w:val="both"/>
      </w:pPr>
      <w:r>
        <w:rPr>
          <w:b/>
          <w:sz w:val="24"/>
        </w:rPr>
        <w:t>第二条</w:t>
      </w:r>
      <w:r>
        <w:rPr>
          <w:b/>
          <w:sz w:val="24"/>
        </w:rPr>
        <w:t>合同总</w:t>
      </w:r>
      <w:r>
        <w:rPr>
          <w:b/>
          <w:sz w:val="24"/>
        </w:rPr>
        <w:t>额</w:t>
      </w:r>
    </w:p>
    <w:p>
      <w:pPr>
        <w:ind w:firstLine="480"/>
        <w:jc w:val="both"/>
      </w:pPr>
      <w:r>
        <w:rPr>
          <w:sz w:val="24"/>
        </w:rPr>
        <w:t>总价为（大写）：人民币</w:t>
      </w:r>
      <w:r>
        <w:rPr>
          <w:sz w:val="21"/>
          <w:u w:val="single"/>
        </w:rPr>
        <w:t xml:space="preserve">          </w:t>
      </w:r>
      <w:r>
        <w:rPr>
          <w:sz w:val="24"/>
        </w:rPr>
        <w:t>，即（小写）￥</w:t>
      </w:r>
      <w:r>
        <w:rPr>
          <w:sz w:val="21"/>
          <w:u w:val="single"/>
        </w:rPr>
        <w:t xml:space="preserve">         </w:t>
      </w:r>
      <w:r>
        <w:rPr>
          <w:sz w:val="24"/>
        </w:rPr>
        <w:t>元，该合同总金额是设计、设备制造、包装、仓储、运输、装卸、安装及验收合格之前和保修期内与备品备件发生的所有含税费用，含医院网络连接与调试。本合同执行期间合同总金额不变。</w:t>
      </w:r>
    </w:p>
    <w:p>
      <w:pPr>
        <w:jc w:val="both"/>
      </w:pPr>
    </w:p>
    <w:p>
      <w:pPr>
        <w:jc w:val="both"/>
      </w:pPr>
      <w:r>
        <w:rPr>
          <w:b/>
          <w:sz w:val="24"/>
        </w:rPr>
        <w:t>第三条</w:t>
      </w:r>
      <w:r>
        <w:rPr>
          <w:b/>
          <w:sz w:val="24"/>
        </w:rPr>
        <w:t>合同组成</w:t>
      </w:r>
    </w:p>
    <w:p>
      <w:pPr>
        <w:ind w:firstLine="480"/>
        <w:jc w:val="both"/>
      </w:pPr>
      <w:r>
        <w:rPr>
          <w:sz w:val="24"/>
        </w:rPr>
        <w:t>详细价格、技术说明及其它有关合同设备的特定信息由合同附件说明。所有附件及本项目的招投标文件、会议纪要、协议等均为本合同不可分割之一部分。</w:t>
      </w:r>
    </w:p>
    <w:p>
      <w:pPr>
        <w:jc w:val="both"/>
      </w:pPr>
    </w:p>
    <w:p>
      <w:pPr>
        <w:jc w:val="both"/>
      </w:pPr>
      <w:r>
        <w:rPr>
          <w:b/>
          <w:sz w:val="24"/>
        </w:rPr>
        <w:t>第四条</w:t>
      </w:r>
      <w:r>
        <w:rPr>
          <w:b/>
          <w:sz w:val="24"/>
        </w:rPr>
        <w:t>技术要求</w:t>
      </w:r>
    </w:p>
    <w:p>
      <w:pPr>
        <w:ind w:firstLine="480"/>
        <w:jc w:val="both"/>
      </w:pPr>
      <w:r>
        <w:rPr>
          <w:sz w:val="24"/>
        </w:rPr>
        <w:t>乙方所提供设备，必须符合国家有关规范和环保要求及甲方的技术要求，并提供设备的出厂试测验报告。所有货物及服务不得侵犯第三方版权、专利等。</w:t>
      </w:r>
    </w:p>
    <w:p>
      <w:pPr>
        <w:jc w:val="both"/>
      </w:pPr>
    </w:p>
    <w:p>
      <w:pPr>
        <w:jc w:val="both"/>
      </w:pPr>
      <w:r>
        <w:rPr>
          <w:b/>
          <w:sz w:val="24"/>
        </w:rPr>
        <w:t>第五条</w:t>
      </w:r>
      <w:r>
        <w:rPr>
          <w:b/>
          <w:sz w:val="24"/>
        </w:rPr>
        <w:t xml:space="preserve"> </w:t>
      </w:r>
      <w:r>
        <w:rPr>
          <w:b/>
          <w:sz w:val="24"/>
        </w:rPr>
        <w:t>合同设备包装、交货、安装、调试及验收</w:t>
      </w:r>
    </w:p>
    <w:p>
      <w:pPr>
        <w:ind w:firstLine="480"/>
        <w:jc w:val="both"/>
      </w:pPr>
      <w:r>
        <w:rPr>
          <w:sz w:val="24"/>
        </w:rPr>
        <w:t>1</w:t>
      </w:r>
      <w:r>
        <w:rPr>
          <w:sz w:val="24"/>
        </w:rPr>
        <w:t>.合同设备的包装</w:t>
      </w:r>
    </w:p>
    <w:p>
      <w:pPr>
        <w:ind w:firstLine="480"/>
        <w:jc w:val="both"/>
      </w:pPr>
      <w:r>
        <w:rPr>
          <w:sz w:val="24"/>
        </w:rPr>
        <w:t>设备的包装均应有良好的防湿、防锈、防潮、防雨、防腐及防碰撞的措施。凡由于包装不良造成的损失和由此产生的费用均由乙方承担。</w:t>
      </w:r>
    </w:p>
    <w:p>
      <w:pPr>
        <w:ind w:firstLine="480"/>
        <w:jc w:val="both"/>
      </w:pPr>
      <w:r>
        <w:rPr>
          <w:sz w:val="24"/>
        </w:rPr>
        <w:t>2</w:t>
      </w:r>
      <w:r>
        <w:rPr>
          <w:sz w:val="24"/>
        </w:rPr>
        <w:t>.合同设备的交货</w:t>
      </w:r>
    </w:p>
    <w:p>
      <w:pPr>
        <w:ind w:firstLine="480"/>
        <w:jc w:val="both"/>
      </w:pPr>
      <w:r>
        <w:rPr>
          <w:sz w:val="24"/>
        </w:rPr>
        <w:t>（</w:t>
      </w:r>
      <w:r>
        <w:rPr>
          <w:sz w:val="24"/>
        </w:rPr>
        <w:t>1）</w:t>
      </w:r>
      <w:r>
        <w:rPr>
          <w:sz w:val="21"/>
        </w:rPr>
        <w:t xml:space="preserve"> </w:t>
      </w:r>
      <w:r>
        <w:rPr>
          <w:sz w:val="24"/>
        </w:rPr>
        <w:t>乙方交货时间：签订合同后</w:t>
      </w:r>
      <w:r>
        <w:rPr>
          <w:sz w:val="21"/>
          <w:u w:val="single"/>
        </w:rPr>
        <w:t xml:space="preserve">    </w:t>
      </w:r>
      <w:r>
        <w:rPr>
          <w:sz w:val="24"/>
        </w:rPr>
        <w:t>天内。</w:t>
      </w:r>
    </w:p>
    <w:p>
      <w:pPr>
        <w:ind w:firstLine="480"/>
        <w:jc w:val="both"/>
      </w:pPr>
      <w:r>
        <w:rPr>
          <w:sz w:val="24"/>
        </w:rPr>
        <w:t>（</w:t>
      </w:r>
      <w:r>
        <w:rPr>
          <w:sz w:val="24"/>
        </w:rPr>
        <w:t>2）</w:t>
      </w:r>
      <w:r>
        <w:rPr>
          <w:sz w:val="21"/>
        </w:rPr>
        <w:t xml:space="preserve"> </w:t>
      </w:r>
      <w:r>
        <w:rPr>
          <w:sz w:val="24"/>
        </w:rPr>
        <w:t>乙方交货地点：甲方指定地点。</w:t>
      </w:r>
    </w:p>
    <w:p>
      <w:pPr>
        <w:ind w:firstLine="480"/>
        <w:jc w:val="both"/>
      </w:pPr>
      <w:r>
        <w:rPr>
          <w:sz w:val="24"/>
        </w:rPr>
        <w:t>3.合同设备的安装调试</w:t>
      </w:r>
    </w:p>
    <w:p>
      <w:pPr>
        <w:ind w:firstLine="480"/>
        <w:jc w:val="both"/>
      </w:pPr>
      <w:r>
        <w:rPr>
          <w:sz w:val="24"/>
        </w:rPr>
        <w:t>（</w:t>
      </w:r>
      <w:r>
        <w:rPr>
          <w:sz w:val="24"/>
        </w:rPr>
        <w:t>1）</w:t>
      </w:r>
      <w:r>
        <w:rPr>
          <w:sz w:val="21"/>
        </w:rPr>
        <w:t xml:space="preserve"> </w:t>
      </w:r>
      <w:r>
        <w:rPr>
          <w:sz w:val="24"/>
        </w:rPr>
        <w:t>乙方负责合同项下的安装调试，一切费用由乙方负责。</w:t>
      </w:r>
    </w:p>
    <w:p>
      <w:pPr>
        <w:ind w:firstLine="480"/>
        <w:jc w:val="both"/>
      </w:pPr>
      <w:r>
        <w:rPr>
          <w:sz w:val="24"/>
        </w:rPr>
        <w:t>（</w:t>
      </w:r>
      <w:r>
        <w:rPr>
          <w:sz w:val="24"/>
        </w:rPr>
        <w:t>2）</w:t>
      </w:r>
      <w:r>
        <w:rPr>
          <w:sz w:val="21"/>
        </w:rPr>
        <w:t xml:space="preserve"> </w:t>
      </w:r>
      <w:r>
        <w:rPr>
          <w:sz w:val="24"/>
        </w:rPr>
        <w:t>乙方安装时须对各安装场地内的其它设备、设施有良好保护措施。</w:t>
      </w:r>
    </w:p>
    <w:p>
      <w:pPr>
        <w:ind w:firstLine="480"/>
        <w:jc w:val="both"/>
      </w:pPr>
      <w:r>
        <w:rPr>
          <w:sz w:val="24"/>
        </w:rPr>
        <w:t>4.设备的验收</w:t>
      </w:r>
    </w:p>
    <w:p>
      <w:pPr>
        <w:ind w:firstLine="480"/>
        <w:jc w:val="both"/>
      </w:pPr>
      <w:r>
        <w:rPr>
          <w:sz w:val="24"/>
        </w:rPr>
        <w:t>（</w:t>
      </w:r>
      <w:r>
        <w:rPr>
          <w:sz w:val="24"/>
        </w:rPr>
        <w:t>1）合同设备安装调试完成并移交所有资料文档后，经临床科室试用</w:t>
      </w:r>
      <w:r>
        <w:rPr>
          <w:sz w:val="21"/>
          <w:u w:val="single"/>
        </w:rPr>
        <w:t xml:space="preserve">   </w:t>
      </w:r>
      <w:r>
        <w:rPr>
          <w:sz w:val="24"/>
        </w:rPr>
        <w:t>个工作日后验收，验收应在甲乙双方共同参加下进行，验收标准按照国家有关标准。</w:t>
      </w:r>
    </w:p>
    <w:p>
      <w:pPr>
        <w:ind w:firstLine="480"/>
        <w:jc w:val="both"/>
      </w:pPr>
      <w:r>
        <w:rPr>
          <w:sz w:val="24"/>
        </w:rPr>
        <w:t>（</w:t>
      </w:r>
      <w:r>
        <w:rPr>
          <w:sz w:val="24"/>
        </w:rPr>
        <w:t>2）</w:t>
      </w:r>
      <w:r>
        <w:rPr>
          <w:sz w:val="21"/>
        </w:rPr>
        <w:t xml:space="preserve"> </w:t>
      </w:r>
      <w:r>
        <w:rPr>
          <w:sz w:val="24"/>
        </w:rPr>
        <w:t>验收按国家有关的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ind w:firstLine="480"/>
        <w:jc w:val="both"/>
      </w:pPr>
      <w:r>
        <w:rPr>
          <w:sz w:val="24"/>
        </w:rPr>
        <w:t>（</w:t>
      </w:r>
      <w:r>
        <w:rPr>
          <w:sz w:val="24"/>
        </w:rPr>
        <w:t>3）如果合同设备运输和安装调试过程中因事故造成货物短缺、损坏，乙方应及时安排换装，以保证合同设备安装调试的成功完成。换货的相关费用由乙方承担。</w:t>
      </w:r>
    </w:p>
    <w:p>
      <w:pPr>
        <w:ind w:firstLine="480"/>
        <w:jc w:val="both"/>
      </w:pPr>
      <w:r>
        <w:rPr>
          <w:sz w:val="24"/>
        </w:rPr>
        <w:t>（</w:t>
      </w:r>
      <w:r>
        <w:rPr>
          <w:sz w:val="24"/>
        </w:rPr>
        <w:t>4）国内产品或合资厂的产品必须具备出厂合格证。</w:t>
      </w:r>
    </w:p>
    <w:p>
      <w:pPr>
        <w:ind w:firstLine="480"/>
        <w:jc w:val="both"/>
      </w:pPr>
      <w:r>
        <w:rPr>
          <w:sz w:val="24"/>
        </w:rPr>
        <w:t>（</w:t>
      </w:r>
      <w:r>
        <w:rPr>
          <w:sz w:val="24"/>
        </w:rPr>
        <w:t>5）进口产品必须具备省级（或相当于省级）商检部门的检验证明，及正常报关证明。</w:t>
      </w:r>
    </w:p>
    <w:p>
      <w:pPr>
        <w:ind w:firstLine="480"/>
        <w:jc w:val="both"/>
      </w:pPr>
      <w:r>
        <w:rPr>
          <w:sz w:val="24"/>
        </w:rPr>
        <w:t>5.如乙方没有及时提供相关证件（如商检证等），有可能影响验收进程，所导致的经济损失，由乙方自行承担。</w:t>
      </w:r>
    </w:p>
    <w:p>
      <w:pPr>
        <w:ind w:firstLine="480"/>
        <w:jc w:val="both"/>
      </w:pPr>
      <w:r>
        <w:rPr>
          <w:sz w:val="24"/>
        </w:rPr>
        <w:t>6.乙方保证合同项下提供的设备不侵犯任何第三方的专利、商标或版权。否则，乙方须承担对第三方的专利或版权的侵权责任并承担因此而发生的所有费用。</w:t>
      </w:r>
    </w:p>
    <w:p>
      <w:pPr>
        <w:jc w:val="both"/>
      </w:pPr>
    </w:p>
    <w:p>
      <w:pPr>
        <w:jc w:val="both"/>
      </w:pPr>
      <w:r>
        <w:rPr>
          <w:b/>
          <w:sz w:val="24"/>
        </w:rPr>
        <w:t>第六条</w:t>
      </w:r>
      <w:r>
        <w:rPr>
          <w:b/>
          <w:sz w:val="24"/>
        </w:rPr>
        <w:t>质量保证及售后服务</w:t>
      </w:r>
    </w:p>
    <w:p>
      <w:pPr>
        <w:ind w:firstLine="480"/>
        <w:jc w:val="both"/>
      </w:pPr>
      <w:r>
        <w:rPr>
          <w:sz w:val="24"/>
        </w:rPr>
        <w:t>1.乙方保证合同设备是全新、未曾使用过的，其质量、规格及技术特征符合合同附件的要求。</w:t>
      </w:r>
    </w:p>
    <w:p>
      <w:pPr>
        <w:ind w:firstLine="480"/>
        <w:jc w:val="both"/>
      </w:pPr>
      <w:r>
        <w:rPr>
          <w:sz w:val="24"/>
        </w:rPr>
        <w:t>2.合同设备保质保用期按生产厂家的标准执行，整机保修期</w:t>
      </w:r>
      <w:r>
        <w:rPr>
          <w:sz w:val="21"/>
          <w:u w:val="single"/>
        </w:rPr>
        <w:t xml:space="preserve">    </w:t>
      </w:r>
      <w:r>
        <w:rPr>
          <w:sz w:val="24"/>
        </w:rPr>
        <w:t>年，（用户单位验收合格之日起计算）。保证零配件供应不少于十年。有培训计划，至少两名以上医生熟练掌握使用设备为止。保质保用期内非甲方的人为原因而出现产品质量及安装问题，由乙方负责包修、包换或包退，并承担因此而产生的一切费用。乙方应在收到甲方通知后派员到现场维修。</w:t>
      </w:r>
    </w:p>
    <w:p>
      <w:pPr>
        <w:ind w:firstLine="200"/>
        <w:jc w:val="both"/>
      </w:pPr>
      <w:r>
        <w:rPr>
          <w:sz w:val="24"/>
        </w:rPr>
        <w:t>下列情况乙方不负责免费保修：</w:t>
      </w:r>
    </w:p>
    <w:p>
      <w:pPr>
        <w:ind w:firstLine="200"/>
        <w:jc w:val="both"/>
      </w:pPr>
      <w:r>
        <w:rPr>
          <w:sz w:val="24"/>
        </w:rPr>
        <w:t>（</w:t>
      </w:r>
      <w:r>
        <w:rPr>
          <w:sz w:val="24"/>
        </w:rPr>
        <w:t>1</w:t>
      </w:r>
      <w:r>
        <w:rPr>
          <w:sz w:val="24"/>
        </w:rPr>
        <w:t>）甲方不按照乙方提供的正确使用方法而引致设备故障损坏；</w:t>
      </w:r>
    </w:p>
    <w:p>
      <w:pPr>
        <w:ind w:firstLine="200"/>
        <w:jc w:val="both"/>
      </w:pPr>
      <w:r>
        <w:rPr>
          <w:sz w:val="24"/>
        </w:rPr>
        <w:t>（</w:t>
      </w:r>
      <w:r>
        <w:rPr>
          <w:sz w:val="24"/>
        </w:rPr>
        <w:t>2</w:t>
      </w:r>
      <w:r>
        <w:rPr>
          <w:sz w:val="24"/>
        </w:rPr>
        <w:t>）擅自改装设备；</w:t>
      </w:r>
    </w:p>
    <w:p>
      <w:pPr>
        <w:ind w:firstLine="200"/>
        <w:jc w:val="both"/>
      </w:pPr>
      <w:r>
        <w:rPr>
          <w:sz w:val="24"/>
        </w:rPr>
        <w:t>（</w:t>
      </w:r>
      <w:r>
        <w:rPr>
          <w:sz w:val="24"/>
        </w:rPr>
        <w:t>3</w:t>
      </w:r>
      <w:r>
        <w:rPr>
          <w:sz w:val="24"/>
        </w:rPr>
        <w:t>）各种人为因素或天灾等外来因素造成的损坏。</w:t>
      </w:r>
    </w:p>
    <w:p>
      <w:pPr>
        <w:ind w:firstLine="480"/>
        <w:jc w:val="both"/>
      </w:pPr>
      <w:r>
        <w:rPr>
          <w:sz w:val="24"/>
        </w:rPr>
        <w:t>3.货物交付使用后以书面形式承诺维修服务，实行终身维护：</w:t>
      </w:r>
    </w:p>
    <w:p>
      <w:pPr>
        <w:ind w:firstLine="480"/>
        <w:jc w:val="both"/>
      </w:pPr>
      <w:r>
        <w:rPr>
          <w:sz w:val="24"/>
        </w:rPr>
        <w:t>4.</w:t>
      </w:r>
      <w:r>
        <w:rPr>
          <w:sz w:val="24"/>
        </w:rPr>
        <w:t>所有保修服务方式均为</w:t>
      </w:r>
      <w:r>
        <w:rPr>
          <w:sz w:val="24"/>
        </w:rPr>
        <w:t>乙方</w:t>
      </w:r>
      <w:r>
        <w:rPr>
          <w:sz w:val="24"/>
        </w:rPr>
        <w:t>上门保修，即由</w:t>
      </w:r>
      <w:r>
        <w:rPr>
          <w:sz w:val="24"/>
        </w:rPr>
        <w:t>乙方</w:t>
      </w:r>
      <w:r>
        <w:rPr>
          <w:sz w:val="24"/>
        </w:rPr>
        <w:t>派员到甲方设备使用现场维修，由此产生的一切费用均由</w:t>
      </w:r>
      <w:r>
        <w:rPr>
          <w:sz w:val="24"/>
        </w:rPr>
        <w:t>乙方</w:t>
      </w:r>
      <w:r>
        <w:rPr>
          <w:sz w:val="24"/>
        </w:rPr>
        <w:t>承担。</w:t>
      </w:r>
    </w:p>
    <w:p>
      <w:pPr>
        <w:ind w:firstLine="480"/>
        <w:jc w:val="both"/>
      </w:pPr>
      <w:r>
        <w:rPr>
          <w:sz w:val="24"/>
        </w:rPr>
        <w:t>5.因设备的质量问题而发生争议，由广东省或中山市质检部门进行质量鉴定。设备符合质量标准的，鉴定费用由甲方承担；设备不符合质量标准的，鉴定费用由乙方承担。</w:t>
      </w:r>
    </w:p>
    <w:p>
      <w:pPr>
        <w:ind w:firstLine="480"/>
        <w:jc w:val="both"/>
      </w:pPr>
      <w:r>
        <w:rPr>
          <w:sz w:val="24"/>
        </w:rPr>
        <w:t>6.乙方为甲方提供操作及维护培训，主要内容为设备的基本结构、性能、主要部件的构造及原理，日常使用操作、保养与管理，常见故障的排除，紧急情况的处理等，培训地点主要在设备安装现场或按甲乙双方协商安排。</w:t>
      </w:r>
    </w:p>
    <w:p>
      <w:pPr>
        <w:ind w:firstLine="480"/>
        <w:jc w:val="both"/>
      </w:pPr>
      <w:r>
        <w:rPr>
          <w:sz w:val="24"/>
        </w:rPr>
        <w:t>7.保修期内厂家每年免费回访设备至少</w:t>
      </w:r>
      <w:r>
        <w:rPr>
          <w:sz w:val="21"/>
          <w:u w:val="single"/>
        </w:rPr>
        <w:t xml:space="preserve">    </w:t>
      </w:r>
      <w:r>
        <w:rPr>
          <w:sz w:val="24"/>
        </w:rPr>
        <w:t>次。</w:t>
      </w:r>
    </w:p>
    <w:p>
      <w:pPr>
        <w:ind w:firstLine="480"/>
        <w:jc w:val="both"/>
      </w:pPr>
      <w:r>
        <w:rPr>
          <w:sz w:val="24"/>
        </w:rPr>
        <w:t>8.接到报修电话后，厂家工程师</w:t>
      </w:r>
      <w:r>
        <w:rPr>
          <w:sz w:val="21"/>
          <w:u w:val="single"/>
        </w:rPr>
        <w:t xml:space="preserve">   </w:t>
      </w:r>
      <w:r>
        <w:rPr>
          <w:sz w:val="24"/>
        </w:rPr>
        <w:t>小时内响应，</w:t>
      </w:r>
      <w:r>
        <w:rPr>
          <w:sz w:val="21"/>
          <w:u w:val="single"/>
        </w:rPr>
        <w:t xml:space="preserve">   </w:t>
      </w:r>
      <w:r>
        <w:rPr>
          <w:sz w:val="24"/>
        </w:rPr>
        <w:t>小时到达现场，</w:t>
      </w:r>
      <w:r>
        <w:rPr>
          <w:sz w:val="21"/>
          <w:u w:val="single"/>
        </w:rPr>
        <w:t xml:space="preserve">   </w:t>
      </w:r>
      <w:r>
        <w:rPr>
          <w:sz w:val="24"/>
        </w:rPr>
        <w:t>小时内解决问题。</w:t>
      </w:r>
    </w:p>
    <w:p>
      <w:pPr>
        <w:jc w:val="both"/>
      </w:pPr>
    </w:p>
    <w:p>
      <w:pPr>
        <w:jc w:val="both"/>
      </w:pPr>
      <w:r>
        <w:rPr>
          <w:b/>
          <w:sz w:val="24"/>
        </w:rPr>
        <w:t>第七条</w:t>
      </w:r>
      <w:r>
        <w:rPr>
          <w:b/>
          <w:sz w:val="24"/>
        </w:rPr>
        <w:t>付款方式及履约保证金</w:t>
      </w:r>
    </w:p>
    <w:p>
      <w:pPr>
        <w:ind w:firstLine="480"/>
        <w:jc w:val="left"/>
      </w:pPr>
      <w:r>
        <w:rPr>
          <w:sz w:val="24"/>
        </w:rPr>
        <w:t>1.</w:t>
      </w:r>
      <w:r>
        <w:rPr>
          <w:sz w:val="24"/>
        </w:rPr>
        <w:t>合同总额支付方式为一次性付款。</w:t>
      </w:r>
    </w:p>
    <w:p>
      <w:pPr>
        <w:ind w:firstLine="480"/>
        <w:jc w:val="left"/>
      </w:pPr>
      <w:r>
        <w:rPr>
          <w:sz w:val="24"/>
        </w:rPr>
        <w:t>2.合同签订后15日内，乙方向甲方交付合同总额的</w:t>
      </w:r>
      <w:r>
        <w:rPr>
          <w:sz w:val="21"/>
          <w:u w:val="single"/>
        </w:rPr>
        <w:t xml:space="preserve">  </w:t>
      </w:r>
      <w:r>
        <w:rPr>
          <w:sz w:val="24"/>
        </w:rPr>
        <w:t>%（即￥</w:t>
      </w:r>
      <w:r>
        <w:rPr>
          <w:sz w:val="21"/>
          <w:u w:val="single"/>
        </w:rPr>
        <w:t xml:space="preserve">     </w:t>
      </w:r>
      <w:r>
        <w:rPr>
          <w:sz w:val="24"/>
        </w:rPr>
        <w:t>）作为质保金或提交银行保函。合同质保期满，经甲方考核合格后，质保金不计利息一次性返还。若乙方未按时交付质保金或提交银行保函，即视为乙方违约，甲方有权终止合同。</w:t>
      </w:r>
      <w:r>
        <w:br/>
      </w:r>
      <w:r>
        <w:rPr>
          <w:sz w:val="21"/>
        </w:rPr>
        <w:t xml:space="preserve">    </w:t>
      </w:r>
      <w:r>
        <w:rPr>
          <w:sz w:val="24"/>
        </w:rPr>
        <w:t>3.合同约定的货物送达或服务完成后，经甲方确认验收合格，乙方即出具有效发票给甲方，甲方在收到发票之日起30日内，支付合同总额100%的合同费用，即￥</w:t>
      </w:r>
      <w:r>
        <w:rPr>
          <w:sz w:val="21"/>
          <w:u w:val="single"/>
        </w:rPr>
        <w:t xml:space="preserve">      </w:t>
      </w:r>
      <w:r>
        <w:rPr>
          <w:sz w:val="24"/>
        </w:rPr>
        <w:t>。</w:t>
      </w:r>
      <w:r>
        <w:br/>
      </w:r>
      <w:r>
        <w:rPr>
          <w:sz w:val="21"/>
        </w:rPr>
        <w:t xml:space="preserve">    </w:t>
      </w:r>
      <w:r>
        <w:rPr>
          <w:sz w:val="24"/>
        </w:rPr>
        <w:t>4. 乙方银行账号信息</w:t>
      </w:r>
      <w:r>
        <w:br/>
      </w:r>
      <w:r>
        <w:rPr>
          <w:sz w:val="21"/>
        </w:rPr>
        <w:t xml:space="preserve">    </w:t>
      </w:r>
      <w:r>
        <w:rPr>
          <w:sz w:val="24"/>
        </w:rPr>
        <w:t>开户名称：</w:t>
      </w:r>
      <w:r>
        <w:rPr>
          <w:sz w:val="21"/>
          <w:u w:val="single"/>
        </w:rPr>
        <w:t xml:space="preserve">           </w:t>
      </w:r>
    </w:p>
    <w:p>
      <w:pPr>
        <w:ind w:firstLine="480"/>
        <w:jc w:val="left"/>
      </w:pPr>
      <w:r>
        <w:rPr>
          <w:sz w:val="24"/>
        </w:rPr>
        <w:t>银行账户：</w:t>
      </w:r>
      <w:r>
        <w:rPr>
          <w:sz w:val="21"/>
          <w:u w:val="single"/>
        </w:rPr>
        <w:t xml:space="preserve">             </w:t>
      </w:r>
    </w:p>
    <w:p>
      <w:pPr>
        <w:ind w:firstLine="480"/>
        <w:jc w:val="left"/>
      </w:pPr>
      <w:r>
        <w:rPr>
          <w:sz w:val="24"/>
        </w:rPr>
        <w:t>开户银行：</w:t>
      </w:r>
      <w:r>
        <w:rPr>
          <w:sz w:val="21"/>
        </w:rPr>
        <w:t xml:space="preserve">            </w:t>
      </w:r>
    </w:p>
    <w:p>
      <w:pPr>
        <w:jc w:val="left"/>
      </w:pPr>
      <w:r>
        <w:rPr>
          <w:sz w:val="19"/>
        </w:rPr>
        <w:t xml:space="preserve"> </w:t>
      </w:r>
    </w:p>
    <w:p>
      <w:pPr>
        <w:jc w:val="both"/>
      </w:pPr>
      <w:r>
        <w:rPr>
          <w:b/>
          <w:sz w:val="24"/>
        </w:rPr>
        <w:t>第八条</w:t>
      </w:r>
      <w:r>
        <w:rPr>
          <w:b/>
          <w:sz w:val="24"/>
        </w:rPr>
        <w:t>技术服务</w:t>
      </w:r>
    </w:p>
    <w:p>
      <w:pPr>
        <w:ind w:firstLine="480"/>
        <w:jc w:val="both"/>
      </w:pPr>
      <w:r>
        <w:rPr>
          <w:sz w:val="24"/>
        </w:rPr>
        <w:t>1乙方应派员到甲方指定地点配合工作。</w:t>
      </w:r>
    </w:p>
    <w:p>
      <w:pPr>
        <w:ind w:firstLine="480"/>
        <w:jc w:val="both"/>
      </w:pPr>
      <w:r>
        <w:rPr>
          <w:sz w:val="24"/>
        </w:rPr>
        <w:t>2乙方按甲方提供的合同执行进度计划，再配合甲方及有关单位，以此做好合同执行进度上的配合工作。</w:t>
      </w:r>
    </w:p>
    <w:p>
      <w:pPr>
        <w:jc w:val="both"/>
      </w:pPr>
    </w:p>
    <w:p>
      <w:pPr>
        <w:jc w:val="both"/>
      </w:pPr>
      <w:r>
        <w:rPr>
          <w:b/>
          <w:sz w:val="24"/>
        </w:rPr>
        <w:t>第九条</w:t>
      </w:r>
      <w:r>
        <w:rPr>
          <w:b/>
          <w:sz w:val="24"/>
        </w:rPr>
        <w:t>不可抗力</w:t>
      </w:r>
    </w:p>
    <w:p>
      <w:pPr>
        <w:ind w:firstLine="480"/>
        <w:jc w:val="both"/>
      </w:pPr>
      <w:r>
        <w:rPr>
          <w:sz w:val="24"/>
        </w:rPr>
        <w:t>1.不可抗力指战争、严重火灾、洪水、台风、地震等或其它双方认定的不可抗力事件。</w:t>
      </w:r>
    </w:p>
    <w:p>
      <w:pPr>
        <w:ind w:firstLine="480"/>
        <w:jc w:val="both"/>
      </w:pPr>
      <w:r>
        <w:rPr>
          <w:sz w:val="24"/>
        </w:rPr>
        <w:t>2.签约双方中任何一方由于不可抗力影响合同执行时，发生不可抗力一方应尽快将事故通知另一方。在此情况下，乙方仍然有责任采取必要的措施加速供货，双方应通过友好协商尽快解决本合同的执行问题。</w:t>
      </w:r>
    </w:p>
    <w:p>
      <w:pPr>
        <w:jc w:val="both"/>
      </w:pPr>
    </w:p>
    <w:p>
      <w:pPr>
        <w:jc w:val="both"/>
      </w:pPr>
      <w:r>
        <w:rPr>
          <w:b/>
          <w:sz w:val="24"/>
        </w:rPr>
        <w:t>第十条</w:t>
      </w:r>
      <w:r>
        <w:rPr>
          <w:b/>
          <w:sz w:val="24"/>
        </w:rPr>
        <w:t>索赔</w:t>
      </w:r>
    </w:p>
    <w:p>
      <w:pPr>
        <w:ind w:firstLine="436"/>
        <w:jc w:val="both"/>
      </w:pPr>
      <w:r>
        <w:rPr>
          <w:sz w:val="24"/>
        </w:rPr>
        <w:t>1.如有异议，甲方有权根据有关政府部门的检验结果向乙方提出索赔。</w:t>
      </w:r>
    </w:p>
    <w:p>
      <w:pPr>
        <w:ind w:firstLine="436"/>
        <w:jc w:val="both"/>
      </w:pPr>
      <w:r>
        <w:rPr>
          <w:sz w:val="24"/>
        </w:rPr>
        <w:t>2.在合同执行期间，如果乙方对甲方提出的索赔和差异负有责任，乙方应按照甲方同意的下列一种或多种方式解决索赔事宜：</w:t>
      </w:r>
    </w:p>
    <w:p>
      <w:pPr>
        <w:ind w:firstLine="200"/>
        <w:jc w:val="both"/>
      </w:pPr>
      <w:r>
        <w:rPr>
          <w:sz w:val="24"/>
        </w:rPr>
        <w:t>（</w:t>
      </w:r>
      <w:r>
        <w:rPr>
          <w:sz w:val="24"/>
        </w:rPr>
        <w:t>1</w:t>
      </w:r>
      <w:r>
        <w:rPr>
          <w:sz w:val="24"/>
        </w:rPr>
        <w:t>）乙方同意退货，并按合同规定的同种货币将货款退还给甲方，并承担由此发生的一切损失和费用。</w:t>
      </w:r>
    </w:p>
    <w:p>
      <w:pPr>
        <w:ind w:firstLine="200"/>
        <w:jc w:val="both"/>
      </w:pPr>
      <w:r>
        <w:rPr>
          <w:sz w:val="24"/>
        </w:rPr>
        <w:t>（</w:t>
      </w:r>
      <w:r>
        <w:rPr>
          <w:sz w:val="24"/>
        </w:rPr>
        <w:t>2</w:t>
      </w:r>
      <w:r>
        <w:rPr>
          <w:sz w:val="24"/>
        </w:rPr>
        <w:t>）根据货物低劣程度、损坏程度以及甲方所遭受损失的数额甲乙双方商定降低货物的价格。</w:t>
      </w:r>
    </w:p>
    <w:p>
      <w:pPr>
        <w:ind w:firstLine="200"/>
        <w:jc w:val="both"/>
      </w:pPr>
      <w:r>
        <w:rPr>
          <w:sz w:val="24"/>
        </w:rPr>
        <w:t>（</w:t>
      </w:r>
      <w:r>
        <w:rPr>
          <w:sz w:val="24"/>
        </w:rPr>
        <w:t>3</w:t>
      </w:r>
      <w:r>
        <w:rPr>
          <w:sz w:val="24"/>
        </w:rPr>
        <w:t>）用符合规格、质量和性能要求的新零件、部件或货物来更换有缺陷的部分或修补缺陷的部分，乙方应承担一切费用和风险并负有甲方所发生的一切直接费用。同时，相应延长质量保证期。</w:t>
      </w:r>
    </w:p>
    <w:p>
      <w:pPr>
        <w:ind w:firstLine="200"/>
        <w:jc w:val="both"/>
      </w:pPr>
      <w:r>
        <w:rPr>
          <w:sz w:val="24"/>
        </w:rPr>
        <w:t>3.如果在甲方发出索赔通知后</w:t>
      </w:r>
      <w:r>
        <w:rPr>
          <w:sz w:val="24"/>
        </w:rPr>
        <w:t>30</w:t>
      </w:r>
      <w:r>
        <w:rPr>
          <w:sz w:val="24"/>
        </w:rPr>
        <w:t>天内，乙方未作答复，上述索赔应视为已被乙方接受。甲方将从合同款项中扣回索赔金额。如果这些金额不足以补偿索赔金额，甲方有权向乙方提出不足部分的补偿。</w:t>
      </w:r>
    </w:p>
    <w:p>
      <w:pPr>
        <w:jc w:val="both"/>
      </w:pPr>
    </w:p>
    <w:p>
      <w:pPr>
        <w:jc w:val="both"/>
      </w:pPr>
      <w:r>
        <w:rPr>
          <w:b/>
          <w:sz w:val="24"/>
        </w:rPr>
        <w:t>第十一条</w:t>
      </w:r>
      <w:r>
        <w:rPr>
          <w:b/>
          <w:sz w:val="24"/>
        </w:rPr>
        <w:t>违约与处罚</w:t>
      </w:r>
    </w:p>
    <w:p>
      <w:pPr>
        <w:ind w:firstLine="436"/>
        <w:jc w:val="both"/>
      </w:pPr>
      <w:r>
        <w:rPr>
          <w:sz w:val="24"/>
        </w:rPr>
        <w:t>1.甲方应依合同规定时间内，向乙方支付货款，每拖延一天乙方可向甲方加收合同总额的</w:t>
      </w:r>
      <w:r>
        <w:rPr>
          <w:sz w:val="21"/>
          <w:u w:val="single"/>
        </w:rPr>
        <w:t xml:space="preserve">    </w:t>
      </w:r>
      <w:r>
        <w:rPr>
          <w:sz w:val="24"/>
        </w:rPr>
        <w:t>‰的违约金。</w:t>
      </w:r>
    </w:p>
    <w:p>
      <w:pPr>
        <w:ind w:firstLine="436"/>
        <w:jc w:val="both"/>
      </w:pPr>
      <w:r>
        <w:rPr>
          <w:sz w:val="24"/>
        </w:rPr>
        <w:t>2.乙方未能按时交货，每拖延一天，须向甲方支付合同总额的</w:t>
      </w:r>
      <w:r>
        <w:rPr>
          <w:sz w:val="21"/>
          <w:u w:val="single"/>
        </w:rPr>
        <w:t xml:space="preserve">    </w:t>
      </w:r>
      <w:r>
        <w:rPr>
          <w:sz w:val="24"/>
        </w:rPr>
        <w:t>‰的违约金。</w:t>
      </w:r>
    </w:p>
    <w:p>
      <w:pPr>
        <w:ind w:firstLine="436"/>
        <w:jc w:val="both"/>
      </w:pPr>
      <w:r>
        <w:rPr>
          <w:sz w:val="24"/>
        </w:rPr>
        <w:t>3.乙方交付的货物不符合合同规定的，甲方有权拒收，乙方向甲方支付合同总额的10％的违约金。</w:t>
      </w:r>
    </w:p>
    <w:p>
      <w:pPr>
        <w:ind w:firstLine="436"/>
        <w:jc w:val="both"/>
      </w:pPr>
      <w:r>
        <w:rPr>
          <w:sz w:val="24"/>
        </w:rPr>
        <w:t>4.甲方无正当理由拒收货物的，甲方向乙方支付合同总额的10％的违约金。</w:t>
      </w:r>
    </w:p>
    <w:p>
      <w:pPr>
        <w:ind w:firstLine="436"/>
        <w:jc w:val="both"/>
      </w:pPr>
      <w:r>
        <w:rPr>
          <w:sz w:val="24"/>
        </w:rPr>
        <w:t>5.</w:t>
      </w:r>
      <w:r>
        <w:rPr>
          <w:sz w:val="21"/>
        </w:rPr>
        <w:t xml:space="preserve"> </w:t>
      </w:r>
      <w:r>
        <w:rPr>
          <w:sz w:val="24"/>
        </w:rPr>
        <w:t>乙方未能交付货物，则向甲方支付合同总额的</w:t>
      </w:r>
      <w:r>
        <w:rPr>
          <w:sz w:val="24"/>
        </w:rPr>
        <w:t>10％的违约金。</w:t>
      </w:r>
    </w:p>
    <w:p>
      <w:pPr>
        <w:jc w:val="both"/>
      </w:pPr>
    </w:p>
    <w:p>
      <w:pPr>
        <w:jc w:val="both"/>
      </w:pPr>
      <w:r>
        <w:rPr>
          <w:b/>
          <w:sz w:val="24"/>
        </w:rPr>
        <w:t>第十二条</w:t>
      </w:r>
      <w:r>
        <w:rPr>
          <w:b/>
          <w:sz w:val="24"/>
        </w:rPr>
        <w:t xml:space="preserve"> </w:t>
      </w:r>
      <w:r>
        <w:rPr>
          <w:b/>
          <w:sz w:val="24"/>
        </w:rPr>
        <w:t>合同终止</w:t>
      </w:r>
    </w:p>
    <w:p>
      <w:pPr>
        <w:ind w:firstLine="200"/>
        <w:jc w:val="both"/>
      </w:pPr>
      <w:r>
        <w:rPr>
          <w:sz w:val="24"/>
        </w:rPr>
        <w:t>如果一方严重违反合同，并在收到对方违约通知书后在</w:t>
      </w:r>
      <w:r>
        <w:rPr>
          <w:sz w:val="24"/>
        </w:rPr>
        <w:t>30</w:t>
      </w:r>
      <w:r>
        <w:rPr>
          <w:sz w:val="24"/>
        </w:rPr>
        <w:t>天内仍未能改正违约的，另一方可立即终止本合同。</w:t>
      </w:r>
    </w:p>
    <w:p>
      <w:pPr>
        <w:jc w:val="both"/>
      </w:pPr>
    </w:p>
    <w:p>
      <w:pPr>
        <w:jc w:val="both"/>
      </w:pPr>
      <w:r>
        <w:rPr>
          <w:b/>
          <w:sz w:val="24"/>
        </w:rPr>
        <w:t>第十三条</w:t>
      </w:r>
      <w:r>
        <w:rPr>
          <w:b/>
          <w:sz w:val="24"/>
        </w:rPr>
        <w:t>法律诉讼</w:t>
      </w:r>
    </w:p>
    <w:p>
      <w:pPr>
        <w:ind w:firstLine="436"/>
        <w:jc w:val="both"/>
      </w:pPr>
      <w:r>
        <w:rPr>
          <w:sz w:val="24"/>
        </w:rPr>
        <w:t>签约双方在履约中发生争执和分歧，双方应通过友好协商解决，若经协商不能达成协议时，则向甲方所在地有管辖权的人民法院提起诉讼。受理期间，双方应继续执行合同其余部分。</w:t>
      </w:r>
    </w:p>
    <w:p>
      <w:pPr>
        <w:jc w:val="both"/>
      </w:pPr>
    </w:p>
    <w:p>
      <w:pPr>
        <w:jc w:val="both"/>
      </w:pPr>
      <w:r>
        <w:rPr>
          <w:b/>
          <w:sz w:val="24"/>
        </w:rPr>
        <w:t>第十四条</w:t>
      </w:r>
      <w:r>
        <w:rPr>
          <w:b/>
          <w:sz w:val="24"/>
        </w:rPr>
        <w:t>其它</w:t>
      </w:r>
    </w:p>
    <w:p>
      <w:pPr>
        <w:ind w:firstLine="436"/>
        <w:jc w:val="both"/>
      </w:pPr>
      <w:r>
        <w:rPr>
          <w:sz w:val="24"/>
        </w:rPr>
        <w:t>1.本合同正本</w:t>
      </w:r>
      <w:r>
        <w:rPr>
          <w:sz w:val="21"/>
          <w:u w:val="single"/>
        </w:rPr>
        <w:t xml:space="preserve">    </w:t>
      </w:r>
      <w:r>
        <w:rPr>
          <w:sz w:val="24"/>
        </w:rPr>
        <w:t>份，具有同等法律效力，甲方执</w:t>
      </w:r>
      <w:r>
        <w:rPr>
          <w:sz w:val="21"/>
          <w:u w:val="single"/>
        </w:rPr>
        <w:t xml:space="preserve">    </w:t>
      </w:r>
      <w:r>
        <w:rPr>
          <w:sz w:val="24"/>
        </w:rPr>
        <w:t>份、乙方执</w:t>
      </w:r>
      <w:r>
        <w:rPr>
          <w:sz w:val="21"/>
          <w:u w:val="single"/>
        </w:rPr>
        <w:t xml:space="preserve">    </w:t>
      </w:r>
      <w:r>
        <w:rPr>
          <w:sz w:val="24"/>
        </w:rPr>
        <w:t>份，招标代理机构</w:t>
      </w:r>
      <w:r>
        <w:rPr>
          <w:sz w:val="21"/>
          <w:u w:val="single"/>
        </w:rPr>
        <w:t xml:space="preserve"> </w:t>
      </w:r>
      <w:r>
        <w:rPr>
          <w:sz w:val="24"/>
          <w:u w:val="single"/>
        </w:rPr>
        <w:t>壹</w:t>
      </w:r>
      <w:r>
        <w:rPr>
          <w:sz w:val="21"/>
          <w:u w:val="single"/>
        </w:rPr>
        <w:t xml:space="preserve">  </w:t>
      </w:r>
      <w:r>
        <w:rPr>
          <w:sz w:val="24"/>
        </w:rPr>
        <w:t>份，中山市公共资源交易中心</w:t>
      </w:r>
      <w:r>
        <w:rPr>
          <w:sz w:val="21"/>
          <w:u w:val="single"/>
        </w:rPr>
        <w:t xml:space="preserve">    </w:t>
      </w:r>
      <w:r>
        <w:rPr>
          <w:sz w:val="24"/>
        </w:rPr>
        <w:t>份。合同自签字之日起即时生效。</w:t>
      </w:r>
    </w:p>
    <w:p>
      <w:pPr>
        <w:ind w:firstLine="436"/>
        <w:jc w:val="both"/>
      </w:pPr>
      <w:r>
        <w:rPr>
          <w:sz w:val="24"/>
        </w:rPr>
        <w:t>2.本合同未尽事宜，由双方协商处理。</w:t>
      </w:r>
    </w:p>
    <w:p>
      <w:pPr>
        <w:ind w:firstLine="200"/>
        <w:jc w:val="left"/>
      </w:pPr>
    </w:p>
    <w:p>
      <w:pPr>
        <w:ind w:firstLine="439"/>
        <w:jc w:val="left"/>
      </w:pPr>
      <w:r>
        <w:rPr>
          <w:b/>
          <w:sz w:val="24"/>
        </w:rPr>
        <w:t>第十五条</w:t>
      </w:r>
      <w:r>
        <w:rPr>
          <w:b/>
          <w:color w:val="000000"/>
          <w:sz w:val="24"/>
        </w:rPr>
        <w:t>双方需要另外补充说明的其他事项</w:t>
      </w:r>
    </w:p>
    <w:p>
      <w:pPr>
        <w:ind w:firstLine="470"/>
        <w:jc w:val="both"/>
      </w:pPr>
      <w:r>
        <w:rPr>
          <w:sz w:val="21"/>
          <w:u w:val="single"/>
        </w:rPr>
        <w:t xml:space="preserve">                                          </w:t>
      </w:r>
      <w:r>
        <w:rPr>
          <w:sz w:val="24"/>
        </w:rPr>
        <w:t>。</w:t>
      </w:r>
    </w:p>
    <w:p>
      <w:pPr>
        <w:ind w:firstLine="480"/>
        <w:jc w:val="left"/>
      </w:pPr>
    </w:p>
    <w:p>
      <w:pPr>
        <w:ind w:firstLine="480"/>
        <w:jc w:val="left"/>
      </w:pPr>
    </w:p>
    <w:p>
      <w:pPr>
        <w:ind w:firstLine="480"/>
        <w:jc w:val="left"/>
      </w:pPr>
      <w:r>
        <w:rPr>
          <w:sz w:val="24"/>
        </w:rPr>
        <w:t>（以下无正文）</w:t>
      </w:r>
    </w:p>
    <w:p>
      <w:pPr>
        <w:ind w:firstLine="200"/>
        <w:jc w:val="left"/>
      </w:pPr>
    </w:p>
    <w:tbl>
      <w:tblPr>
        <w:tblW w:w="0" w:type="auto"/>
        <w:tblBorders>
          <w:top w:val="none" w:color="000000" w:sz="4"/>
          <w:left w:val="none" w:color="000000" w:sz="4"/>
          <w:bottom w:val="none" w:color="000000" w:sz="4"/>
          <w:right w:val="none" w:color="000000" w:sz="4"/>
          <w:insideH w:val="none"/>
          <w:insideV w:val="none"/>
        </w:tblBorders>
      </w:tblPr>
      <w:tblGrid>
        <w:gridCol w:w="4116"/>
        <w:gridCol w:w="4190"/>
      </w:tblGrid>
      <w:tr>
        <w:tc>
          <w:tcPr>
            <w:tcW w:type="dxa" w:w="4116"/>
            <w:tcBorders>
              <w:top w:val="none" w:color="000000" w:sz="4"/>
              <w:left w:val="none" w:color="000000" w:sz="4"/>
              <w:bottom w:val="none" w:color="000000" w:sz="4"/>
              <w:right w:val="none" w:color="000000" w:sz="4"/>
            </w:tcBorders>
            <w:vAlign w:val="top"/>
          </w:tcPr>
          <w:p>
            <w:pPr>
              <w:ind w:firstLine="200"/>
              <w:jc w:val="both"/>
            </w:pPr>
            <w:r>
              <w:rPr>
                <w:sz w:val="24"/>
              </w:rPr>
              <w:t>甲方</w:t>
            </w:r>
            <w:r>
              <w:rPr>
                <w:sz w:val="24"/>
              </w:rPr>
              <w:t>：</w:t>
            </w:r>
          </w:p>
          <w:p>
            <w:pPr>
              <w:ind w:firstLine="200"/>
              <w:jc w:val="both"/>
            </w:pPr>
          </w:p>
        </w:tc>
        <w:tc>
          <w:tcPr>
            <w:tcW w:type="dxa" w:w="4190"/>
            <w:tcBorders>
              <w:top w:val="none" w:color="000000" w:sz="4"/>
              <w:left w:val="none" w:color="000000" w:sz="4"/>
              <w:bottom w:val="none" w:color="000000" w:sz="4"/>
              <w:right w:val="none" w:color="000000" w:sz="4"/>
            </w:tcBorders>
            <w:vAlign w:val="top"/>
          </w:tcPr>
          <w:p>
            <w:pPr>
              <w:ind w:firstLine="200"/>
              <w:jc w:val="both"/>
            </w:pPr>
            <w:r>
              <w:rPr>
                <w:sz w:val="24"/>
              </w:rPr>
              <w:t>乙方</w:t>
            </w:r>
            <w:r>
              <w:rPr>
                <w:sz w:val="24"/>
              </w:rPr>
              <w:t>：</w:t>
            </w:r>
          </w:p>
        </w:tc>
      </w:tr>
      <w:tr>
        <w:tc>
          <w:tcPr>
            <w:tcW w:type="dxa" w:w="4116"/>
            <w:tcBorders>
              <w:top w:val="none" w:color="000000" w:sz="4"/>
              <w:left w:val="none" w:color="000000" w:sz="4"/>
              <w:bottom w:val="none" w:color="000000" w:sz="4"/>
              <w:right w:val="none" w:color="000000" w:sz="4"/>
            </w:tcBorders>
            <w:vAlign w:val="top"/>
          </w:tcPr>
          <w:p>
            <w:pPr>
              <w:ind w:firstLine="200"/>
              <w:jc w:val="both"/>
            </w:pPr>
            <w:r>
              <w:rPr>
                <w:sz w:val="24"/>
              </w:rPr>
              <w:t>法定代表人或授权委托人</w:t>
            </w:r>
            <w:r>
              <w:rPr>
                <w:sz w:val="24"/>
              </w:rPr>
              <w:t>：</w:t>
            </w:r>
          </w:p>
          <w:p>
            <w:pPr>
              <w:ind w:firstLine="200"/>
              <w:jc w:val="both"/>
            </w:pPr>
          </w:p>
        </w:tc>
        <w:tc>
          <w:tcPr>
            <w:tcW w:type="dxa" w:w="4190"/>
            <w:tcBorders>
              <w:top w:val="none" w:color="000000" w:sz="4"/>
              <w:left w:val="none" w:color="000000" w:sz="4"/>
              <w:bottom w:val="none" w:color="000000" w:sz="4"/>
              <w:right w:val="none" w:color="000000" w:sz="4"/>
            </w:tcBorders>
            <w:vAlign w:val="top"/>
          </w:tcPr>
          <w:p>
            <w:pPr>
              <w:ind w:firstLine="200"/>
              <w:jc w:val="both"/>
            </w:pPr>
            <w:r>
              <w:rPr>
                <w:sz w:val="24"/>
              </w:rPr>
              <w:t>法定代表人或授权委托人</w:t>
            </w:r>
            <w:r>
              <w:rPr>
                <w:sz w:val="24"/>
              </w:rPr>
              <w:t>：</w:t>
            </w:r>
            <w:r>
              <w:rPr>
                <w:sz w:val="24"/>
              </w:rPr>
              <w:t xml:space="preserve"> </w:t>
            </w:r>
          </w:p>
        </w:tc>
      </w:tr>
      <w:tr>
        <w:tc>
          <w:tcPr>
            <w:tcW w:type="dxa" w:w="4116"/>
            <w:tcBorders>
              <w:top w:val="none" w:color="000000" w:sz="4"/>
              <w:left w:val="none" w:color="000000" w:sz="4"/>
              <w:bottom w:val="none" w:color="000000" w:sz="4"/>
              <w:right w:val="none" w:color="000000" w:sz="4"/>
            </w:tcBorders>
            <w:vAlign w:val="top"/>
          </w:tcPr>
          <w:p>
            <w:pPr>
              <w:ind w:firstLine="200"/>
              <w:jc w:val="both"/>
            </w:pPr>
            <w:r>
              <w:rPr>
                <w:sz w:val="24"/>
              </w:rPr>
              <w:t>地址</w:t>
            </w:r>
            <w:r>
              <w:rPr>
                <w:sz w:val="24"/>
              </w:rPr>
              <w:t>：</w:t>
            </w:r>
          </w:p>
          <w:p>
            <w:pPr>
              <w:ind w:firstLine="200"/>
              <w:jc w:val="both"/>
            </w:pPr>
          </w:p>
        </w:tc>
        <w:tc>
          <w:tcPr>
            <w:tcW w:type="dxa" w:w="4190"/>
            <w:tcBorders>
              <w:top w:val="none" w:color="000000" w:sz="4"/>
              <w:left w:val="none" w:color="000000" w:sz="4"/>
              <w:bottom w:val="none" w:color="000000" w:sz="4"/>
              <w:right w:val="none" w:color="000000" w:sz="4"/>
            </w:tcBorders>
            <w:vAlign w:val="top"/>
          </w:tcPr>
          <w:p>
            <w:pPr>
              <w:ind w:firstLine="200"/>
              <w:jc w:val="both"/>
            </w:pPr>
            <w:r>
              <w:rPr>
                <w:sz w:val="24"/>
              </w:rPr>
              <w:t>地址</w:t>
            </w:r>
            <w:r>
              <w:rPr>
                <w:sz w:val="24"/>
              </w:rPr>
              <w:t>：</w:t>
            </w:r>
          </w:p>
          <w:p>
            <w:pPr>
              <w:ind w:firstLine="200"/>
              <w:jc w:val="both"/>
            </w:pPr>
          </w:p>
        </w:tc>
      </w:tr>
      <w:tr>
        <w:tc>
          <w:tcPr>
            <w:tcW w:type="dxa" w:w="4116"/>
            <w:tcBorders>
              <w:top w:val="none" w:color="000000" w:sz="4"/>
              <w:left w:val="none" w:color="000000" w:sz="4"/>
              <w:bottom w:val="none" w:color="000000" w:sz="4"/>
              <w:right w:val="none" w:color="000000" w:sz="4"/>
            </w:tcBorders>
            <w:vAlign w:val="top"/>
          </w:tcPr>
          <w:p>
            <w:pPr>
              <w:ind w:firstLine="200"/>
              <w:jc w:val="both"/>
            </w:pPr>
            <w:r>
              <w:rPr>
                <w:sz w:val="24"/>
              </w:rPr>
              <w:t>电话</w:t>
            </w:r>
            <w:r>
              <w:rPr>
                <w:sz w:val="24"/>
              </w:rPr>
              <w:t>：</w:t>
            </w:r>
          </w:p>
          <w:p>
            <w:pPr>
              <w:ind w:firstLine="200"/>
              <w:jc w:val="both"/>
            </w:pPr>
          </w:p>
        </w:tc>
        <w:tc>
          <w:tcPr>
            <w:tcW w:type="dxa" w:w="4190"/>
            <w:tcBorders>
              <w:top w:val="none" w:color="000000" w:sz="4"/>
              <w:left w:val="none" w:color="000000" w:sz="4"/>
              <w:bottom w:val="none" w:color="000000" w:sz="4"/>
              <w:right w:val="none" w:color="000000" w:sz="4"/>
            </w:tcBorders>
            <w:vAlign w:val="top"/>
          </w:tcPr>
          <w:p>
            <w:pPr>
              <w:ind w:firstLine="200"/>
              <w:jc w:val="both"/>
            </w:pPr>
            <w:r>
              <w:rPr>
                <w:sz w:val="24"/>
              </w:rPr>
              <w:t>电话</w:t>
            </w:r>
            <w:r>
              <w:rPr>
                <w:sz w:val="24"/>
              </w:rPr>
              <w:t>：</w:t>
            </w:r>
          </w:p>
          <w:p>
            <w:pPr>
              <w:ind w:firstLine="200"/>
              <w:jc w:val="both"/>
            </w:pPr>
          </w:p>
        </w:tc>
      </w:tr>
      <w:tr>
        <w:tc>
          <w:tcPr>
            <w:tcW w:type="dxa" w:w="4116"/>
            <w:tcBorders>
              <w:top w:val="none" w:color="000000" w:sz="4"/>
              <w:left w:val="none" w:color="000000" w:sz="4"/>
              <w:bottom w:val="none" w:color="000000" w:sz="4"/>
              <w:right w:val="none" w:color="000000" w:sz="4"/>
            </w:tcBorders>
            <w:vAlign w:val="top"/>
          </w:tcPr>
          <w:p>
            <w:pPr>
              <w:ind w:firstLine="200"/>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190"/>
            <w:tcBorders>
              <w:top w:val="none" w:color="000000" w:sz="4"/>
              <w:left w:val="none" w:color="000000" w:sz="4"/>
              <w:bottom w:val="none" w:color="000000" w:sz="4"/>
              <w:right w:val="none" w:color="000000" w:sz="4"/>
            </w:tcBorders>
            <w:vAlign w:val="top"/>
          </w:tcPr>
          <w:p>
            <w:pPr>
              <w:ind w:firstLine="200"/>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p>
            <w:pPr>
              <w:ind w:firstLine="200"/>
              <w:jc w:val="both"/>
            </w:pPr>
          </w:p>
        </w:tc>
      </w:tr>
    </w:tbl>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vAlign w:val="top"/>
          </w:tcPr>
          <w:p>
            <w:pPr>
              <w:ind w:firstLine="200"/>
              <w:jc w:val="both"/>
            </w:pPr>
          </w:p>
          <w:p>
            <w:pPr>
              <w:ind w:firstLine="200"/>
              <w:jc w:val="both"/>
            </w:pPr>
          </w:p>
        </w:tc>
      </w:tr>
    </w:tbl>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vAlign w:val="top"/>
          </w:tcPr>
          <w:p>
            <w:pPr>
              <w:ind w:firstLine="200"/>
              <w:jc w:val="both"/>
            </w:pPr>
          </w:p>
          <w:p>
            <w:pPr>
              <w:ind w:firstLine="200"/>
              <w:jc w:val="both"/>
            </w:pPr>
          </w:p>
        </w:tc>
      </w:tr>
    </w:tbl>
    <w:p>
      <w:pPr>
        <w:jc w:val="center"/>
      </w:pP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442000-2022-02879</w:t>
      </w:r>
    </w:p>
    <w:p>
      <w:pPr>
        <w:jc w:val="center"/>
      </w:pPr>
      <w:r>
        <w:rPr>
          <w:b/>
          <w:sz w:val="24"/>
        </w:rPr>
        <w:t>采购项目编号：</w:t>
      </w:r>
      <w:r>
        <w:rPr>
          <w:b/>
          <w:sz w:val="24"/>
        </w:rPr>
        <w:t>442000-2022-02879</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二十一、询问函、质疑函、投诉书格式</w:t>
      </w:r>
    </w:p>
    <w:p>
      <w:pPr>
        <w:ind w:firstLine="480"/>
      </w:pPr>
      <w:r>
        <w:rPr/>
        <w:t>二十二、项目实施方案、质量保证及售后服务承诺等</w:t>
      </w:r>
    </w:p>
    <w:p>
      <w:pPr>
        <w:ind w:firstLine="480"/>
      </w:pPr>
      <w:r>
        <w:rPr/>
        <w:t>二十三、附件</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中山市人民医院消毒供应中心清洗消毒机采购项目</w:t>
      </w:r>
      <w:r>
        <w:rPr/>
        <w:t>项目的招标[采购项目编号为：</w:t>
      </w:r>
      <w:r>
        <w:rPr>
          <w:u w:val="single"/>
        </w:rPr>
        <w:t>442000-2022-02879</w:t>
      </w:r>
      <w:r>
        <w:rPr/>
        <w:t>]，我方愿参与投标。</w:t>
      </w:r>
    </w:p>
    <w:p>
      <w:pPr>
        <w:ind w:firstLine="480"/>
      </w:pPr>
      <w:r>
        <w:rPr/>
        <w:t>我方确认收到贵方提供的</w:t>
      </w:r>
      <w:r>
        <w:rPr>
          <w:u w:val="single"/>
        </w:rPr>
        <w:t>中山市人民医院消毒供应中心清洗消毒机采购项目</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中山市人民医院消毒供应中心清洗消毒机采购项目</w:t>
      </w:r>
      <w:r>
        <w:rPr/>
        <w:t>项目采购[采购项目编号为</w:t>
      </w:r>
      <w:r>
        <w:rPr/>
        <w:t>442000-2022-02879</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设备及专业技术能力情况表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设备名称或专业技术人员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中山市人民医院消毒供应中心清洗消毒机采购项目</w:t>
      </w:r>
      <w:r>
        <w:rPr/>
        <w:t>招标中获中标（采购项目编号：</w:t>
      </w:r>
      <w:r>
        <w:rPr/>
        <w:t>442000-2022-02879</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中山市人民医院消毒供应中心清洗消毒机采购项目</w:t>
      </w:r>
      <w:r>
        <w:rPr/>
        <w:t>项目（采购项目编号：</w:t>
      </w:r>
      <w:r>
        <w:rPr/>
        <w:t>442000-2022-02879</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格式二十二：</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格式二十三：</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